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90170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20-F</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660" w:right="80" w:hanging="328"/>
        <w:spacing w:after="0" w:line="253"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660" w:right="400" w:hanging="328"/>
        <w:spacing w:after="0" w:line="253"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660"/>
        <w:spacing w:after="0"/>
        <w:tabs>
          <w:tab w:leader="none" w:pos="4000" w:val="left"/>
          <w:tab w:leader="none" w:pos="51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1922145</wp:posOffset>
            </wp:positionH>
            <wp:positionV relativeFrom="paragraph">
              <wp:posOffset>-20320</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660" w:hanging="328"/>
        <w:spacing w:after="0" w:line="253" w:lineRule="auto"/>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ind w:left="6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-19050</wp:posOffset>
            </wp:positionV>
            <wp:extent cx="828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8040" cy="8890"/>
                    </a:xfrm>
                    <a:prstGeom prst="rect">
                      <a:avLst/>
                    </a:prstGeom>
                    <a:noFill/>
                  </pic:spPr>
                </pic:pic>
              </a:graphicData>
            </a:graphic>
          </wp:anchor>
        </w:drawing>
      </w: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001-39446</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CureVac N.V.</w:t>
      </w:r>
    </w:p>
    <w:p>
      <w:pPr>
        <w:spacing w:after="0" w:line="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The Netherlands</w:t>
      </w:r>
    </w:p>
    <w:p>
      <w:pPr>
        <w:spacing w:after="0" w:line="6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Friedrich-Miescher-Strasse 15, 72076</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Tübingen,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+49 7071 9883 0</w:t>
      </w:r>
    </w:p>
    <w:p>
      <w:pPr>
        <w:spacing w:after="0" w:line="7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Alexander Zehnder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Friedrich-Miescher-Strasse 15, 72076</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Tübingen,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info@curevac.com</w:t>
      </w:r>
    </w:p>
    <w:p>
      <w:pPr>
        <w:spacing w:after="0" w:line="72"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ectPr>
          <w:pgSz w:w="11900" w:h="16838" w:orient="portrait"/>
          <w:cols w:equalWidth="0" w:num="1">
            <w:col w:w="9840"/>
          </w:cols>
          <w:pgMar w:left="980" w:top="661" w:right="1079" w:bottom="1440" w:gutter="0" w:footer="0" w:header="0"/>
        </w:sectPr>
      </w:pPr>
    </w:p>
    <w:p>
      <w:pPr>
        <w:spacing w:after="0" w:line="86" w:lineRule="exact"/>
        <w:rPr>
          <w:sz w:val="24"/>
          <w:szCs w:val="24"/>
          <w:color w:val="auto"/>
        </w:rPr>
      </w:pPr>
    </w:p>
    <w:p>
      <w:pPr>
        <w:ind w:left="400" w:right="20" w:firstLine="8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Title of each class Trading Symbol </w:t>
      </w:r>
      <w:r>
        <w:rPr>
          <w:rFonts w:ascii="Times New Roman" w:cs="Times New Roman" w:eastAsia="Times New Roman" w:hAnsi="Times New Roman"/>
          <w:sz w:val="18"/>
          <w:szCs w:val="18"/>
          <w:color w:val="auto"/>
        </w:rPr>
        <w:t>Common shares, par value €0.12 per share “CVAC”</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NASDAQ Global Market</w:t>
      </w:r>
    </w:p>
    <w:p>
      <w:pPr>
        <w:spacing w:after="0" w:line="71" w:lineRule="exact"/>
        <w:rPr>
          <w:sz w:val="24"/>
          <w:szCs w:val="24"/>
          <w:color w:val="auto"/>
        </w:rPr>
      </w:pPr>
    </w:p>
    <w:p>
      <w:pPr>
        <w:sectPr>
          <w:pgSz w:w="11900" w:h="16838" w:orient="portrait"/>
          <w:cols w:equalWidth="0" w:num="2">
            <w:col w:w="5600" w:space="720"/>
            <w:col w:w="3520"/>
          </w:cols>
          <w:pgMar w:left="980" w:top="661" w:right="10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5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5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6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858"/>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number of outstanding shares as of December 31, 2023 was:</w:t>
            </w:r>
          </w:p>
        </w:tc>
        <w:tc>
          <w:tcPr>
            <w:tcW w:w="3200" w:type="dxa"/>
            <w:vAlign w:val="bottom"/>
          </w:tcPr>
          <w:p>
            <w:pPr>
              <w:spacing w:after="0"/>
              <w:rPr>
                <w:sz w:val="24"/>
                <w:szCs w:val="24"/>
                <w:color w:val="auto"/>
              </w:rPr>
            </w:pPr>
          </w:p>
        </w:tc>
      </w:tr>
      <w:tr>
        <w:trPr>
          <w:trHeight w:val="279"/>
        </w:trPr>
        <w:tc>
          <w:tcPr>
            <w:tcW w:w="1280" w:type="dxa"/>
            <w:vAlign w:val="bottom"/>
          </w:tcPr>
          <w:p>
            <w:pPr>
              <w:spacing w:after="0"/>
              <w:rPr>
                <w:sz w:val="24"/>
                <w:szCs w:val="24"/>
                <w:color w:val="auto"/>
              </w:rPr>
            </w:pPr>
          </w:p>
        </w:tc>
        <w:tc>
          <w:tcPr>
            <w:tcW w:w="420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8"/>
              </w:rPr>
              <w:t>Title of Class</w:t>
            </w:r>
          </w:p>
        </w:tc>
        <w:tc>
          <w:tcPr>
            <w:tcW w:w="32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Number of Shares Outstanding</w:t>
            </w:r>
          </w:p>
        </w:tc>
      </w:tr>
      <w:tr>
        <w:trPr>
          <w:trHeight w:val="234"/>
        </w:trPr>
        <w:tc>
          <w:tcPr>
            <w:tcW w:w="548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color w:val="auto"/>
                <w:w w:val="99"/>
              </w:rPr>
              <w:t>Common shares, par value €0.12 per share</w:t>
            </w:r>
          </w:p>
        </w:tc>
        <w:tc>
          <w:tcPr>
            <w:tcW w:w="32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223,988,675</w:t>
            </w: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2" w:lineRule="exact"/>
        <w:rPr>
          <w:sz w:val="20"/>
          <w:szCs w:val="20"/>
          <w:color w:val="auto"/>
        </w:rPr>
      </w:pPr>
    </w:p>
    <w:p>
      <w:pPr>
        <w:ind w:left="4280"/>
        <w:spacing w:after="0" w:line="207" w:lineRule="exact"/>
        <w:tabs>
          <w:tab w:leader="none" w:pos="5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6" w:lineRule="exact"/>
        <w:rPr>
          <w:sz w:val="20"/>
          <w:szCs w:val="20"/>
          <w:color w:val="auto"/>
        </w:rPr>
      </w:pPr>
    </w:p>
    <w:p>
      <w:pPr>
        <w:ind w:right="460" w:firstLine="324"/>
        <w:spacing w:after="0" w:line="254"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ectPr>
          <w:pgSz w:w="11900" w:h="16838" w:orient="portrait"/>
          <w:cols w:equalWidth="0" w:num="1">
            <w:col w:w="9840"/>
          </w:cols>
          <w:pgMar w:left="980" w:top="648" w:right="1079" w:bottom="1440" w:gutter="0" w:footer="0" w:header="0"/>
        </w:sectPr>
      </w:pPr>
    </w:p>
    <w:p>
      <w:pPr>
        <w:spacing w:after="0" w:line="1" w:lineRule="exact"/>
        <w:rPr>
          <w:sz w:val="20"/>
          <w:szCs w:val="20"/>
          <w:color w:val="auto"/>
        </w:rPr>
      </w:pPr>
    </w:p>
    <w:p>
      <w:pPr>
        <w:ind w:left="426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49" w:lineRule="exact"/>
        <w:rPr>
          <w:sz w:val="20"/>
          <w:szCs w:val="20"/>
          <w:color w:val="auto"/>
        </w:rPr>
      </w:pPr>
    </w:p>
    <w:p>
      <w:pPr>
        <w:sectPr>
          <w:pgSz w:w="11900" w:h="16838" w:orient="portrait"/>
          <w:cols w:equalWidth="0" w:num="2">
            <w:col w:w="4740" w:space="500"/>
            <w:col w:w="4600"/>
          </w:cols>
          <w:pgMar w:left="980" w:top="648" w:right="1079" w:bottom="1440" w:gutter="0" w:footer="0" w:header="0"/>
          <w:type w:val="continuous"/>
        </w:sectPr>
      </w:pPr>
    </w:p>
    <w:p>
      <w:pPr>
        <w:ind w:right="6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 Checking the box above will not relieve any registrant required to file reports pursuant to Section 13 or 15(d)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Exchange Act of 1934 from their obligations under those Sections.</w:t>
      </w:r>
    </w:p>
    <w:p>
      <w:pPr>
        <w:spacing w:after="0" w:line="10" w:lineRule="exact"/>
        <w:rPr>
          <w:sz w:val="20"/>
          <w:szCs w:val="20"/>
          <w:color w:val="auto"/>
        </w:rPr>
      </w:pPr>
    </w:p>
    <w:p>
      <w:pPr>
        <w:jc w:val="both"/>
        <w:ind w:right="180" w:firstLine="324"/>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jc w:val="center"/>
        <w:ind w:right="-7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1" w:lineRule="exact"/>
        <w:rPr>
          <w:sz w:val="20"/>
          <w:szCs w:val="20"/>
          <w:color w:val="auto"/>
        </w:rPr>
      </w:pPr>
    </w:p>
    <w:p>
      <w:pPr>
        <w:ind w:right="180" w:firstLine="324"/>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 w:lineRule="exact"/>
        <w:rPr>
          <w:sz w:val="20"/>
          <w:szCs w:val="20"/>
          <w:color w:val="auto"/>
        </w:rPr>
      </w:pPr>
    </w:p>
    <w:p>
      <w:pPr>
        <w:jc w:val="center"/>
        <w:ind w:right="-7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7" w:lineRule="exact"/>
        <w:rPr>
          <w:sz w:val="20"/>
          <w:szCs w:val="20"/>
          <w:color w:val="auto"/>
        </w:rPr>
      </w:pPr>
    </w:p>
    <w:p>
      <w:pPr>
        <w:ind w:right="640" w:firstLine="324"/>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0"/>
          <w:szCs w:val="20"/>
          <w:color w:val="auto"/>
        </w:rPr>
      </w:pPr>
    </w:p>
    <w:p>
      <w:pPr>
        <w:ind w:left="240"/>
        <w:spacing w:after="0" w:line="207" w:lineRule="exact"/>
        <w:tabs>
          <w:tab w:leader="none" w:pos="2940" w:val="left"/>
          <w:tab w:leader="none" w:pos="5260" w:val="left"/>
          <w:tab w:leader="none" w:pos="75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31" w:lineRule="exact"/>
        <w:rPr>
          <w:sz w:val="20"/>
          <w:szCs w:val="20"/>
          <w:color w:val="auto"/>
        </w:rPr>
      </w:pPr>
    </w:p>
    <w:p>
      <w:pPr>
        <w:ind w:right="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0"/>
          <w:szCs w:val="20"/>
          <w:color w:val="auto"/>
        </w:rPr>
      </w:pPr>
    </w:p>
    <w:p>
      <w:pPr>
        <w:ind w:firstLine="332"/>
        <w:spacing w:after="0" w:line="282" w:lineRule="auto"/>
        <w:tabs>
          <w:tab w:leader="none" w:pos="4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3" w:lineRule="exact"/>
        <w:rPr>
          <w:sz w:val="20"/>
          <w:szCs w:val="20"/>
          <w:color w:val="auto"/>
        </w:rPr>
      </w:pPr>
    </w:p>
    <w:p>
      <w:pPr>
        <w:ind w:right="10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36" w:lineRule="exact"/>
        <w:rPr>
          <w:sz w:val="20"/>
          <w:szCs w:val="20"/>
          <w:color w:val="auto"/>
        </w:rPr>
      </w:pPr>
    </w:p>
    <w:p>
      <w:pPr>
        <w:ind w:right="4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2" w:lineRule="exact"/>
        <w:rPr>
          <w:sz w:val="20"/>
          <w:szCs w:val="20"/>
          <w:color w:val="auto"/>
        </w:rPr>
      </w:pPr>
    </w:p>
    <w:p>
      <w:pPr>
        <w:ind w:right="80" w:firstLine="324"/>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90" w:lineRule="exact"/>
        <w:rPr>
          <w:sz w:val="20"/>
          <w:szCs w:val="20"/>
          <w:color w:val="auto"/>
        </w:rPr>
      </w:pPr>
    </w:p>
    <w:p>
      <w:pPr>
        <w:ind w:left="1300" w:hanging="644"/>
        <w:spacing w:after="0"/>
        <w:tabs>
          <w:tab w:leader="none" w:pos="130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 GAAP</w:t>
      </w:r>
    </w:p>
    <w:p>
      <w:pPr>
        <w:spacing w:after="0" w:line="104" w:lineRule="exact"/>
        <w:rPr>
          <w:sz w:val="20"/>
          <w:szCs w:val="20"/>
          <w:color w:val="auto"/>
        </w:rPr>
      </w:pPr>
    </w:p>
    <w:p>
      <w:pPr>
        <w:ind w:left="1300" w:hanging="644"/>
        <w:spacing w:after="0"/>
        <w:tabs>
          <w:tab w:leader="none" w:pos="130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International Financial Reporting Standards as issued by the International Accounting Standards Board</w:t>
      </w:r>
    </w:p>
    <w:p>
      <w:pPr>
        <w:spacing w:after="0" w:line="104" w:lineRule="exact"/>
        <w:rPr>
          <w:sz w:val="20"/>
          <w:szCs w:val="20"/>
          <w:color w:val="auto"/>
        </w:rPr>
      </w:pPr>
    </w:p>
    <w:p>
      <w:pPr>
        <w:ind w:left="1300" w:hanging="644"/>
        <w:spacing w:after="0"/>
        <w:tabs>
          <w:tab w:leader="none" w:pos="130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w:t>
      </w:r>
    </w:p>
    <w:p>
      <w:pPr>
        <w:spacing w:after="0" w:line="10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jc w:val="center"/>
        <w:ind w:right="-99"/>
        <w:spacing w:after="0" w:line="207" w:lineRule="exact"/>
        <w:tabs>
          <w:tab w:leader="none" w:pos="4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Item 18</w:t>
      </w:r>
    </w:p>
    <w:p>
      <w:pPr>
        <w:spacing w:after="0" w:line="1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jc w:val="center"/>
        <w:ind w:right="-7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454660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17780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60325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40"/>
          </w:cols>
          <w:pgMar w:left="980" w:top="648" w:right="10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Borders>
              <w:top w:val="single" w:sz="8" w:color="CCEEFF"/>
            </w:tcBorders>
            <w:gridSpan w:val="9"/>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Part I</w:t>
            </w:r>
          </w:p>
        </w:tc>
        <w:tc>
          <w:tcPr>
            <w:tcW w:w="6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25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520" w:type="dxa"/>
            <w:vAlign w:val="bottom"/>
            <w:tcBorders>
              <w:bottom w:val="single" w:sz="8" w:color="CCEEFF"/>
            </w:tcBorders>
            <w:gridSpan w:val="6"/>
            <w:shd w:val="clear" w:color="auto" w:fill="CCEEFF"/>
          </w:tcPr>
          <w:p>
            <w:pPr>
              <w:spacing w:after="0"/>
              <w:rPr>
                <w:sz w:val="18"/>
                <w:szCs w:val="18"/>
                <w:color w:val="auto"/>
              </w:rPr>
            </w:pPr>
          </w:p>
        </w:tc>
        <w:tc>
          <w:tcPr>
            <w:tcW w:w="2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Offer Statistics and Expected Timetable</w:t>
            </w:r>
          </w:p>
        </w:tc>
        <w:tc>
          <w:tcPr>
            <w:tcW w:w="5260" w:type="dxa"/>
            <w:vAlign w:val="bottom"/>
            <w:tcBorders>
              <w:bottom w:val="single" w:sz="8" w:color="CCEEFF"/>
            </w:tcBorders>
            <w:gridSpan w:val="11"/>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520" w:type="dxa"/>
            <w:vAlign w:val="bottom"/>
            <w:gridSpan w:val="6"/>
            <w:shd w:val="clear" w:color="auto" w:fill="CCEEFF"/>
          </w:tcPr>
          <w:p>
            <w:pPr>
              <w:spacing w:after="0"/>
              <w:rPr>
                <w:sz w:val="15"/>
                <w:szCs w:val="15"/>
                <w:color w:val="auto"/>
              </w:rPr>
            </w:pPr>
          </w:p>
        </w:tc>
        <w:tc>
          <w:tcPr>
            <w:tcW w:w="81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4A.</w:t>
            </w: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5.</w:t>
            </w:r>
          </w:p>
        </w:tc>
        <w:tc>
          <w:tcPr>
            <w:tcW w:w="520" w:type="dxa"/>
            <w:vAlign w:val="bottom"/>
            <w:gridSpan w:val="6"/>
            <w:shd w:val="clear" w:color="auto" w:fill="CCEEFF"/>
          </w:tcPr>
          <w:p>
            <w:pPr>
              <w:spacing w:after="0"/>
              <w:rPr>
                <w:sz w:val="18"/>
                <w:szCs w:val="18"/>
                <w:color w:val="auto"/>
              </w:rPr>
            </w:pPr>
          </w:p>
        </w:tc>
        <w:tc>
          <w:tcPr>
            <w:tcW w:w="81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Borders>
              <w:top w:val="single" w:sz="8" w:color="0000EE"/>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520" w:type="dxa"/>
            <w:vAlign w:val="bottom"/>
            <w:tcBorders>
              <w:top w:val="single" w:sz="8" w:color="CCEEFF"/>
            </w:tcBorders>
            <w:gridSpan w:val="6"/>
          </w:tcPr>
          <w:p>
            <w:pPr>
              <w:spacing w:after="0"/>
              <w:rPr>
                <w:sz w:val="15"/>
                <w:szCs w:val="15"/>
                <w:color w:val="auto"/>
              </w:rPr>
            </w:pPr>
          </w:p>
        </w:tc>
        <w:tc>
          <w:tcPr>
            <w:tcW w:w="3380" w:type="dxa"/>
            <w:vAlign w:val="bottom"/>
            <w:tcBorders>
              <w:top w:val="single" w:sz="8" w:color="0000EE"/>
              <w:bottom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4760" w:type="dxa"/>
            <w:vAlign w:val="bottom"/>
            <w:tcBorders>
              <w:top w:val="single" w:sz="8" w:color="CCEEFF"/>
            </w:tcBorders>
            <w:gridSpan w:val="9"/>
          </w:tcPr>
          <w:p>
            <w:pPr>
              <w:spacing w:after="0"/>
              <w:rPr>
                <w:sz w:val="15"/>
                <w:szCs w:val="15"/>
                <w:color w:val="auto"/>
              </w:rPr>
            </w:pPr>
          </w:p>
        </w:tc>
        <w:tc>
          <w:tcPr>
            <w:tcW w:w="7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7.</w:t>
            </w:r>
          </w:p>
        </w:tc>
        <w:tc>
          <w:tcPr>
            <w:tcW w:w="520" w:type="dxa"/>
            <w:vAlign w:val="bottom"/>
            <w:tcBorders>
              <w:bottom w:val="single" w:sz="8" w:color="CCEEFF"/>
            </w:tcBorders>
            <w:gridSpan w:val="6"/>
            <w:shd w:val="clear" w:color="auto" w:fill="CCEEFF"/>
          </w:tcPr>
          <w:p>
            <w:pPr>
              <w:spacing w:after="0"/>
              <w:rPr>
                <w:sz w:val="18"/>
                <w:szCs w:val="18"/>
                <w:color w:val="auto"/>
              </w:rPr>
            </w:pPr>
          </w:p>
        </w:tc>
        <w:tc>
          <w:tcPr>
            <w:tcW w:w="37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Major Shareholders and Related Party Transactions</w:t>
            </w:r>
          </w:p>
        </w:tc>
        <w:tc>
          <w:tcPr>
            <w:tcW w:w="4420" w:type="dxa"/>
            <w:vAlign w:val="bottom"/>
            <w:tcBorders>
              <w:bottom w:val="single" w:sz="8" w:color="CCEEFF"/>
            </w:tcBorders>
            <w:gridSpan w:val="7"/>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9.</w:t>
            </w:r>
          </w:p>
        </w:tc>
        <w:tc>
          <w:tcPr>
            <w:tcW w:w="520" w:type="dxa"/>
            <w:vAlign w:val="bottom"/>
            <w:tcBorders>
              <w:bottom w:val="single" w:sz="8" w:color="CCEEFF"/>
            </w:tcBorders>
            <w:gridSpan w:val="6"/>
            <w:shd w:val="clear" w:color="auto" w:fill="CCEEFF"/>
          </w:tcPr>
          <w:p>
            <w:pPr>
              <w:spacing w:after="0"/>
              <w:rPr>
                <w:sz w:val="18"/>
                <w:szCs w:val="18"/>
                <w:color w:val="auto"/>
              </w:rPr>
            </w:pPr>
          </w:p>
        </w:tc>
        <w:tc>
          <w:tcPr>
            <w:tcW w:w="15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Offer and Listing</w:t>
            </w:r>
          </w:p>
        </w:tc>
        <w:tc>
          <w:tcPr>
            <w:tcW w:w="6560" w:type="dxa"/>
            <w:vAlign w:val="bottom"/>
            <w:tcBorders>
              <w:bottom w:val="single" w:sz="8" w:color="CCEEFF"/>
            </w:tcBorders>
            <w:gridSpan w:val="20"/>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81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12.</w:t>
            </w: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81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15.</w:t>
            </w: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w:t>
            </w:r>
          </w:p>
        </w:tc>
        <w:tc>
          <w:tcPr>
            <w:tcW w:w="81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16A.</w:t>
            </w: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16B.</w:t>
            </w:r>
          </w:p>
        </w:tc>
        <w:tc>
          <w:tcPr>
            <w:tcW w:w="81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Code of Conduct</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16C.</w:t>
            </w: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16D.</w:t>
            </w:r>
          </w:p>
        </w:tc>
        <w:tc>
          <w:tcPr>
            <w:tcW w:w="300" w:type="dxa"/>
            <w:vAlign w:val="bottom"/>
            <w:shd w:val="clear" w:color="auto" w:fill="CCEEFF"/>
          </w:tcPr>
          <w:p>
            <w:pPr>
              <w:spacing w:after="0"/>
              <w:rPr>
                <w:sz w:val="15"/>
                <w:szCs w:val="15"/>
                <w:color w:val="auto"/>
              </w:rPr>
            </w:pPr>
          </w:p>
        </w:tc>
        <w:tc>
          <w:tcPr>
            <w:tcW w:w="81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16E.</w:t>
            </w:r>
          </w:p>
        </w:tc>
        <w:tc>
          <w:tcPr>
            <w:tcW w:w="300" w:type="dxa"/>
            <w:vAlign w:val="bottom"/>
          </w:tcPr>
          <w:p>
            <w:pPr>
              <w:spacing w:after="0"/>
              <w:rPr>
                <w:sz w:val="15"/>
                <w:szCs w:val="15"/>
                <w:color w:val="auto"/>
              </w:rPr>
            </w:pP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00" w:type="dxa"/>
            <w:vAlign w:val="bottom"/>
            <w:tcBorders>
              <w:right w:val="single" w:sz="8" w:color="CCEEFF"/>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16F.</w:t>
            </w:r>
          </w:p>
        </w:tc>
        <w:tc>
          <w:tcPr>
            <w:tcW w:w="320" w:type="dxa"/>
            <w:vAlign w:val="bottom"/>
            <w:gridSpan w:val="2"/>
            <w:shd w:val="clear" w:color="auto" w:fill="CCEEFF"/>
          </w:tcPr>
          <w:p>
            <w:pPr>
              <w:spacing w:after="0"/>
              <w:rPr>
                <w:sz w:val="15"/>
                <w:szCs w:val="15"/>
                <w:color w:val="auto"/>
              </w:rPr>
            </w:pPr>
          </w:p>
        </w:tc>
        <w:tc>
          <w:tcPr>
            <w:tcW w:w="81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16G.</w:t>
            </w: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16H.</w:t>
            </w:r>
          </w:p>
        </w:tc>
        <w:tc>
          <w:tcPr>
            <w:tcW w:w="300" w:type="dxa"/>
            <w:vAlign w:val="bottom"/>
            <w:shd w:val="clear" w:color="auto" w:fill="CCEEFF"/>
          </w:tcPr>
          <w:p>
            <w:pPr>
              <w:spacing w:after="0"/>
              <w:rPr>
                <w:sz w:val="18"/>
                <w:szCs w:val="18"/>
                <w:color w:val="auto"/>
              </w:rPr>
            </w:pPr>
          </w:p>
        </w:tc>
        <w:tc>
          <w:tcPr>
            <w:tcW w:w="81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16K.</w:t>
            </w:r>
          </w:p>
        </w:tc>
        <w:tc>
          <w:tcPr>
            <w:tcW w:w="300" w:type="dxa"/>
            <w:vAlign w:val="bottom"/>
            <w:tcBorders>
              <w:top w:val="single" w:sz="8" w:color="CCEEFF"/>
            </w:tcBorders>
          </w:tcPr>
          <w:p>
            <w:pPr>
              <w:spacing w:after="0"/>
              <w:rPr>
                <w:sz w:val="15"/>
                <w:szCs w:val="15"/>
                <w:color w:val="auto"/>
              </w:rPr>
            </w:pPr>
          </w:p>
        </w:tc>
        <w:tc>
          <w:tcPr>
            <w:tcW w:w="17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40" w:type="dxa"/>
            <w:vAlign w:val="bottom"/>
            <w:tcBorders>
              <w:top w:val="single" w:sz="8" w:color="CCEEFF"/>
            </w:tcBorders>
            <w:gridSpan w:val="17"/>
          </w:tcPr>
          <w:p>
            <w:pPr>
              <w:spacing w:after="0"/>
              <w:rPr>
                <w:sz w:val="15"/>
                <w:szCs w:val="15"/>
                <w:color w:val="auto"/>
              </w:rPr>
            </w:pPr>
          </w:p>
        </w:tc>
        <w:tc>
          <w:tcPr>
            <w:tcW w:w="7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17.</w:t>
            </w: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tcBorders>
              <w:bottom w:val="single" w:sz="8" w:color="0000EE"/>
              <w:right w:val="single" w:sz="8" w:color="CCEEFF"/>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2"/>
              </w:rPr>
              <w:t>ITEM 18.</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5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w:t>
            </w:r>
          </w:p>
        </w:tc>
        <w:tc>
          <w:tcPr>
            <w:tcW w:w="6620" w:type="dxa"/>
            <w:vAlign w:val="bottom"/>
            <w:tcBorders>
              <w:bottom w:val="single" w:sz="8" w:color="CCEEFF"/>
            </w:tcBorders>
            <w:gridSpan w:val="21"/>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2"/>
              </w:rPr>
              <w:t>ITEM 19.</w:t>
            </w:r>
          </w:p>
        </w:tc>
        <w:tc>
          <w:tcPr>
            <w:tcW w:w="320" w:type="dxa"/>
            <w:vAlign w:val="bottom"/>
            <w:gridSpan w:val="2"/>
          </w:tcPr>
          <w:p>
            <w:pPr>
              <w:spacing w:after="0"/>
              <w:rPr>
                <w:sz w:val="15"/>
                <w:szCs w:val="15"/>
                <w:color w:val="auto"/>
              </w:rPr>
            </w:pPr>
          </w:p>
        </w:tc>
        <w:tc>
          <w:tcPr>
            <w:tcW w:w="81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report under International Financial Reporting Standards, or IFRS, as issued by the International Accounting Standards Board, or the IASB. We have made rounding adjustments to some of the figures included in this Annual Report. Accordingly, numerical figures shown as totals in some tables may not be an arithmetic aggregation of the figures that preceded them.</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financial statements included in this Annual Report are presented in euro and, unless otherwise specified, all monetary amounts are in euro. All references in this Annual Report to “$,” “U.S. dollars” and “dollars” mean U.S. dollars and all references to “€” and “euro” mean euro, unless otherwise noted.</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 this Annual Report, unless otherwise indicated, some euro amounts have been translated into U.S. dollars at the rate of $1.105 to €1.00, the official exchange rate quoted as of December 31, 2023 by the European Central Bank.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REFERENCES</w:t>
      </w:r>
    </w:p>
    <w:p>
      <w:pPr>
        <w:spacing w:after="0" w:line="22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Annual Report to “CureVac” or the “Company,” “we,” “our,” “ours,” “ourselves,” “us” or similar terms refer to: (1) on or following the consummation of the Corporate Reorganization, CureVac N.V. together with its subsidiaries, including CureVac SE (formerly known as CureVac AG), and (2) prior to the consummation of the Corporate Reorganization, CureVac AG.</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a holding company and our sole asset is the capital stock of our wholly owned subsidiaries, including CureVac SE. CureVac N.V. operates and controls all of the business and affairs and consolidates the financial results of CureVac SE. We are incorporated in the Netherlands, and a majority of our outstanding securities are owned by non-U.S. residents. Under the rules of the U.S. Securities and Exchange Commission, or the SEC, we are currently eligible for treatment as a “foreign private issuer.” As a foreign private issuer, we are not required to file periodic reports and financial statements with the SEC as frequently or as promptly as domestic registrants whose securities are registered under the Securities Exchange Act of 1934, as amended, or the Exchange Act.</w:t>
      </w:r>
    </w:p>
    <w:p>
      <w:pPr>
        <w:spacing w:after="0" w:line="179" w:lineRule="exact"/>
        <w:rPr>
          <w:sz w:val="20"/>
          <w:szCs w:val="20"/>
          <w:color w:val="auto"/>
        </w:rPr>
      </w:pPr>
    </w:p>
    <w:p>
      <w:pPr>
        <w:ind w:right="60" w:firstLine="324"/>
        <w:spacing w:after="0" w:line="226" w:lineRule="auto"/>
        <w:rPr>
          <w:sz w:val="20"/>
          <w:szCs w:val="20"/>
          <w:color w:val="auto"/>
        </w:rPr>
      </w:pPr>
      <w:r>
        <w:rPr>
          <w:rFonts w:ascii="Times New Roman" w:cs="Times New Roman" w:eastAsia="Times New Roman" w:hAnsi="Times New Roman"/>
          <w:sz w:val="18"/>
          <w:szCs w:val="18"/>
          <w:color w:val="auto"/>
        </w:rPr>
        <w:t>We own or have rights to various trademarks and trade names, including CureVac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 CureVac logo, that we use in connection with the operation of our business. This Annual Report may also contain trademarks, service marks and trade names of third parties, which are the property of their respective owners. We do not intend our use or display of other entities’ trademarks, trade names or service marks to imply a relationship with, or endorsement or sponsorship of us by, any other entity. Solely for convenience, the trademarks, trade names and service marks in this Annual Report are referred to without the symbols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or </w:t>
      </w:r>
      <w:r>
        <w:rPr>
          <w:rFonts w:ascii="Times New Roman" w:cs="Times New Roman" w:eastAsia="Times New Roman" w:hAnsi="Times New Roman"/>
          <w:sz w:val="13"/>
          <w:szCs w:val="13"/>
          <w:color w:val="auto"/>
        </w:rPr>
        <w:t>SM</w:t>
      </w:r>
      <w:r>
        <w:rPr>
          <w:rFonts w:ascii="Times New Roman" w:cs="Times New Roman" w:eastAsia="Times New Roman" w:hAnsi="Times New Roman"/>
          <w:sz w:val="18"/>
          <w:szCs w:val="18"/>
          <w:color w:val="auto"/>
        </w:rPr>
        <w:t>, but the omission of such references should not be construed as any indication that we will not assert, to the fullest extent under applicable law, our rights or the right of the applicable owner of these trademarks, service marks and trade names.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Many of the forward-looking statements contained in this Annual Report can be identified by the use of forward-looking words such as “anticipate,” “believe,” “could,” “expect,” “should,” “plan,” “intend,” “estimate” and “potential,” or other similar expressions.</w:t>
      </w:r>
    </w:p>
    <w:p>
      <w:pPr>
        <w:spacing w:after="0" w:line="176"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Annual Report. These risks and uncertainties include factors relating to:</w:t>
      </w:r>
    </w:p>
    <w:p>
      <w:pPr>
        <w:spacing w:after="0" w:line="168" w:lineRule="exact"/>
        <w:rPr>
          <w:sz w:val="20"/>
          <w:szCs w:val="20"/>
          <w:color w:val="auto"/>
        </w:rPr>
      </w:pPr>
    </w:p>
    <w:p>
      <w:pPr>
        <w:ind w:left="680" w:right="52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61" w:lineRule="exact"/>
        <w:rPr>
          <w:rFonts w:ascii="Times New Roman" w:cs="Times New Roman" w:eastAsia="Times New Roman" w:hAnsi="Times New Roman"/>
          <w:sz w:val="18"/>
          <w:szCs w:val="18"/>
          <w:color w:val="auto"/>
        </w:rPr>
      </w:pPr>
    </w:p>
    <w:p>
      <w:pPr>
        <w:ind w:left="680" w:right="140" w:hanging="321"/>
        <w:spacing w:after="0" w:line="26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 for our product candidates;</w:t>
      </w:r>
    </w:p>
    <w:p>
      <w:pPr>
        <w:spacing w:after="0" w:line="225"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collaborators to continue research and development activities relating to our product candidates and cost associated with the cancellation of manufacture and supply agreements in the event of termination of our research and development programs;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the Bill &amp; Melinda Gates Foundation of withdrawal rights;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collaborators’ ability to obtain, maintain, defend and enforce our intellectual property protection for our proprietary and collaborative product candidates, and the scope of such protection;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if approved;</w:t>
      </w:r>
    </w:p>
    <w:p>
      <w:pPr>
        <w:spacing w:after="0" w:line="184"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delivery vehicles for preclinical use, for clinical trials and on a larger scale for commercial use, if approved;</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demographic and business conditions in the United States and Europe;</w:t>
      </w:r>
    </w:p>
    <w:p>
      <w:pPr>
        <w:spacing w:after="0" w:line="184"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unstable market and economic conditions such as rising inflation and interest rates and the conflict involving Russia and Ukraine on our business;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strategy;</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and conduct our business in the future;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for our clinical trials;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and the ability to retain such personnel;</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and changes in the United States, Europe and countries outside of Europe including tax matters;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overcome the challenges posed by pandemics (such as COVID-19), to the conduct of our business;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maintain and improve effective internal controls;</w:t>
      </w:r>
    </w:p>
    <w:p>
      <w:pPr>
        <w:spacing w:after="0" w:line="184" w:lineRule="exact"/>
        <w:rPr>
          <w:rFonts w:ascii="Times New Roman" w:cs="Times New Roman" w:eastAsia="Times New Roman" w:hAnsi="Times New Roman"/>
          <w:sz w:val="18"/>
          <w:szCs w:val="18"/>
          <w:color w:val="auto"/>
        </w:rPr>
      </w:pPr>
    </w:p>
    <w:p>
      <w:pPr>
        <w:ind w:left="680" w:right="6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future revenue and capital requirements and our needs for or ability to obtain additional financing;</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affect our financial condition, liquidity and results of operations;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“Item 3. Key Information — D. Risk Factors.”</w:t>
      </w:r>
    </w:p>
    <w:p>
      <w:pPr>
        <w:spacing w:after="0" w:line="18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You should read this Annual Report carefully with the understanding that our actual future results may be materially different from and worse than what we expect. If our forward-looking statements prove to be inaccurate, the inaccuracy may be material. Other sections of this Annual Report include additional factors which could adversely impact our business and financial performance. In light of the significant uncertainties in these forward-looking statements, you should not regard these statements as a representation or warranty by us or any other person that we will achieve our objectives and plans in any specified time frame or at all. Moreover, we operate in an evolving environment. Thus,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40" w:right="7080" w:hanging="332"/>
        <w:spacing w:after="0" w:line="500" w:lineRule="auto"/>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6320" w:hanging="332"/>
        <w:spacing w:after="0" w:line="500" w:lineRule="auto"/>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risk factors our business faces. The list below is not exhaustive, and investors should read this “Risk Factors” section in full. Some of the risks we face include:</w:t>
      </w:r>
    </w:p>
    <w:p>
      <w:pPr>
        <w:spacing w:after="0" w:line="162" w:lineRule="exact"/>
        <w:rPr>
          <w:sz w:val="20"/>
          <w:szCs w:val="20"/>
          <w:color w:val="auto"/>
        </w:rPr>
      </w:pPr>
    </w:p>
    <w:p>
      <w:pPr>
        <w:jc w:val="both"/>
        <w:ind w:left="680" w:right="10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residual business disruption and related risks resulting from inflationary pressures, supply chain issues, labor shortages and increases in commodity prices (including as result of the war in Ukraine) and the lingering effects of the COVID-19 pandemic, which could have a material adverse effect on our business plan or clinical trials.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or other failures in our or our third-party vendors’, contractors’ or consultants’ telecommunications or information technology systems could result in information theft, data corruption and significant disruption of our business operations.</w:t>
      </w:r>
    </w:p>
    <w:p>
      <w:pPr>
        <w:spacing w:after="0" w:line="161"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intellectual property protection for our products or product candidates, or if the scope of our intellectual property protection is not sufficiently broad, our ability to commercialize our product candidates successfully and to compete effectively may be materially adversely affected.</w:t>
      </w:r>
    </w:p>
    <w:p>
      <w:pPr>
        <w:spacing w:after="0" w:line="175" w:lineRule="exact"/>
        <w:rPr>
          <w:rFonts w:ascii="Times New Roman" w:cs="Times New Roman" w:eastAsia="Times New Roman" w:hAnsi="Times New Roman"/>
          <w:sz w:val="18"/>
          <w:szCs w:val="18"/>
          <w:color w:val="auto"/>
        </w:rPr>
      </w:pPr>
    </w:p>
    <w:p>
      <w:pPr>
        <w:ind w:left="680" w:right="120" w:hanging="321"/>
        <w:spacing w:after="0" w:line="26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strategic partnerships with other companies to assist in the research, development and commercialization of our platform and product candidates. If our existing or future partners do not perform as expected, if we fail to maintain any of these collaborations or if these collaborations are not successful, our ability to commercialize our product candidates successfully and to generate revenues through technology licensing or otherwise may be materially adversely affected.</w:t>
      </w:r>
    </w:p>
    <w:p>
      <w:pPr>
        <w:spacing w:after="0" w:line="179" w:lineRule="exact"/>
        <w:rPr>
          <w:rFonts w:ascii="Times New Roman" w:cs="Times New Roman" w:eastAsia="Times New Roman" w:hAnsi="Times New Roman"/>
          <w:sz w:val="18"/>
          <w:szCs w:val="18"/>
          <w:color w:val="auto"/>
        </w:rPr>
      </w:pPr>
    </w:p>
    <w:p>
      <w:pPr>
        <w:ind w:left="680" w:right="120" w:hanging="321"/>
        <w:spacing w:after="0" w:line="26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uncertain timelines and uncertain outcomes, and results of earlier studies and trials may not be predictive of future trial results. If clinical trials of our product candidates or production of our product candidates are prolonged or delayed, we may be unable to obtain required regulatory approvals, and therefore be unable to commercialize our product candidates on a timely basis or at all.</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product candidates are still in preclinical or clinical development. We cannot give any assurance that any of our product candidates will receive regulatory approval, and if we are unable to obtain regulatory approval and ultimately commercialize our product candidates or experience significant delays in doing so, our business will be materially harmed.</w:t>
      </w:r>
    </w:p>
    <w:p>
      <w:pPr>
        <w:spacing w:after="0" w:line="17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history of commercializing pharmaceutical products, which may make it difficult to evaluate the prospects for our future viability.</w:t>
      </w:r>
    </w:p>
    <w:p>
      <w:pPr>
        <w:spacing w:after="0" w:line="161" w:lineRule="exact"/>
        <w:rPr>
          <w:rFonts w:ascii="Times New Roman" w:cs="Times New Roman" w:eastAsia="Times New Roman" w:hAnsi="Times New Roman"/>
          <w:sz w:val="18"/>
          <w:szCs w:val="18"/>
          <w:color w:val="auto"/>
        </w:rPr>
      </w:pPr>
    </w:p>
    <w:p>
      <w:pPr>
        <w:ind w:left="680" w:right="20" w:hanging="321"/>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that could delay or prevent their regulatory approval, limit the commercial profile of an approved label or result in significant negative consequences following regulatory approval, if any. Significant adverse events may occur during our clinical trials or even after receiving regulatory approval, which could delay or terminate clinical trials, delay or prevent regulatory approval or market acceptance of any of our product candidates.</w:t>
      </w:r>
    </w:p>
    <w:p>
      <w:pPr>
        <w:spacing w:after="0" w:line="179" w:lineRule="exact"/>
        <w:rPr>
          <w:rFonts w:ascii="Times New Roman" w:cs="Times New Roman" w:eastAsia="Times New Roman" w:hAnsi="Times New Roman"/>
          <w:sz w:val="18"/>
          <w:szCs w:val="18"/>
          <w:color w:val="auto"/>
        </w:rPr>
      </w:pPr>
    </w:p>
    <w:p>
      <w:pPr>
        <w:ind w:left="680" w:right="200" w:hanging="321"/>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a limited number of products that utilize mRNA as a prophylactic vaccine against COVID-19 have been approved in the United States, Europe and other countries, subject to certain limitations. In addition, no product that utilizes mRNA as a therapeutic vaccine has been approved in the United States or Europe. As such, mRNA drug development has substantial clinical development and regulatory risks due to the novel nature of this new category of medicines.</w:t>
      </w:r>
    </w:p>
    <w:p>
      <w:pPr>
        <w:spacing w:after="0" w:line="179" w:lineRule="exact"/>
        <w:rPr>
          <w:rFonts w:ascii="Times New Roman" w:cs="Times New Roman" w:eastAsia="Times New Roman" w:hAnsi="Times New Roman"/>
          <w:sz w:val="18"/>
          <w:szCs w:val="18"/>
          <w:color w:val="auto"/>
        </w:rPr>
      </w:pPr>
    </w:p>
    <w:p>
      <w:pPr>
        <w:ind w:left="680" w:right="40" w:hanging="321"/>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authorities are lengthy, time consuming and inherently unpredictable and if we fail to obtain regulatory approval in any jurisdiction, we will not be able to commercialize our products in that jurisdiction and our business, results of operations, financial condition and prospects, may be materially adversely affected.</w:t>
      </w:r>
    </w:p>
    <w:p>
      <w:pPr>
        <w:spacing w:after="0" w:line="179" w:lineRule="exact"/>
        <w:rPr>
          <w:rFonts w:ascii="Times New Roman" w:cs="Times New Roman" w:eastAsia="Times New Roman" w:hAnsi="Times New Roman"/>
          <w:sz w:val="18"/>
          <w:szCs w:val="18"/>
          <w:color w:val="auto"/>
        </w:rPr>
      </w:pPr>
    </w:p>
    <w:p>
      <w:pPr>
        <w:ind w:left="680" w:right="44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breakthrough therapy designation by the FDA for a product candidate may not lead to a faster development or regulatory review or approval process, and it would not increase the likelihood that the product candidate will receive marketing approval.</w:t>
      </w:r>
    </w:p>
    <w:p>
      <w:pPr>
        <w:spacing w:after="0" w:line="175" w:lineRule="exact"/>
        <w:rPr>
          <w:rFonts w:ascii="Times New Roman" w:cs="Times New Roman" w:eastAsia="Times New Roman" w:hAnsi="Times New Roman"/>
          <w:sz w:val="18"/>
          <w:szCs w:val="18"/>
          <w:color w:val="auto"/>
        </w:rPr>
      </w:pPr>
    </w:p>
    <w:p>
      <w:pPr>
        <w:ind w:left="680" w:right="260" w:hanging="321"/>
        <w:spacing w:after="0" w:line="289" w:lineRule="auto"/>
        <w:tabs>
          <w:tab w:leader="none" w:pos="6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manufacture of mRNA-based medicines is complex and manufacturers often encounter difficulties in production, especially in the field of biologics. If we or any of our third-party manufacturers encounter difficulties, our ability to provide product candidates for clinical trials or products, if approved, to patients or future customers could be delayed or halted.</w:t>
      </w:r>
    </w:p>
    <w:p>
      <w:pPr>
        <w:spacing w:after="0" w:line="157"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errors or defects in our production could harm our reputation or expose us to product liability claims.</w:t>
      </w:r>
    </w:p>
    <w:p>
      <w:pPr>
        <w:spacing w:after="0" w:line="225"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nonclinical and clinical trials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75" w:lineRule="exact"/>
        <w:rPr>
          <w:rFonts w:ascii="Times New Roman" w:cs="Times New Roman" w:eastAsia="Times New Roman" w:hAnsi="Times New Roman"/>
          <w:sz w:val="18"/>
          <w:szCs w:val="18"/>
          <w:color w:val="auto"/>
        </w:rPr>
      </w:pPr>
    </w:p>
    <w:p>
      <w:pPr>
        <w:jc w:val="both"/>
        <w:ind w:left="680" w:right="34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third-party manufacturer of our product candidates is unable to increase the scale of production of our product candidates, and/or increase the product yield of manufacturing, then our costs to manufacture the product may increase and commercialization may be delayed.</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start of the COVID-19 pandemic, we entered into contractual engagements with third-party manufacturers to have access to additional capacity. The remaining wind-down of these contracts entails risks of financial penalties and litigation.</w:t>
      </w:r>
    </w:p>
    <w:p>
      <w:pPr>
        <w:spacing w:after="0" w:line="161" w:lineRule="exact"/>
        <w:rPr>
          <w:rFonts w:ascii="Times New Roman" w:cs="Times New Roman" w:eastAsia="Times New Roman" w:hAnsi="Times New Roman"/>
          <w:sz w:val="18"/>
          <w:szCs w:val="18"/>
          <w:color w:val="auto"/>
        </w:rPr>
      </w:pPr>
    </w:p>
    <w:p>
      <w:pPr>
        <w:ind w:left="680" w:right="28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any license, collaboration or other intellectual property agreements, disagree over contract interpretation, or otherwise experience disruptions to our business relationships with our collaborators or licensors, we could lose intellectual property rights that are necessary to our business.</w:t>
      </w:r>
    </w:p>
    <w:p>
      <w:pPr>
        <w:spacing w:after="0" w:line="175" w:lineRule="exact"/>
        <w:rPr>
          <w:rFonts w:ascii="Times New Roman" w:cs="Times New Roman" w:eastAsia="Times New Roman" w:hAnsi="Times New Roman"/>
          <w:sz w:val="18"/>
          <w:szCs w:val="18"/>
          <w:color w:val="auto"/>
        </w:rPr>
      </w:pPr>
    </w:p>
    <w:p>
      <w:pPr>
        <w:ind w:left="680" w:right="20" w:hanging="321"/>
        <w:spacing w:after="0" w:line="277" w:lineRule="auto"/>
        <w:tabs>
          <w:tab w:leader="none" w:pos="6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we, or any future collaborators, are able to commercialize any product candidate that we, or they, develop, the successful commercialization of our product candidates will depend in part on the extent to which governmental authorities, private health insurers and other third-party payors provide coverage and adequate reimbursement levels and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58"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are classified as gene therapies by the FDA and the EMA, and the FDA has indicated that products similar to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of the adequacy of our capital resources to successfully complete the development and commercialization of our product candidates, and a failure to obtain additional capital, if needed, could force us to delay, limit, reduce or terminate one or more of our product development programs or commercialization efforts.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2023, we had cash and cash equivalents amounting to €402 million. We believe that we will continue to expend substantial resources for the foreseeable future developing our proprietary product candidates. These expenditures will include costs associated with research and development, conducting preclinical studies and clinical trials, seeking regulatory approvals, as well as launching and commercializing products approved for sale, if any, and costs associated with manufacturing products and maintaining manufacturing facilities. In addition, other unanticipated costs may arise. Because the outcomes of our anticipated clinical trials are highly uncertain, we cannot reasonably estimate the actual amounts necessary to successfully complete the development and commercialization of our proprietary product candidates.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25" w:lineRule="exact"/>
        <w:rPr>
          <w:sz w:val="20"/>
          <w:szCs w:val="20"/>
          <w:color w:val="auto"/>
        </w:rPr>
      </w:pPr>
    </w:p>
    <w:p>
      <w:pPr>
        <w:ind w:left="680" w:right="30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numerous risks and uncertainties associated with developing product candidates and maintaining our mRNA technology platform;</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enrollment, progress, cost and outcomes of our clinical trials, which may or may not meet their primary endpoints;</w:t>
      </w:r>
    </w:p>
    <w:p>
      <w:pPr>
        <w:spacing w:after="0" w:line="184"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 involved in, conducting nonclinical studies that are regulatory prerequisites to conducting clinical trials of sufficient duration for successful product registration;</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supply and establishing commercial supply of our product candidates;</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161" w:lineRule="exact"/>
        <w:rPr>
          <w:rFonts w:ascii="Times New Roman" w:cs="Times New Roman" w:eastAsia="Times New Roman" w:hAnsi="Times New Roman"/>
          <w:sz w:val="18"/>
          <w:szCs w:val="18"/>
          <w:color w:val="auto"/>
        </w:rPr>
      </w:pPr>
    </w:p>
    <w:p>
      <w:pPr>
        <w:ind w:left="680" w:right="7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 if clinical trials are successful;</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conducting post-approval studies that may be required by regulatory authorities;</w:t>
      </w:r>
    </w:p>
    <w:p>
      <w:pPr>
        <w:spacing w:after="0" w:line="184" w:lineRule="exact"/>
        <w:rPr>
          <w:rFonts w:ascii="Times New Roman" w:cs="Times New Roman" w:eastAsia="Times New Roman" w:hAnsi="Times New Roman"/>
          <w:sz w:val="18"/>
          <w:szCs w:val="18"/>
          <w:color w:val="auto"/>
        </w:rPr>
      </w:pPr>
    </w:p>
    <w:p>
      <w:pPr>
        <w:jc w:val="both"/>
        <w:ind w:left="680" w:right="420" w:hanging="321"/>
        <w:spacing w:after="0" w:line="26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product candidates, if any of our product candidates are approved for sale, including product manufacturing, marketing and distribution of product candidates generated from our mRNA technology platform and any other product opportunity for which we receive marketing approval in the future;</w:t>
      </w:r>
    </w:p>
    <w:p>
      <w:pPr>
        <w:spacing w:after="0" w:line="148" w:lineRule="exact"/>
        <w:rPr>
          <w:rFonts w:ascii="Times New Roman" w:cs="Times New Roman" w:eastAsia="Times New Roman" w:hAnsi="Times New Roman"/>
          <w:sz w:val="18"/>
          <w:szCs w:val="18"/>
          <w:color w:val="auto"/>
        </w:rPr>
      </w:pPr>
    </w:p>
    <w:p>
      <w:pPr>
        <w:ind w:left="680" w:right="380" w:hanging="321"/>
        <w:spacing w:after="0" w:line="312" w:lineRule="auto"/>
        <w:tabs>
          <w:tab w:leader="none" w:pos="6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any collaborative, licensing and other arrangements that we are currently party to or may establish, including any required milestone and royalty payments thereunder and any nondilutive funding that we may receive;</w:t>
      </w:r>
    </w:p>
    <w:p>
      <w:pPr>
        <w:spacing w:after="0" w:line="99" w:lineRule="exact"/>
        <w:rPr>
          <w:rFonts w:ascii="Times New Roman" w:cs="Times New Roman" w:eastAsia="Times New Roman" w:hAnsi="Times New Roman"/>
          <w:sz w:val="17"/>
          <w:szCs w:val="17"/>
          <w:color w:val="auto"/>
        </w:rPr>
      </w:pPr>
    </w:p>
    <w:p>
      <w:pPr>
        <w:ind w:left="680" w:right="3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including litigation costs, if any, and the outcome of any such litigation;</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or milestones on, our future products, if any;</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recruit and build the organization, including key executives needed to transform to a commercial organization; and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including hiring additional personnel.</w:t>
      </w:r>
    </w:p>
    <w:p>
      <w:pPr>
        <w:spacing w:after="0" w:line="22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our operating plan may change as a result of many factors currently unknown to us. As a result of these factors, we may need additional funds sooner than planned. We expect to finance future cash needs primarily through a combination of public or private equity offerings, strategic collaborations, revenues from future product sales, if any, and debt financing. If sufficient funds on acceptable terms are not available when needed, or at all, we could be forced to significantly reduce operating expenses and delay, limit, reduce or terminate one or more of our product development programs or commercialization efforts, which would have a negative impact on our business, prospects, operating results and financial condition.</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for the foreseeable future and may never achieve or maintain profitability.</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since our inception. Our consolidated net loss for the years ended December 31, 2023 and 2022 were €260.1 million and €249.1 million, respectively. As of December 31, 2023, our accumulated deficit was €1,566.0 million. We expect to continue to incur losses in the future as we continue our research and development of, and seek regulatory approvals for, our product candidates and maintain and develop new technology platforms, prepare for and begin to commercialize any approved product candidates and add infrastructure and personnel to support our product development efforts and operations as a public company in the United States. We have devoted substantially all of our financial resources and efforts to research and development, including preclinical studies and clinical trials and development of our manufacturing technology. The net losses and negative cash flows from operations incurred to date, together with expected future losses, have had, and likely will continue to have, an adverse effect on our working capital. The amount of future net losses will depend, in part, on the rate of future growth of our expenses and our ability to generate revenue.</w:t>
      </w:r>
    </w:p>
    <w:p>
      <w:pPr>
        <w:spacing w:after="0" w:line="1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For example, our expenses could increase if we are required by the U.S. Food and Drug Administration, or the FDA, the European Medicines Agency, or the EMA, or other regulatory agencies to perform trials in addition to those that we currently expect to perform, or if there are any delays in completing our currently planned clinical trials, the partnering process for our proprietary product candidates or the development of any of our proprietary product candidates.</w:t>
      </w:r>
    </w:p>
    <w:p>
      <w:pPr>
        <w:spacing w:after="0" w:line="16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Our revenue to date has been primarily revenue from the license of our technology platform and from milestone payments for the development of product candidates against targets provided by our collaborators. Our ability to generate revenue and achieve profitability in the future depends in large part on our ability, alone or with our collaborators, to achieve milestones and to successfully complete the development of, obtain the necessary regulatory approvals for, and commercialize, our product candidates and technology platform. This will require us to be successful in a range of challenging activities, including developing product candidates, obtaining regulatory approval for such product candidates, and manufacturing, marketing and selling those product candidates for which we may obtain regulatory approval. We may never succeed in these activities and may never generate revenue from product sales that is significant enough to achieve profitability. Even if we achieve profitability in the future, we may not be able to sustain profitability in subsequent periods. Our failure to become or remain profitable could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1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substantial financing, which may not be available on acceptable terms, or at all. Raising capital may cause dilution to our shareholders, restrict our operations or require us to relinquish rights to our technology or product candidates.</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To the extent that we raise capital through the sale of common shares, convertible securities or other equity securities, the ownership interests of our shareholders may be diluted, and the terms of these securities could include liquidation or other preferences and anti-dilution protections that could adversely affect rights of our common shareholders. In addition, debt financing, if available, may result in fixed payment obligations and may involve agreements that include restrictive covenants that limit our ability to take specific actions, such as incurring debt, making capital expenditures, creating liens, redeeming shares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we raise funds through collaborations or marketing, distribution or licensing arrangements with third parties, we may have to relinquish valuable rights to our technologies, future revenue streams or product candidates or grant licenses on terms that may not be favorable to us. If we are unable to raise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that funding will be available on acceptable terms, or at all. If we are unable to raise capital in sufficient amounts or on terms acceptable to us, we may have to significantly delay, scale back or discontinue the development or commercialization of our product candidates or other research and development initiatives. Our current or future license agreements may also be terminated if we are unable to meet the payment or other obligations under the agreements.</w:t>
      </w:r>
    </w:p>
    <w:p>
      <w:pPr>
        <w:spacing w:after="0" w:line="17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limited financial and managerial resources, and therefore we intend to focus on developing product candidates for specific indications that we believe are most likely to succeed, in terms of both their potential for marketing approval and potential for successful commercialization, if approved. As a result, we may forego or delay pursuit of opportunities with other product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18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strategic partnerships with other companies to assist in the research, development and commercialization of our platform and product candidates. If our existing or future partners do not perform as expected, if we fail to maintain any of these collaborations or if these collaborations are not successful, our ability to commercialize our product candidates successfully and to generate revenues through technology licensing or otherwise may be materially adversely affected.</w:t>
      </w:r>
    </w:p>
    <w:p>
      <w:pPr>
        <w:spacing w:after="0" w:line="18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have established strategic partnerships and intend to continue to establish strategic partnerships with third parties to research, develop and commercialize our platform and existing and future product candidates. We have entered into strategic partnerships with Genmab, Acuitas, CRISPR Therapeutics, GlaxoSmithKline Biologicals SA (“GSK”), the Bill &amp; Melinda Gates Foundation, CEPI and Tesla Automation (formerly trading under the name of Tesla Grohmann Automation) and myNEO NV (“myNEO”), among others. For certain of these programs, including our collaborations with Genmab, CRISPR Therapeutics and GSK, we will depend on our partners to design and conduct their clinical studies. As a result, we may not be able to conduct these programs in the manner or on the time schedule we currently contemplate, which may negatively impact our business operations. While we have certain contractual rights to information about preclinical and clinical developments and results under certain of our collaboration agreements, including our agreements with Genmab, CRISPR Therapeutics and GSK, we cannot be certain that clinical trials conducted in connection with such collaboration programs will be conducted in a manner consistent with the best interests of our business. In addition, if any of these partners withdraw support for these programs or proposed products or otherwise impair their development, our business could be negatively affected. Also, our inability to find a partner for any of our product candidates may result in our termination of that specific product candidate program or evaluation of a product candidate in a particular indication. Even if we found a partner for one or more of our product candidates, there is no assurance that upon the approval of one or more of such product candidates we will be able to successfully co-commercialize such products.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addition, our existing licenses and collaboration agreements, including our agreements with Genmab, Acuitas, the Bill &amp; Melinda Gates Foundation, CRISPR Therapeutics, GSK, CEPI and myNEO, impose, and any future licenses, collaborations or other intellectual property agreements we enter into are likely to impose, various development, commercialization, funding, milestone, royalty, diligence, sublicensing, insurance, patent prosecution and enforcement or other obligations on us. Furthermore, our licenses and collaboration agreements impose, and any future agreement we enter into may also impose, restrictions on our ability to license certain of our intellectual property to third parties or to develop or commercialize certain product candidates or technologies. In spite of our best efforts, our collaborators may conclude that we have breached our obligations under our agreements, in which case, we may be required to pay damages and the collaborator may have the right to terminate the agreement. Any of the foregoing could result in us being unable to develop, manufacture and sell products that are covered by the licensed technology, enable a competitor to gain access to the licensed technology or disrupt our right to receive funding or milestone or royalty payments. See “Item 4. Information on the Company —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Business Overview —  Collaborations.”</w:t>
      </w:r>
    </w:p>
    <w:p>
      <w:pPr>
        <w:spacing w:after="0" w:line="20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certain of our collaboration agreements, including our collaborations with Genmab, CRISPR Therapeutics and GSK, we grant our partners an exclusive license to develop and commercialize certain classes of products containing our mRNA technology for specific targets and receive license fees, research and development funding, milestone payments and/or, if a product is approved for marketing, sales royalties in return. Following the discovery and preclinical testing phase, in certain cases, our partners are solely responsible for the further development of the product candidate and therefore exercise full control over its further development and potential commercialization. In certain cases, including under our collaboration with Genmab, we have a limited right to co-commercialize collaboration products. While certain of our existing licenses and collaboration agreements, including our agreements with Genmab, CRISPR Therapeutics and GSK, impose development or commercialization obligations on our collaborators, we cannot be certain that our collaboration partners will allocate sufficient resources or attention to our collaboration programs or that they will progress our collaboration programs consistent with the best interests of our business. Our existing collaborations, and any future collaborations we enter into, therefore, may pose a number of risks, including the following:</w:t>
      </w:r>
    </w:p>
    <w:p>
      <w:pPr>
        <w:spacing w:after="0" w:line="190" w:lineRule="exact"/>
        <w:rPr>
          <w:sz w:val="20"/>
          <w:szCs w:val="20"/>
          <w:color w:val="auto"/>
        </w:rPr>
      </w:pPr>
    </w:p>
    <w:p>
      <w:pPr>
        <w:ind w:left="680" w:right="104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these collaborations;</w:t>
      </w:r>
    </w:p>
    <w:p>
      <w:pPr>
        <w:spacing w:after="0" w:line="161"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 by us or by health authorities, such as the FDA, the EMA or comparable foreign regulatory authorities;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dissolve, merge, be bought or may otherwise become unwilling to fulfill the initial terms of the collaboration with us;</w:t>
      </w:r>
    </w:p>
    <w:p>
      <w:pPr>
        <w:spacing w:after="0" w:line="16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perform their obligations under the collaboration agreements or may be slow in performing their obligations;</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1"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 or change the actual or perceived competitive situation in a specific indication;</w:t>
      </w:r>
    </w:p>
    <w:p>
      <w:pPr>
        <w:spacing w:after="0" w:line="179"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may require a new formulation of a product candidate for clinical testing;</w:t>
      </w:r>
    </w:p>
    <w:p>
      <w:pPr>
        <w:spacing w:after="0" w:line="175" w:lineRule="exact"/>
        <w:rPr>
          <w:rFonts w:ascii="Times New Roman" w:cs="Times New Roman" w:eastAsia="Times New Roman" w:hAnsi="Times New Roman"/>
          <w:sz w:val="18"/>
          <w:szCs w:val="18"/>
          <w:color w:val="auto"/>
        </w:rPr>
      </w:pPr>
    </w:p>
    <w:p>
      <w:pPr>
        <w:ind w:left="680" w:right="18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4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5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licensors or licensees, including disagreements over proprietary rights, contract interpretation and breach of contract claims, payment obligations or the preferred course of development, might cause delays or termination of the research, development or commercialization of products or product candidates, might lead to additional responsibilities, including financial obligations for us with respect to products or product candidates, or delays or withholding of any payments due or might result in litigation or arbitration, any of which would be time-consuming and expensive, and could limit our ability to execute on our strategies;</w:t>
      </w:r>
    </w:p>
    <w:p>
      <w:pPr>
        <w:spacing w:after="0" w:line="187"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may use our proprietary information in such a way that could jeopardize or invalidate our intellectual property or proprietary information or expose us to potential litigation; and</w:t>
      </w:r>
    </w:p>
    <w:p>
      <w:pPr>
        <w:spacing w:after="0" w:line="17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of third parties, which may expose us to litigation and potential liability.</w:t>
      </w:r>
    </w:p>
    <w:p>
      <w:pPr>
        <w:spacing w:after="0" w:line="162" w:lineRule="exact"/>
        <w:rPr>
          <w:sz w:val="20"/>
          <w:szCs w:val="20"/>
          <w:color w:val="auto"/>
        </w:rPr>
      </w:pPr>
    </w:p>
    <w:p>
      <w:pPr>
        <w:ind w:right="60" w:firstLine="324"/>
        <w:spacing w:after="0" w:line="260" w:lineRule="auto"/>
        <w:rPr>
          <w:sz w:val="20"/>
          <w:szCs w:val="20"/>
          <w:color w:val="auto"/>
        </w:rPr>
      </w:pPr>
      <w:r>
        <w:rPr>
          <w:rFonts w:ascii="Times New Roman" w:cs="Times New Roman" w:eastAsia="Times New Roman" w:hAnsi="Times New Roman"/>
          <w:sz w:val="18"/>
          <w:szCs w:val="18"/>
          <w:color w:val="auto"/>
        </w:rPr>
        <w:t>If our collaborations on research and development candidates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proprietary product candidates. Moreover, our relationships with our partners may divert significant time and effort of our scientific staff and management team and require effective allocation of our resources to multiple internal and collaborative projects. All of the risks relating to product development, regulatory approval and commercialization described in this Annual Report also apply to the activities of our program collaborators.</w:t>
      </w:r>
    </w:p>
    <w:p>
      <w:pPr>
        <w:spacing w:after="0" w:line="18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the future, we may enter into additional collaborations to fund our development programs or to gain access to sales, marketing or distribution capabilities. Our ability to establish additional strategic alliances will depend, among other things, on our assessment of the collaborator’s resources and expertise, the terms and conditions of the proposed strategic alliance and the proposed collaborator’s evaluation of a number of factors. Those factors may include the design or results of clinical trials, the likelihood of approval by the FDA, EMA or similar regulatory authorities, the potential market for the subject product candidate, the costs and complexities of manufacturing and delivering such product candidate to trial participants, the potential of competing drugs, the existence of uncertainty with respect to our or the proposed collaborator’s ownership of technology, which can exist if there is a challenge to such ownership without regard to the merits of the challenge, and industry and market conditions </w:t>
      </w:r>
      <w:r>
        <w:rPr>
          <w:rFonts w:ascii="Times New Roman" w:cs="Times New Roman" w:eastAsia="Times New Roman" w:hAnsi="Times New Roman"/>
          <w:sz w:val="21"/>
          <w:szCs w:val="21"/>
          <w:color w:val="auto"/>
        </w:rPr>
        <w:t>generally.</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one of our collaborators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in a timely manner. For more information on our current collaboration agreements, see “Item 4. Information on the Company — B. Business Overview — Collaborations.”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is required to devote substantial time to compliance initiatives. We are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The U.S. federal securities laws, including the Sarbanes-Oxley Act of 2002, or the Sarbanes-Oxley Act, and rules 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need to devote a substantial amount of time to these compliance initiatives. Moreover, these rules and regulations result in substantial legal and financial compliance costs and have made some activities time-consuming and costly. We may not be able to produce reliable financial statements or file these financial statements as part of periodic report in a timely manner with the SEC or comply with Nasdaq listing requirements. In addition, we could make errors in our financial statements that could require us to restate our financial statement.</w:t>
      </w:r>
    </w:p>
    <w:p>
      <w:pPr>
        <w:spacing w:after="0" w:line="18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or Section 404, we are required to furnish a report by our management on our internal control over financial reporting, including the attestation report on internal control over financial reporting issued by our independent registered public accounting firm. To maintain compliance with Section 404, we document and evaluate our internal control over financial reporting, which is both costly and challenging. In this regard, we have needed to continue to dedicate internal resources, have engaged outside consultants, and have adopted a detailed work plan to assess and document the adequacy of internal control over financial reporting. We will continue to implement steps to improve control processes as appropriate, validate through testing that controls are functioning as documented, and implement a reporting and improvement process for internal control over financial reporting. Despite our efforts, there is a risk that in the future neither we nor our independent registered public accounting firm will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190"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financial institutions, companies in the financial service industry or the financial service industry generally, such as actual events or concerns involving liquidity, defaults or non-performance, could adversely affect our operations and liquidity.</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which could adversely affect our operations and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Clinical Testing and Commercialization of Our Product Candidates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mRNA is unproven, and we do not know whether we will be able to successfully develop any products.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focus on delivering mRNA encoding functional versions of proteins into cells without altering the underlying DNA. Our future success depends on the successful development of this novel therapeutic or vaccine approach. Relatively few mRNA-based product candidates have been tested in animals or humans, and the data underlying the feasibility of developing mRNA-based products are both preliminary and limited. To date, a limited number of products that utilize mRNA as a prophylactic vaccine against COVID-19 have been approved in the United States and Europe, subject to certain limitations. In addition, no product that utilizes mRNA as a therapeutic vaccine has been approved in the United States or Europe. We have not yet succeeded and may not succeed in demonstrating to the FDA or EMA the efficacy and safety of any of our product candidates in clinical trials or in obtaining marketing approval thereafter.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and results of earlier studies and trials may not be predictive of future trial results. If clinical trials of our product candidates or production of our product candidates are prolonged or delayed, we may be unable to obtain required regulatory approvals, and therefore be unable to commercialize our product candidates on a timely basis or at all.</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business is dependent on the successful development, regulatory approval and commercialization of product candidates based on our technology platform. If we and our collaborators are unable to obtain approval for and effectively commercialize our product candidates, our business would be significantly harmed. Even if we complete the necessary preclinical studies and clinical trials, the marketing approval process is expensive, time-consuming and uncertain, and we may not be able to obtain approvals for the commercialization of any product candidates we may develop.</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To obtain the requisite regulatory approvals to market and sell any of our product candidates, we must demonstrate through extensive preclinical studies and clinical trials that our products are safe and effective in humans.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For example, our Phase 2b clinical trial with CV9104, one of our first-generation vaccines based on protamine formulation that was designed to evaluate the investigational mRNA-based cancer vaccine in patients with asymptomatic or minimally symptomatic metastatic castrate resistant prostate cancer, failed to meet the primary endpoint of improving overall survival despite proceeding through preclinical and Phase 1 studies. While we have assessed the results of past trials and these have informed our approach going forward, we can provide no assurance that future clinical trials will not be discontinued or fail to meet their specified endpoints.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18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regulatory oversight with respect to manufacturing and developing our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EMA and comparable foreign regulatory authorities’ legal requirements, regulations or guidelines and are subject to oversight by these governmental agencies and Institutional Review Boards, or IRBs, at the medical institutions where the clinical trials are conducted. In addition, clinical trials must be conducted with supplies of our product candidates produced in accordance with current good manufacturing practices, or cGMPs, and other requirements. We depend on medical institutions and clinical research organizations, or CROs, to conduct our clinical trials in compliance with good clinical practice, or GCP, standards. Failure to follow and document adherence to such regulations or other regulatory requirements may lead to significant delays in the availability of a product for our clinical trials, result in the termination of, or a clinical hold being placed on, one or more of our clinical trials, or delay or prevent submission or approval of marketing applications for our product candidates.</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the extent our CROs fail to enroll participants for our clinical trials, fail to conduct the trial in accordance with GCP requirements or are delayed for a significant time in the execution of trials, including achieving full enrollment, we may be affected by increased costs, program delays or both, which may harm our business. Our product candidates, CV2CoV (SARS-CoV-2), CV0501 (modified nucleotides, SARS - CoV - 2), CV0601/0701 (modified nucleotides, SARS-CoV-2), CVSQIV (multivalent seasonal influenza), Flu SV mRNA (modified nucleotides, single antigen seasonal influenza), CV7202 (rabies), CV8102 (melanoma, adenoidcystic carcinoma, squamous cell cancer of skin and head and neck), CVGBM (cancer), Cas9 gene - editing, are in early clinical development. All other of our research programs are in the preclinical development stage.</w:t>
      </w:r>
    </w:p>
    <w:p>
      <w:pPr>
        <w:spacing w:after="0" w:line="18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completion of clinical trials for our clinical product candidates may be delayed, suspended or terminated as a result of many factors, including but not limited to:</w:t>
      </w:r>
    </w:p>
    <w:p>
      <w:pPr>
        <w:spacing w:after="0" w:line="162" w:lineRule="exact"/>
        <w:rPr>
          <w:sz w:val="20"/>
          <w:szCs w:val="20"/>
          <w:color w:val="auto"/>
        </w:rPr>
      </w:pPr>
    </w:p>
    <w:p>
      <w:pPr>
        <w:jc w:val="both"/>
        <w:ind w:left="680" w:right="20" w:hanging="321"/>
        <w:spacing w:after="0" w:line="266"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 of materials required for the production of our product candidates including due to inflationary pressures, supply chain issues, labor shortages and increases in commodity prices (including as result of the war in Ukraine) and the lingering effects of COVID-19;</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manufacturing facilities or the manufacturing facilities of our third-party manufacturers or suppliers to meet regulatory requirements;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CMO or by us, and delays or failure by our CMOs or us to make any necessary changes to such manufacturing process;</w:t>
      </w:r>
    </w:p>
    <w:p>
      <w:pPr>
        <w:spacing w:after="0" w:line="161" w:lineRule="exact"/>
        <w:rPr>
          <w:rFonts w:ascii="Times New Roman" w:cs="Times New Roman" w:eastAsia="Times New Roman" w:hAnsi="Times New Roman"/>
          <w:sz w:val="18"/>
          <w:szCs w:val="18"/>
          <w:color w:val="auto"/>
        </w:rPr>
      </w:pPr>
    </w:p>
    <w:p>
      <w:pPr>
        <w:ind w:left="680" w:right="180" w:hanging="321"/>
        <w:spacing w:after="0" w:line="298"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7"/>
          <w:szCs w:val="17"/>
          <w:color w:val="auto"/>
        </w:rPr>
        <w:t>delay or refusal of regulators or IRBs to authorize us to commence a clinical trial at a prospective trial site and changes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regulatory requirements, policies and guidelines;</w:t>
      </w:r>
    </w:p>
    <w:p>
      <w:pPr>
        <w:spacing w:after="0" w:line="148"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reach agreement on acceptable terms with prospective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trials to ensure adequate statistical power to detect statistically significant treatment effects;</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which may require us to conduct additional preclinical or clinical trials or to abandon projects that we expect to be promising;</w:t>
      </w:r>
    </w:p>
    <w:p>
      <w:pPr>
        <w:spacing w:after="0" w:line="161"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tolerability concerns causing us to suspend or terminate a trial if it is determined that the participants are being exposed to unacceptable health risks;</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retention rates of patients and volunteers in clinical trials;</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trial sites failing to comply with regulatory requirements or meet their contractual obligations to us in a timely manner, or at all, deviating from the protocol or dropping out of a trial;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relating to adding new clinical trial sites;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the product candidate falling below acceptable standards;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or obtain sufficient quantities of the product candidate to complete clinical trials on time, or delays in sufficiently developing, characterizing or controlling a manufacturing process suitable for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exceeding budgeted costs due to difficulty in accurately predicting costs associated with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observed in trials conducted by competitors for related technology that raise general FDA or foreign regulatory authority concerns about risk to patients of gene therapy technology;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the product will not be producible at the manufacturing stage; and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Disruptions caused by the inflationary pressures, supply chain issues, labor shortages and increases in commodity prices (including result of the war in Ukraine) and the lingering effects of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9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trials of our product candidates are promising, such data may not be sufficient to support approval by the FDA, the EMA or any other regulatory authority.</w:t>
      </w:r>
    </w:p>
    <w:p>
      <w:pPr>
        <w:spacing w:after="0" w:line="187" w:lineRule="exact"/>
        <w:rPr>
          <w:sz w:val="20"/>
          <w:szCs w:val="20"/>
          <w:color w:val="auto"/>
        </w:rPr>
      </w:pPr>
    </w:p>
    <w:p>
      <w:pPr>
        <w:ind w:right="260" w:firstLine="324"/>
        <w:spacing w:after="0" w:line="289" w:lineRule="auto"/>
        <w:rPr>
          <w:sz w:val="20"/>
          <w:szCs w:val="20"/>
          <w:color w:val="auto"/>
        </w:rPr>
      </w:pPr>
      <w:r>
        <w:rPr>
          <w:rFonts w:ascii="Times New Roman" w:cs="Times New Roman" w:eastAsia="Times New Roman" w:hAnsi="Times New Roman"/>
          <w:sz w:val="17"/>
          <w:szCs w:val="17"/>
          <w:color w:val="auto"/>
        </w:rPr>
        <w:t>In some instances, there can be significant variability in safety and/or efficacy results between different trials of the same product candidate due to numerous factors, including changes in trial procedures set forth in protocols, differences in the size and type of the patient populations, adherence to the dosing regimen and other trial protocols and the rate of dropout among clinical trial participants.</w:t>
      </w:r>
    </w:p>
    <w:p>
      <w:pPr>
        <w:spacing w:after="0" w:line="15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that we develop beyond the trials and testing that we contemplate, if we are unable to successfully complete clinical trials of our product candidates or other testing, if the results of these trials or tests are unfavorable or are only modestly favorable, or if there are safety concerns associated with our other product candidates, we may:</w:t>
      </w:r>
    </w:p>
    <w:p>
      <w:pPr>
        <w:spacing w:after="0" w:line="180"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significant safety warnings, including boxed warnings;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product from the market after obtaining marketing approval.</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receiving marketing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also could shorten any periods during which we may have the exclusive right to commercialize our product candidates or allow our competitors to bring products to market before we do, which may harm our business and results of operations. In addition, some of the factors that cause, or lead to, clinical trial delays may ultimately lead to the denial of regulatory approval of our product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and result in increased costs and longer development periods or otherwise be adversely affected.</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will be required to identify and enroll a sufficient number of patients for our planned clinical trials. Trial participant enrollment could be limited in future trials given that many potential participants may be ineligible because of preexisting conditions, medical treatments or other reasons. We may not be able to initiate or continue clinical trials required by the FDA, EMA or other foreign regulatory agencies or any of our other product candidates that we pursue if we are unable to locate and enroll a sufficient number of eligible patients or volunteers to participate in these clinical trials.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Patient enrollment is affected by other factors, including:</w:t>
      </w:r>
    </w:p>
    <w:p>
      <w:pPr>
        <w:spacing w:after="0" w:line="225"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clinical trial protocol;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trial in question;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trial;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safety and tolerability of the product candidate;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56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being studied in relation to other available therapies, including standard-of-care and any new drugs that may be approved for the indications we are investigating;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monitor patients adequately during and after treatment.</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also may encounter difficulties in identifying and enrolling such patients with a stage of disease appropriate for our ongoing or future clinical trials. In addition, the process of finding and diagnosing patients may prove costly. Our inability to enroll a sufficient number of patients for any of our clinical trials would result in significant delays or may require us to abandon one or more clinical trials.</w:t>
      </w:r>
    </w:p>
    <w:p>
      <w:pPr>
        <w:spacing w:after="0" w:line="17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continued business disruption and related risks resulting from inflationary pressures, supply chain issues, labor shortages and increases in commodity prices (including as result of the war in Ukraine) and the lingering effects of the COVID-19 pandemic, which could have a material adverse effect on our business plan or clinical trials.</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Similarly, the ongoing military conflict between Russia and Ukraine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spacing w:after="0" w:line="19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Moreover, if COVID-19 would restart, we may experience disruptions that could severely impact our business, preclinical studies and clinical trials, including:</w:t>
      </w:r>
    </w:p>
    <w:p>
      <w:pPr>
        <w:spacing w:after="0" w:line="162"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authorization from local regulatory authorities to initiate our planned clinical trials;</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161"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61" w:lineRule="exact"/>
        <w:rPr>
          <w:rFonts w:ascii="Times New Roman" w:cs="Times New Roman" w:eastAsia="Times New Roman" w:hAnsi="Times New Roman"/>
          <w:sz w:val="18"/>
          <w:szCs w:val="18"/>
          <w:color w:val="auto"/>
        </w:rPr>
      </w:pPr>
    </w:p>
    <w:p>
      <w:pPr>
        <w:ind w:left="680" w:right="32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research and development laboratory facility;</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0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These and other disruptions in our operations and the global economy could negatively impact our business, operating results and financial condition.</w:t>
      </w:r>
    </w:p>
    <w:p>
      <w:pPr>
        <w:spacing w:after="0" w:line="16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addition, quarantines, travel restrictions, shelter-in-place and similar government orders, or the perception that such orders, shutdowns or other restrictions on the conduct of business operations could occur, related to COVID-19 or other infectious diseases could impact personnel at third-party manufacturing facilities upon which we rely, or the availability or cost of materials, which could disrupt the supply chain for our product candidates. We have taken a series of actions aimed at safeguarding our employees and business associates, including regular PCR-based COVID-19 testing, implementing a work-from-home policy for employees except for those related to our production and laboratory operations, and these arrangements may cause reduced productivity of our employees and/or delays or disruptions of our business operations.</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suppliers, licensors or collaborators could also be disrupted by conditions related to COVID-19, possibly resulting in disruption to our supply chain, clinical trials, partnerships or operations. If our suppliers, licensors, CMOs, CROs or collaborators are unable or fail to fulfill their obligations to us for any reason, our ability to continue meeting clinical supply demand for our product candidates or otherwise advancing development of our product candidates may become impaired.</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proprietary product candidates are still in preclinical or clinical development. We cannot give any assurance that any of our product candidates will receive regulatory approval, and if we are unable to obtain regulatory approval and ultimately commercialize our product candidates or experience significant delays in doing so, our business will be materially harmed.</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proprietary product candidates are still in preclinical or clinical development. Although we may receive certain payments from our collaboration partners, including upfront payments, payments for achieving certain development, regulatory or commercial milestones and royalties, our ability to generate revenue from our product candidates’ sales is dependent on receipt of regulatory approval for, and successful commercialization of, such product candidates, which may never occur. Our business and future success is in particular dependent on our ability to develop, either alone or in partnership, successfully, receive regulatory approval for and then successfully commercialize our proprietary product candidates. Each of our product candidates will require additional preclinical and/or clinical development, regulatory approval in multiple jurisdictions, manufacturing supply, substantial investment and significant marketing efforts before we generate any revenue from product sales or royalties. We are not permitted to market or promote any of our product candidates before we receive regulatory approval from applicable regulatory authorities. The success of our product candidates will depend on several factors, including the following:</w:t>
      </w:r>
    </w:p>
    <w:p>
      <w:pPr>
        <w:spacing w:after="0" w:line="194"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and/or clinical studies;</w:t>
      </w:r>
    </w:p>
    <w:p>
      <w:pPr>
        <w:spacing w:after="0" w:line="225"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completion of,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commitment to particular product candidates and indications by us and our collaborators;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authorizations from applicable regulatory authorities for future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product approvals, including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all safety studies required to obtain regulatory approval in the United States, the European Union and other jurisdictions for our product candidates;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candidates, if and when approved, by patients, the medical community and third-party payors;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from third-party payors;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enforcing and defending intellectual property and intellectual property-related claims;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and quality profile of the product candidates following approval;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sufficient supply of drug substance in acceptable quality.</w:t>
      </w:r>
    </w:p>
    <w:p>
      <w:pPr>
        <w:spacing w:after="0" w:line="19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we do not achieve one or more of these factors in a complete and timely manner or at all, we could experience significant delays or an inability to successfully commercialize our product candidates, which would materially adversely affect our business, financial condition, results of operations and prospects and, in case of product candidates, technologies and licenses we have acquired, which may result in a significant impairment of assets.</w:t>
      </w:r>
    </w:p>
    <w:p>
      <w:pPr>
        <w:spacing w:after="0" w:line="13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Although we expect to submit biologics license applications, or BLAs, for our mRNA-based product candidates in the United States, and in the European Union, mRNA-based medicines have been classified as gene therapy medicinal products, other jurisdictions may consider our mRNA-based product candidates to be new drugs, not biologics or gene therapy medicinal products, and require different marketing applications. In addition, we have not previously submitted a BLA to the FDA, or similar regulatory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5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both in the United States and the EU, and potentially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5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history of commercializing pharmaceutical products, which may make it difficult to evaluate the prospects for our future viability.</w:t>
      </w:r>
    </w:p>
    <w:p>
      <w:pPr>
        <w:spacing w:after="0" w:line="11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commenced operations in 2000 and have a long track record of performing clinical trials with multiple product candidates since 2008. Our operations to date have been limited to establishing our company, raising capital, developing our proprietary mRNA technology platform, identifying and testing potential product candidates and conducting clinical trials. We have not yet demonstrated an ability to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companies in the early stages of development, especially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8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We may seek to enter into agreements with others to utilize their marketing and distribution capabilities, but we may be unable to enter into agreements on favorable terms, if at all. If we rely on others to commercialize our products if we receive the necessary approvals, our revenues may be lower than if we commercialized these products ourselves. In addition, we may have little or no control over such third parties’ sales efforts. If our partners commit insufficient resources to commercialize our products, and we cannot independently develop necessary marketing capabilities, we may be unable to generate sufficient product revenue to sustain our business.</w:t>
      </w:r>
    </w:p>
    <w:p>
      <w:pPr>
        <w:spacing w:after="0" w:line="16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regulatory approval, if any. Significant adverse events may occur during our clinical trials or even after receiving regulatory approval, which could delay or terminate clinical trials, delay or prevent regulatory approval or market acceptance of any of our product candidates.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could cause us, our collaboration partners or the regulatory authorities to interrupt, delay or halt clinical trials and could result in a more restrictive label or the delay or denial of regulatory approval by the FDA, EMA or comparable foreign regulatory authorities. Results of our trials could reveal a high and unacceptable severity and prevalence of side effects. In such an event, our trials could be suspended or terminated and the FDA, EMA or comparable foreign regulatory authorities could order us to cease further development of or deny approval of our product candidates for any or all targeted indications. The product-related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Clinical trials assess a sample of the potential patient population. With a limited number of patients and duration of exposure, rare and severe side effects of our product candidates may only be uncovered with a significantly larger number of patients exposed to the product candidate. If our product candidates receive regulatory approval and we or others identify undesirable side effects caused by such product candidates (or any other similar products) after such approval, a number of potentially significant negative consequences could result, including:</w:t>
      </w:r>
    </w:p>
    <w:p>
      <w:pPr>
        <w:spacing w:after="0" w:line="183" w:lineRule="exact"/>
        <w:rPr>
          <w:sz w:val="20"/>
          <w:szCs w:val="20"/>
          <w:color w:val="auto"/>
        </w:rPr>
      </w:pPr>
    </w:p>
    <w:p>
      <w:pPr>
        <w:ind w:left="680" w:right="42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 candidates and require us to take our approved product(s) off the market;</w:t>
      </w:r>
    </w:p>
    <w:p>
      <w:pPr>
        <w:spacing w:after="0" w:line="16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 or submission of field alerts to physicians and pharmacies;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product candidates are distributed or administered, conduct additional clinical trials or change the labeling of the product candidates;</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drug-related side effects could negatively affect patient recruitment or the ability of enrolled patients to complete a trial for our products or product candidates;</w:t>
      </w:r>
    </w:p>
    <w:p>
      <w:pPr>
        <w:spacing w:after="0" w:line="16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if any, by patients and physicians may be reduced and sales of the product, if any, may decrease significantly;</w:t>
      </w:r>
    </w:p>
    <w:p>
      <w:pPr>
        <w:spacing w:after="0" w:line="161" w:lineRule="exact"/>
        <w:rPr>
          <w:rFonts w:ascii="Times New Roman" w:cs="Times New Roman" w:eastAsia="Times New Roman" w:hAnsi="Times New Roman"/>
          <w:sz w:val="18"/>
          <w:szCs w:val="18"/>
          <w:color w:val="auto"/>
        </w:rPr>
      </w:pPr>
    </w:p>
    <w:p>
      <w:pPr>
        <w:ind w:left="680" w:right="240" w:hanging="321"/>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or a REMS, plan to mitigate risks, which could include medication guides, physician communication plans, or elements to assure safe use, such as restricted distribution methods, patient registries and other risk minimization tools;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be required to remove such product candidates from clinical trials, or if approved, from the marketplace;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potentially held liable for injury caused to individuals exposed to or taking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product candidates are approved, sales of the product(s) may decrease substantially;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candidates and could substantially increase the costs of commercializing our product candidates, if approved, and therefore could have a material adverse effect on our business, financial condition, results of operations and prospects.</w:t>
      </w:r>
    </w:p>
    <w:p>
      <w:pPr>
        <w:spacing w:after="0" w:line="17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To date, a limited number of products that utilize mRNA as a prophylactic vaccine against COVID-19 have been approved in the United States, Europe and other countries, subject to certain limitations. In addition, no product that utilizes mRNA as a therapeutic vaccine has been approved in the United States or Europe. As such, mRNA drug development has substantial clinical development and regulatory risks due to the novel and unprecedented nature of this new category of medicines.</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No product that utilizes mRNA as a therapeutic vaccine has been approved in the United States or Europe. In addition, a limited number of products that utilize mRNA as a prophylactic vaccine against COVID-19 have been approved by the FDA, EMA and other regulatory agencies. Such approvals were provided after parallelized clinical trials, and certain of the products may be subject to ongoing review by the FDA, EMA or other regulatory agencies, and in some cases may be canceled, expire or subject to lengthy renewal. Successful discovery, development and continued market presence of mRNA-based (and other) products by either us or our collaborators is highly uncertain and depends on numerous factors, many of which are beyond our or their control. Our product candidates that appear promising in the early phases of development may fail to advance, experience delays in the clinic or clinical holds, or fail to reach the market or stay in the market for many reasons, including:</w:t>
      </w:r>
    </w:p>
    <w:p>
      <w:pPr>
        <w:spacing w:after="0" w:line="192"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efforts aimed at identifying potential immunotherapies may not be successful;</w:t>
      </w:r>
    </w:p>
    <w:p>
      <w:pPr>
        <w:spacing w:after="0" w:line="225"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or preclinical study results may show product candidates to be less effective than desired or have harmful or problematic side effects;</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show the product candidates to be less effective than expected, including a failure to meet one or more endpoints or have unacceptable side effects or toxicities;</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failures, insufficient supply of GMP materials for clinical trials, or higher than expected cost could delay or set back clinical trials, or make our product candidates commercially unattractive;</w:t>
      </w:r>
    </w:p>
    <w:p>
      <w:pPr>
        <w:spacing w:after="0" w:line="161"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improvements in the manufacturing processes may not be sufficient to satisfy the clinical or commercial demand of our product candidates or regulatory requirements for clinical trials;</w:t>
      </w:r>
    </w:p>
    <w:p>
      <w:pPr>
        <w:spacing w:after="0" w:line="161" w:lineRule="exact"/>
        <w:rPr>
          <w:rFonts w:ascii="Times New Roman" w:cs="Times New Roman" w:eastAsia="Times New Roman" w:hAnsi="Times New Roman"/>
          <w:sz w:val="18"/>
          <w:szCs w:val="18"/>
          <w:color w:val="auto"/>
        </w:rPr>
      </w:pPr>
    </w:p>
    <w:p>
      <w:pPr>
        <w:ind w:left="680" w:right="66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that we make to optimize our manufacturing, testing or formulating of GMP materials could impact the safety, tolerability and efficacy of our product candidates;</w:t>
      </w:r>
    </w:p>
    <w:p>
      <w:pPr>
        <w:spacing w:after="0" w:line="161"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issues or other factors could delay clinical trials or make any immunotherapy uneconomical or noncompetitive with other therapies;</w:t>
      </w:r>
    </w:p>
    <w:p>
      <w:pPr>
        <w:spacing w:after="0" w:line="161" w:lineRule="exact"/>
        <w:rPr>
          <w:rFonts w:ascii="Times New Roman" w:cs="Times New Roman" w:eastAsia="Times New Roman" w:hAnsi="Times New Roman"/>
          <w:sz w:val="18"/>
          <w:szCs w:val="18"/>
          <w:color w:val="auto"/>
        </w:rPr>
      </w:pPr>
    </w:p>
    <w:p>
      <w:pPr>
        <w:ind w:left="680" w:hanging="321"/>
        <w:spacing w:after="0" w:line="258"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advance our programs or receive the necessary regulatory approvals, or a delay in receiving such approvals, due to, 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9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products and technologies of our competitors may prevent our immunotherapies from being commercialized.</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Although we expect to submit biologics license applications, or BLAs, for our mRNA-based product candidates in the United States and in the European Union, mRNA-based medicines have been classified as gene therapy medicinal products. Unlike certain gene therapies that irreversibly alter cell DNA and may cause certain side effects, mRNA-based medicines are designed not to irreversibly change cell DNA. Side effects observed in other gene therapies, however, could negatively impact the perception of immunotherapies despite the differences in mechanism. Due to the circumstances surrounding the approval of mRNA-based vaccines against COVID-19, the regulatory pathway for future mRNA products in the United States and other jurisdictions for approval is uncertain. The length of time necessary to complete clinical trials and submit an application for marketing approval by a regulatory authority varies significantly from one pharmaceutical product to the next and may be difficult to predict.</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authorities are lengthy, time-consuming and inherently unpredictable and if we fail to obtain regulatory approval in any jurisdiction, we will not be able to commercialize our products in that jurisdiction and our business, results of operations, financial condition and prospects, may be materially adversely affected.</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EMA and comparable authorities is unpredictable but typically takes many years following the commencement of clinical trials and depends upon numerous factors, including the substantial discretion of the regulatory authorities. In addition, approval laws, regulations, policies or the type and amount of clinical data or other information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680" w:right="28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EMA or comparable foreign regulatory authorities that a product candidate is safe and effective for its proposed indication;</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designs or our execution of clinical trials might not be considered adequate, or the results of clinical trials may not meet the level of statistical significance required, by the FDA, EMA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disagree with our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may not be sufficient to support the submission of a BLA or other submission, or to obtain regulatory approval in the United States, the European Union or elsewhere;</w:t>
      </w:r>
    </w:p>
    <w:p>
      <w:pPr>
        <w:spacing w:after="0" w:line="161"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may fail to approve our manufacturing processes or facilities or those of third-party manufacturers with which we contract for clinical and commercial supplies; and</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regulations or policies of the FDA, EMA or comparable foreign regulatory authorities may significantly change in a manner rendering our clinical data or other regulatory submissions insufficient for approval.</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the EMA and other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the EMA or any other regulatory authority.</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In order to commercialize our products in more than one jurisdiction, we will be required to obtain separate regulatory approvals in each market and to comply with numerous and varying regulatory requirements. The approval procedures vary from country to country and may require additional testing, administrative review periods, agreements with pricing authorities or other steps. Satisfying these and other regulatory requirements is costly, time-consuming, uncertain and subject to unanticipated delays. In addition, in many countries outside the United States and in particular in many of the Member States of the European Union, a product must undergo health economic assessments to agree on pricing and/or be approved for reimbursement before it can be approved for sale in that country, or before it becomes commercially viable. The FDA and the EMA may come to different conclusions regarding approval of a marketing application. Approval by the FDA or EMA does not ensure approval by regulatory authorities in other countries or jurisdictions, and approval by one foreign regulatory authority does not ensure approval by regulatory authorities in other foreign countries or by the FDA or EMA. In addition, our failure to obtain regulatory approval in any country may delay or have negative effects on the process for regulatory approval in other countries. Clinical trials conducted in one country may not be accepted by regulatory authorities in other countries. We may not obtain regulatory approvals on a timely basis, if at all. We may not be able to submit applications for regulatory approvals and may not receive necessary approvals to commercialize our products in any market. We may be required to conduct additional preclinical studies or clinical trials, which would be costly and time-consuming. If we or any future partner are unable to obtain regulatory approval for our product candidates in one or more significant jurisdictions, then the commercial opportunity for our product candidates, and our business, results of operations, financial condition and prospects, may be materially adversely affected.</w:t>
      </w:r>
    </w:p>
    <w:p>
      <w:pPr>
        <w:spacing w:after="0" w:line="1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regulatory requirements to which our product candidates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authorizes its initiation. Conversely, the FDA can place an Investigational New Drug Application, or an IND, on clinical hold even if such other entities have provided a favorable review. Furthermore, gene therapy clinical trials may also require evaluation and assessment by an institutional biosafety committee, or an IBC, a local institutional committee that reviews and oversees basic and clinical research conducted at the institution participating in the clinical trial. The IBC assesses the safety of the research and identifies any potential risk to the public health or the environment, and such assessment may result in some delay before initiation of a clinical trial. In addition, adverse developments in clinical trials of gene therapy products conducted by others may cause the FDA or other regulatory bodies to change the requirements for approval of any of our product candidates.</w:t>
      </w:r>
    </w:p>
    <w:p>
      <w:pPr>
        <w:spacing w:after="0" w:line="187"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or the CAT,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tissue-engineered products.</w:t>
      </w:r>
    </w:p>
    <w:p>
      <w:pPr>
        <w:spacing w:after="0" w:line="16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18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Delay or failure to obtain, or unexpected costs in obtaining, the regulatory approval necessary to bring a potential product to market could decrease our ability to generate sufficient product sales revenue to maintain our business.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Even if we receive regulatory approval for any of our product candidates, we will be subject to ongoing obligations and continued regulatory review, which may materially adversely affect our business, prospects, financial condition and results of operations. We have not previously submitted a BLA to the FDA, or similar regulatory approval filings to comparable foreign authorities, for any product candidate and never received regulatory approval for any of our product candidates. Even if the FDA, EMA or a comparable foreign regulatory authority approves any of our product candidates, the manufacturing processes, labeling, packaging, distribution, product sampling, adverse event reporting, storage, advertising, marketing,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all of which may result in significant expense and limit our ability to commercialize such products. There also are continuing, annual program user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also be subject to limitations on the approved indicated uses for which the product may be marketed or to the conditions of approval, or contain requirements for potentially costly post-marketing testing and surveillance to monitor the safety and efficacy of the product. For example, the FDA has the authority to require a REMS as part of a BLA or after approval, which may impose further requirements or restrictions on the distribution or use of an approved product, such as limiting prescribing to certain physicians or medical centers that have undergone specialized training, limiting treatment to patients who meet certain safe-use criteria and requiring treated patients to enroll in a registry.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92" w:lineRule="exact"/>
        <w:rPr>
          <w:sz w:val="20"/>
          <w:szCs w:val="20"/>
          <w:color w:val="auto"/>
        </w:rPr>
      </w:pPr>
    </w:p>
    <w:p>
      <w:pPr>
        <w:ind w:left="680" w:right="4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untitled letters or holds on clinical trials;</w:t>
      </w:r>
    </w:p>
    <w:p>
      <w:pPr>
        <w:spacing w:after="0" w:line="22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EMA or a comparable foreign regulatory authority to approve pending applications or supplements to approved applications, or suspension or revocation of product approvals;</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clinical trials, change our product labeling or submit additional applications or application supplements;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regulatory policies may change or additional government regulations or legislation may be enacted that could prevent, limit or delay regulatory approval of our product candidates. If we fail to comply with existing requirements, are slow or unable to adapt to changes in existing requirements or the adoption of new requirements or policies, or if we are not able to maintain regulatory compliance, we may lose any regulatory approval that we may have obtained or face regulatory or enforcement actions, which may materially adversely affect our business, prospects, financial condition and results of operations.</w:t>
      </w:r>
    </w:p>
    <w:p>
      <w:pPr>
        <w:spacing w:after="0" w:line="183"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In addition, if any of our product candidates is approved, our product labeling, advertising and promotion will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Further, the policies of FDA, EMA and other comparable regulatory authorities may change and additional government regulations may be enacted that could prevent, limit or delay regulatory approval of our product candidates. If we are slow or unable to adapt to changes in existing requirements or to adopt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the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a product candidate may not lead to a faster development or regulatory review or approval process, and it would not increase the likelihood that the product candidate will receive marketing approval.</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may in the future seek a breakthrough therapy designation for one or more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product candidates for the treatment or prevention of diseases in which there is little clinical experience using new technologies, there is increased risk that the FDA, the EMA or other regulatory authorities may not consider the endpoints of our clinical trials to provide clinically meaningful results and that these results may be difficult to analyze.</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we are developing novel treatments and preventative measures for diseases in which we believe there is limited clinical experience with new endpoints and methodologies, there is heightened risk that the FDA, EMA or comparable foreign regulatory bodies may not consider the clinical trial endpoints to provide clinically meaningful results, and the resulting clinical data and results may be more difficult to analyze. It is difficult to determine how long it will take or how much it will cost to obtain regulatory approvals for our product candidates in the United States, the European Union or other jurisdictions, if ever. Further, approvals by one regulatory agency may not be indicative of what other regulatory agencies may require for approval.</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During the regulatory review process, we will need to identify success criteria and endpoints such that the FDA, the EMA or other regulatory authorities will be able to determine the clinical efficacy and safety profile of any product candidates we may develop. Because our initial focus is to identify and develop product candidates to treat or prevent diseases in which there is little clinical experience using new technologies, there is heightened risk that the FDA, the EMA or other regulatory authorities may not consider the clinical trial endpoints that we propose to provide clinically meaningful results. In addition, the resulting clinical data and results may be difficult to analyze. Even if the FDA determines that our success criteria is sufficiently validated and clinically meaningful, we may not achieve the prespecified endpoints to a sufficient degree of statistical significance.</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This may be a particularly significant risk for many of the genetically defined diseases for which we plan to develop product candidates because many of these diseases have small patient populations, and designing and executing a rigorous clinical trial with appropriate statistical power is more difficult than with diseases that have larger patient populations. Further, even if we do achieve the prespecified criteria, the results may be unpredictable or inconsistent with the results of the non-primary endpoints or other relevant data. The FDA also weighs the benefits of a product against its risks, and the FDA may view the efficacy results in the context of safety as not being supportive of regulatory approval. The EMA and other regulatory authorities may make similar comments with respect to these endpoints and data. Any product candidate we may develop will be based on a novel technology that makes it difficult to predict the time and cost of development and of subsequently obtaining regulatory approval.</w:t>
      </w:r>
    </w:p>
    <w:p>
      <w:pPr>
        <w:spacing w:after="0" w:line="18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collaboration partners have conducted and intend to conduct additional clinical trials for selected product candidates at sites outside the United States, and the FDA may not accept data from trials conducted in such locations or may require additional U.S.-based trials.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and our collaboration partners have conducted, currently are conducting and intend in the future to conduct, clinical trials outside the United States, particularly in the European Union where we are headquartered. In addition, CureVac and its partner GSK are running the Phase 2 study with CV0601 (monovalent mRNA vaccine candidate encoding the Omicron BA.4-5 variant) and CV0701 (encoding the Omicron BA.4-5 variant as well as the original SARS-CoV-2 virus) in Australia.</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acceptance of this data is subject to certain conditions imposed by the FDA. For example, the clinical trial must be conducted by qualified investigators in accordance with GCPs, and the FDA must be able to validate the trial data through an on-site inspection, if necessary. Generally, the patient population for any clinical trial conducted outside of the United States must be representative of the population for which we intend to seek approval in the United States. There can be no assurance that the FDA will accept data from trials conducted outside of the United States. If the FDA does not accept the data from any clinical trials that we or our collaboration partners conduct outside the United States, it would likely result in the need for additional clinical trials, which would be costly and time-consuming and delay or permanently halt our ability to develop and market these or other product candidates in the United States. In other jurisdictions, for instance, in Japan, there is a similar risk regarding the acceptability of clinical trial data conducted outside of that jurisdiction.</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there are risks inherent in conducting clinical trials in multiple jurisdictions, inside and outside of the United States,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w:t>
      </w:r>
    </w:p>
    <w:p>
      <w:pPr>
        <w:spacing w:after="0" w:line="207" w:lineRule="exact"/>
        <w:rPr>
          <w:sz w:val="20"/>
          <w:szCs w:val="20"/>
          <w:color w:val="auto"/>
        </w:rPr>
      </w:pPr>
    </w:p>
    <w:p>
      <w:pPr>
        <w:ind w:left="680" w:right="10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administrative requirements of the jurisdiction where the trial is conducted that could burden or limit our ability to conduct our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customs, shipment and storage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 and</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patient populations in such trials are not considered representative as compared to the patient population in the target markets where approval is being sought.</w:t>
      </w: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 regulatory approval, the approved products may not achieve broad market acceptance among physicians, patients, the medical community and third-party payors, in which case revenue generated from their sales would be limited.</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upon their acceptance among physicians, patients and the medical community. The degree of market acceptance of our product candidates will depend on a number of factors, including:</w:t>
      </w:r>
    </w:p>
    <w:p>
      <w:pPr>
        <w:spacing w:after="0" w:line="162" w:lineRule="exact"/>
        <w:rPr>
          <w:sz w:val="20"/>
          <w:szCs w:val="20"/>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approved labeling for a product candidate;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any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the approved clinical indications for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clinical safety and efficacy compared to other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significant adverse side effects;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marketing and distribution support;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extent of reimbursement from managed care plans and other third-party payors;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and perceived effectiveness of competitive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cost-effectiveness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therapies at similar or lower cost, including generic and over-the-counter products;</w:t>
      </w:r>
    </w:p>
    <w:p>
      <w:pPr>
        <w:spacing w:after="0" w:line="225"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first-line therapy or as a second-or third-line therapy for particular diseases;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can be used effectively with other therapies to achieve higher response rates;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candidates or favorable publicity about competitive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of our products;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may seek approval as biologic products may face competition sooner than anticipated.</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Affordable Care Act, signed into law on March 23, 2010, includes a subtitle called the Biologics Price Competition and Innovation Act of 2009, or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8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To the extent any of our product candidates approved as a biological product under a BLA qualifies for a 12-year period of exclusivity, for which we make no assurances, there is a risk that such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If any approved products are subject to biosimilar competition sooner than we expect, we will face significant pricing pressure and our commercial opportunity will be limited.</w:t>
      </w:r>
    </w:p>
    <w:p>
      <w:pPr>
        <w:spacing w:after="0" w:line="15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inflation, funding shortages, labor shortages or global health concerns could hinder their ability to hire, retain or deploy key leadership and other personnel, or otherwise prevent new or modified products from being developed, or approved or commercialized in a timely manner or at all, which could negatively impact our business.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inflation, labor shortages,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our product candidates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smaller than we believe, or we may be unable to successfully identify clinical trial participants.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estimates of addressable patient populations are based on our beliefs, and have been derived from a variety of sources, including scientific literature, surveys of clinics, patient foundations or market research, and may prove to be incorrect. Further, new studies may change the estimated incidence or prevalence of these diseases. The number of trial participants may be lower than expected and potential clinical trial participants or patients may not be otherwise amenable to treatment with our product candidates or any products, or new clinical trial participants or patients may become increasingly difficult to identify or gain access to. Even if we obtain significant market share for our product candidates, if approved, because the potential target populations are small, these medicines may never be profitable.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discovering, developing and commercializing additional products, our ability to expand our business and achieve our strategic objectives would be impaired.</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An element of our strategy is to discover, develop and commercialize products beyond our current product candidates to treat various conditions and in a variety of therapeutic areas. We intend to do so by investing in our drug discovery efforts, exploring potential strategic alliances for the development of new products and in-licensing technologies. Identifying new product candidates requires substantial technical, financial and human resources. We may fail to identify promising candidates or to successfully develop and commercialize products for many reasons, which would impair our potential for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outbreaks of epidemic, pandemic or other contagious diseases.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the event of a future epidemic or pandemic, our clinical trials could be paused or delayed due to restrictions (such as quarantines or travel limitations) or reprioritization of resources. Travel limitations could also create challenges and potential delays in our development and production activities, increasing the expense and timelines for producing our products and product candidates.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utilize third parties to, among other things, manufacture raw materials, components, parts and consumables. If these third parties were to experience delays or disruptions in providing their services in response to an epidemic or pandemic, our supply chain could be disrupted, limiting our ability to manufacture product candidates for our clinical trials, as well as negatively impacting our research and development operations. Such delays or disruptions could adversely impact our strategic collaborators’ ability to fulfill their obligations, which could affect the clinical development or regulatory approvals of product candidates under joint development.</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during a global health crisis, one or more government entities could take actions (such as via the Defense Production Act in the U.S.) that diminish our rights or economic opportunities with respect to our potential products. Our third-party service providers could be impacted by government-imposed restrictions on services they might otherwise offer. Any such action could cause us to experience delays in the development, production, distribution or export of our product candidates and increased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risks and challenges.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research, product candidates, commercial products and the diseases our product candidates are designed to treat. Social media practices in the biopharmaceutical industry continue to evolve and regulations relating to such use are not always clear. This uncertainty creates risk of noncompliance with regulations applicable to our business, resulting in potential regulatory actions against us. For example, subjects may use social media channels to comment on their experience in an ongoing blinded clinical trial or to report an alleged adverse event. When such disclosures occur, we may fail to monitor and comply with applicable adverse event reporting obligations or we may be unable to defend our business in the face of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225"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mRNA-based medicines is complex and manufacturers often encounter difficulties in production, especially in the field of biologics. If we or any of our third-party manufacturers encounter difficulties, our ability to provide product candidates for clinical trials or products, if approved, to patients or future customers could be delayed or halted.</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manufacture of mRNA-based medicines is complex and requires significant expertise and capital investment, including the development of advanced manufacturing techniques and analytics. We and our third-party manufacturers must comply with cGMP, regulations and guidelines for the manufacturing of our product candidates used in preclinical studies and clinical trials and, if approved, marketed products. Manufacturers of biotechnology products often encounter difficulties in production, particularly in scaling up and validating initial production. Large-scale mRNA vaccine production requires a high level of (i) equipment to build and run new facilities and (ii) raw materials to produce mRNA and to formulate the drug substance in the required volumes.</w:t>
      </w:r>
    </w:p>
    <w:p>
      <w:pPr>
        <w:spacing w:after="0" w:line="187"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Furthermore, if microbial, viral or other contaminations are discovered in our product candidates or in the manufacturing facilities where our product candidates are made, such manufacturing facilities may be closed for an extended period of time to investigate and remedy the contamination. Shortages of raw materials may also extend the period of time required to develop our product candidates.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Manufacturing these products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The use of biologically derived ingredients can also lead to allegations of harm, including infections or allergic reactions, or closure of product facilities due to possible contamination.</w:t>
      </w:r>
    </w:p>
    <w:p>
      <w:pPr>
        <w:spacing w:after="0" w:line="17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addition, there are risks associated with large-scale manufacturing for clinical trials or commercial-scale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we or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we or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cannot assure you that any disruptions or other issues relating to the manufacture of any of our product candidates will not occur in the future.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delay or impede the development and commercialization of any of our product candidates or products and could have an adverse effect on our business, prospects, financial condition and results of operations.</w:t>
      </w:r>
    </w:p>
    <w:p>
      <w:pPr>
        <w:spacing w:after="0" w:line="19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manufacturers and suppliers could be subject to liabilities, fines, penalties or other sanctions under federal, state, local and foreign environmental, health and safety laws and regulations if we or they fail to comply with such laws or regulations or otherwise incur costs that could have a material adverse effect on our business.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manufacture and produce mRNA-based active ingredients for our product pipeline. We also currently rely on and expect to continue to rely on third parties for the manufacturing and supply of active pharmaceutical ingredients, or API, and drug products of our product candidates. We and these third parties are subject to various federal, state, local and foreign environmental, health and safety laws and regulations, including those governing laboratory procedures and the generation, handling, labeling, transportation, use, manufacture, storage, treatment and disposal of hazardous materials and wastes and worker health and safety. We do not have control over a manufacturer’s or supplier’s compliance with environmental, health and safety laws and regulations. Liabilities they incur pursuant to these laws and regulations could result in significant costs or, in certain circumstances, an interruption in operations, any of which could adversely affect our business and financial condition.</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With respect to any hazardous materials or waste which we are currently, or in the future will be, generating, handling, transporting, using, manufacturing, storing, treating or disposing of, we cannot eliminate the risk of contamination or injury from these materials or waste, including at third-party disposal sites. In the event of such contamination or injury, we could be held liable for any resulting damages and liability. We also could be subject to significant civil or criminal fines and penalties, cessation of operations, investigation or remedial costs or other sanctions for failure to comply with applicable environmental, health and safety laws. In addition, we may incur substantial costs in order to comply with current or future environmental, health and safety laws and regulations. These current or future laws and regulations may impair our research, development or production efforts or otherwise have a material adverse effect on our business.</w:t>
      </w:r>
    </w:p>
    <w:p>
      <w:pPr>
        <w:spacing w:after="0" w:line="19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At the start of the COVID-19 pandemic, we had entered in contractual engagements with third-party manufacturer to have access to additional capacity. The wind-down of these contracts entail risks of financial penalties and risk of litigation.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Undetected errors or defects in our production, misconduct from our business partners and negative media reports could harm our reputation or expose us to product liability claims.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Defects in the cGMP materials we produce may damage the third parties’ businesses we work with and could harm their and our reputation. If that occurs, we may incur significant costs, the attention of our key personnel could be diverted, or other significant problems may arise. We may also be subject to warranty and liability claims for damages related to errors or defects in products made with our cGMP materials. In addition, if we do not meet industry or quality standards, if applicable, such products may be subject to recall. A material liability claim, recall or other occurrence that harms our reputation or decreases market acceptance of such products could harm our business and operating results. In addition, misconduct by our business partners or unfavorable publicity regarding our industry, our business partners or us can lead to reputational damage that adversely affects our business, financial condition and results of operations.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operational risks associated with the physical and digital infrastructure at our manufacturing facilities and those of our external service providers.</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manufacturing facilities incorporate a significant level of automation of equipment with integration of several digital systems to improve efficiency of operations. The digitization of our facilities exposes us to the risk of process equipment malfunctions. These risks include potential system failures or shutdowns due to internal or external factors including, design issues, system compatibility or potential cybersecurity compromises, incidents or breaches. Upgrades or changes to our systems, infrastructure or the software that we implement, use, or upon which our business relies, may result in the introduction of new cybersecurity vulnerabilities and risks.</w:t>
      </w:r>
    </w:p>
    <w:p>
      <w:pPr>
        <w:spacing w:after="0" w:line="183"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Our facilities and infrastructure or those of our contract manufacturers or other third-party providers may also be subject to attacks or acts of sabotage by outside actors, contractors or employees. Any disruption in our or our contract manufacturers’ manufacturing capabilities could cause delays in production capacity for our drug substances or product candidates or a shutdown of facilities, could impose additional costs, cause us to fail to meet certain product candidate volume or delivery timing obligations, or may require us to identify, qualify and establish an alternative manufacturing site, the occurrence of which could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Collaborators and Other Third Parties</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nonclinical and clinical trials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third-party CROs to monitor and manage data for our ongoing nonclinical and clinical programs. We rely on these parties for execution of our nonclinical and clinical studies and control only certain aspects of their activities. Nevertheless, we are responsible for ensuring that each of our trials is conducted in accordance with the applicable protocol, legal, regulatory and scientific standards and our reliance on the CROs does not relieve us of our regulatory responsibilities. We and our CROs and other vendors are required to comply with cGMP, GCP, Good Laboratory Practice, or GLP, and other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trial sites and other contractors. If we or any of our CROs or vendors fail to comply with applicable regulations, the data generated in our nonclinical and clinical trials may be deemed unreliable and the EMA, FDA, or other regulatory authorities may require us to perform additional nonclinical and clinical trials before approving our marketing applications. In addition, even if, for example, the EMA finds our data generated in our nonclinical and clinical trials reliable for approving a marketing application, there is no assurance that other regulatory authorities like the FDA will find such data reliable and sufficient for approving a similar market application. We cannot assure you that upon inspection by a given regulatory authority, such regulatory authority will determine that all of our clinical trials comply with cGCP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meet expected deadlines, conduct our studies in accordance with regulatory requirements or our stated study plans and protocols, if they need to be replaced or if the quality or accuracy of the data they obtain is compromised due to the failure to adhere to our protocols, regulatory requirements, or for other reasons, our clinical trials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9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9" w:lineRule="exact"/>
        <w:rPr>
          <w:sz w:val="20"/>
          <w:szCs w:val="20"/>
          <w:color w:val="auto"/>
        </w:rPr>
      </w:pPr>
    </w:p>
    <w:p>
      <w:pPr>
        <w:jc w:val="both"/>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 of our product candidates is unable to increase the scale of production of our product candidates, and/or increase the product yield of manufacturing, then our costs to manufacture the product may increase and commercialization may be delayed.</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order to produce sufficient quantities to meet the demand for clinical trials and, if approved, subsequent commercialization of our product candidates in our pipeline or that we may develop, our third-party manufacturers will be required to increase their production and optimize their manufacturing processes while maintaining the quality of the product. The transition to larger-scale and more robust production could prove difficult or costly. Further, any claims in our manufacturing process as a result of scaling up or optimization of the manufacturing, supply and fill and finish process may result in the need to obtain regulatory approvals. If we or our third-party manufacturers are not able to optimize the manufacturing process to increase the product yield for our product candidates or the cGMP production requirement for clinical studies, or if we or our third-party manufacturers are unable to produce increased amounts of our product candidates while maintaining the quality of the product or generally unable to produce the right quality, then we may not be able to meet the demands of clinical trials or market demands, which could decrease our ability to generate profits. Difficulty in achieving commercial scale-up production or production optimization or the need for additional regulatory approvals as a result could have a material adverse impact on our business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intellectual property protection for our products or product candidates, or if the scope of our intellectual property protection is not sufficiently broad, our ability to commercialize our product candidates successfully and to compete effectively may be materially adversely affected.</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obtain and maintain patent and other intellectual property protection in the United States and other countries with respect to our current and future proprietary product candidates. We rely upon a combination of patents, trade secret protection and confidentiality agreements to protect the intellectual property related to our technology, manufacturing processes, products and product candidates. We and our collaborators have primarily sought to protect our proprietary positions by filing patent applications in the United States and abroad related to our proprietary technology, manufacturing processes, and product candidates that are important to our business. Despite our efforts to protect our proprietary rights, unauthorized parties may be able to obtain and use information that we regard as proprietary.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or in all jurisdictions where protection may be commercially advantageous. It is also possible that we may fail to identify patentable aspects of our research and development output before it is too late to obtain patent protection. In addition, we or our collaborators, may only pursue, obtain or maintain patent protection in a limited number of countries. There is no assurance that all potentially relevant prior art relating to our patents and patent applications has been found. We may be unaware of prior art that could be used to invalidate or narrow the scope of an issued patent or prevent our pending patent applications from issuing as patents. Because patent applications in the United States, Europe and many other non-U.S. jurisdictions are typically not published until 18 months after filing, or in some cases not at all, and because publications of discoveries in scientific literature lag behind actual discoveries, we cannot be certain that we or our licensors were the first to make the inventions claimed in any of our owned or any in-licensed issued patents or pending patent applications, or that we or our licensors were the first to file for protection of the inventions set forth in our patents or patent applications. As a result, we may not be able to obtain or maintain protection for certain inventions. Even if patents do successfully issue, our owned or in-licensed patents may not adequately protect our intellectual property, provide exclusivity for our products or product candidates, prevent others from designing around our claims or otherwise provide us with a competitive advantage. We cannot offer any assurances about which, if any, patents will issue, the breadth of any such patents or whether any issued patents will be found invalid or unenforceable or will be threatened by third parties. In addition, third parties may challenge the validity, enforceability, ownership, inventorship or scope of any of our patents. Any successful challenge to any of our patents could deprive us of rights necessary for the successful commercialization of any product candidate that we may develop and could impair or eliminate our ability to collect future revenues and royalties with respect to such products or product candidates. If any of our patent applications with respect to our product candidates fail to issue as patents, if their breadth or strength of protection is narrowed or threatened, or if they fail to provide meaningful exclusivity or competitive position, it could dissuade companies from collaborating with us or otherwise adversely affect our competitive position.</w:t>
      </w:r>
    </w:p>
    <w:p>
      <w:pPr>
        <w:spacing w:after="0" w:line="18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companies is generally uncertain because it involves complex legal, scientific and factual considerations for which legal principles remain unsolved. Further, mRNA medicines are a relatively new scientific field and, as the field continues to mature, patent applications are being processed by national patent offices globally. There is uncertainty about which patents will issue, and, if they do, as to when, to whom and with what claims. The standards applied by the United States Patent and Trademark Office, or the USPTO, and foreign patent offices in granting patents are not always applied uniformly or predictably, and can change. Additionally, the laws of some foreign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rights, particularly those relating to biotechnology, which could make it difficult for us to stop the infringement, misappropriation, or other violation of our patents or other intellectual property, including the unauthorized reproduction of our manufacturing or other know-how or the marketing of competing products in violation of our intellectual property rights generally. Any of these outcomes could impair our ability to prevent competition from third parties, which may have a material adverse effect on our business, financial condition, results of operations and prospects.</w:t>
      </w:r>
    </w:p>
    <w:p>
      <w:pPr>
        <w:spacing w:after="0" w:line="187"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Further, the existence of issued patents does not guarantee our right to practice the patented technology or commercialize the patented product candidate. Third parties may have or obtain rights to patents which they may use to prevent or attempt to prevent us from practicing our patented technology or commercializing any of our patented product candidates. If any of these other parties are successful in obtaining valid and enforceable patents, and establishing our infringement of those patents, we could be prevented from selling our products unless we were able to obtain a license under such third-party patents, which may not be available on commercially reasonable terms or at all. In addition, third parties may seek approval to market their own products similar to or otherwise competitive with our products. In these circumstances, we may need to defend or assert our patents, including by filing lawsuits alleging patent infringement. In any of these types of proceedings, a court or agency of competent jurisdiction may find our patents invalid or unenforceable. Our competitors and other third parties may also be able to circumvent our patents by developing similar or alternative product candidates in a non-infringing manner. Any of the foregoing could have a material adverse effect on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and Europe. These products may compete with our products, and our patents or other intellectual property rights may not be effective or sufficient to prevent them from competing with us. Proceedings to enforce our patent rights, whether or not successful, could result in substantial costs and divert our efforts and attention from other aspects of our business, could put our patents at risk of being invalidated or held unenforceable,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acquire or license.</w:t>
      </w:r>
    </w:p>
    <w:p>
      <w:pPr>
        <w:spacing w:after="0" w:line="19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owned and in-licensed patents may be subject to a reservation of rights by one or more third parties. For example, the research resulting in certain of our patents and technology, including patents and technology relating to our yellow fever product candidate, was funded in part by the U.S. government. As a result, the U.S. government has certain rights to such patent rights and technology, which include march-in rights.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Additionally, the U.S. government generally obtains certain rights in any resulting patents, including a nonexclusive license authorizing the government to use the invention or to have others use the invention on its behalf. Accordingly, we have granted the U.S. government a nonexclusive, nontransferable, irrevocable, paid-up license to practice or have practiced for or on behalf of the United States, the inventions described in the patents and patent applications relating to our technology or one or more of our product candidates. If the U.S. government decides to exercise these rights, it is not required to engage us as its contractor in connection with doing so. The government’s rights may also permit it to disclose our confidential information to third parties and to exercise march-in rights to use or allow third parties to use such government-funded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If we fail to comply with those requirements, we could lose our ownership of, or other rights to, any patents subject to such regulations.</w:t>
      </w:r>
    </w:p>
    <w:p>
      <w:pPr>
        <w:spacing w:after="0" w:line="19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Germany, the German federal government, and the Federal Ministry of Health and downstream authorities, in the event of a national epidemic, have the right to order the use of our owned and in-licensed patents in the interest of the public welfare or the security of the Federal Republic. The German government may issue such an order with respect to our owned or in-licensed patents and we may lose exclusivity with respect to the technologies and product candidates covered by such patents. We would be entitled to compensation in the event a use order is issued with respect to our owned or in-licensed patents; however, such compensation may be less than what we could otherwise receive and any such use order could have a material adverse effect on our competitive position, business, financial condition, results of operations and prospects.</w:t>
      </w:r>
    </w:p>
    <w:p>
      <w:pPr>
        <w:spacing w:after="0" w:line="18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 Russia,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in Russia, resulting in a partial or complete loss of patent rights in Russia. In addition, a decree was adopted by the Russian government in March 2022, allowing Russian companies and individuals to exploit, without consent or compensation, inventions owned by patentees that have citizenship or nationality in, are registered in, or have predominately primary place of business or profit-making activities in countries that Russia has deemed unfriendly.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materially adversely affected.</w:t>
      </w:r>
    </w:p>
    <w:p>
      <w:pPr>
        <w:spacing w:after="0" w:line="18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it is uncertain whether the World Trade Organization, or the WTO, will waive certain intellectual property protections now or in the future on certain technologies related to COVID-19 or other future pandemics. We cannot be certain that any of our current or future product candidates or technologies would not be subject to an intellectual property waiver by the WTO. We also cannot be certain that any of our current or future intellectual property rights, whether patents, trade secrets, or other confidential information would be eliminated, narrowed, or weakened by such a waiver. Given the uncertain future actions by the WTO and other countries and jurisdictions around the world, including the United States, it is unpredictable how our current or future intellectual property rights or how our current or future business would be impacted.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the research resulting in certain of our patents and technology was funded in part by the German Ministry of Education and Research, or the BMBF. Results of such government-funded research projects must, subject to certain conditions, be made available free of charge for academic research and teaching in Germany and must be published in half-yearly interim reports and a final report following completion of the funded work. Information relating to intellectual property generated, commercial expectations, scientific chances of success and next steps and certain additional information must be disclosed to the German government and must be disclosed to third parties for academic research and teaching upon request under a written confidentiality agreement. The BMBF additionally has, in the case of a special public interest, a nonexclusive and transferable right to use intellectual property generated as part of the funded work. Contracts with third parties relating the exploitation of the results of the funded work must be disclosed to the BMBF and any such contracts with parties outside of the European Union require the prior consent of the BMBF to the extent they deviate from an exploitation plan previously approved by the BMBF. Additionally, if we fail to use or commercialize the results of the funded work we may be required to grant third parties licenses to use such results. In certain scenarios, including if we come under the decisive influence of foreign investors, the funded results are exclusively or predominantly used outside Germany without the prior consent of the BMBF or if we are in breach of our obligations under the grant, the grant funding, including funding already received, can be revoked.</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Furthermore, certain of our patents and technology, including patents and technology relating to our rotavirus, malaria, Lassa virus and SARS-CoV-2 projects, were funded in part by grants from nonprofit third parties, including the Bill &amp; Melinda Gates Foundation and CEPI. We are required to fulfill certain contractual obligations with respect to products created using such grant funding, including making certain products available at an affordable price in a list of clearly defined low- and lower-middle income countries and ensuring that certain products are available in geographic regions where there has been an outbreak of an infectious disease at certain reduced economic rates. See “Item 4. Information on the Company — B. Business Overview — Collaborations.”</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Furthermore, patents have a limited lifespan. In the United States, the natural expiration of a patent is generally 20 years after its effective filing date. Various extensions may be available; however, the life of a patent, and the protection it affords, is limited. Given the amount of time required for the development, testing, regulatory review and approval of new product candidates, our patents protecting such candidates might expire before or shortly after such candidates are commercialized. If we encounter delays in obtaining regulatory approvals, the period of time during which we could market a product under patent protection could be further reduced. Even if patents covering our product candidates are obtained, once such patents expire, we may be vulnerable to competition from similar or biosimilar products. The launch of a similar or biosimilar version of one of our products would likely result in an immediate and substantial reduction in the demand for our product, which could have a material adverse effect on our business, financial condition, results of operations and prospects.</w:t>
      </w:r>
    </w:p>
    <w:p>
      <w:pPr>
        <w:spacing w:after="0" w:line="184"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intellectual property agreements, disagree over contract interpretation, or otherwise experience disruptions to our business relationships with our collaborators or licensors, we could lose intellectual property rights that are necessary to our business.</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rely, in part, on license, collaboration and other intellectual property agreements. These may not provide exclusive rights to use such intellectual property and technology in all relevant fields of use and in all territories in which we may wish to develop or commercialize our product candidates in the future.</w:t>
      </w:r>
    </w:p>
    <w:p>
      <w:pPr>
        <w:spacing w:after="0" w:line="17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addition, our existing licenses and collaboration agreements, including our agreements with Genmab, Acuitas, GSK, the Bill &amp; Melinda Gates Foundation, CRISPR Therapeutics, CEPI and myNEO, impose, and any future licenses, collaborations or other intellectual property agreements we enter into are likely to impose, various development, commercialization, funding, milestone, royalty, diligence, sublicensing, insurance, patent prosecution and enforcement or other obligations on us. Our licenses and collaboration agreements, including our agreement with Genmab, impose, and any future agreement we enter into may also impose, restrictions on our ability to license certain of our intellectual property to third parties or to develop or commercialize certain product candidates or technologies. In spite of our best efforts, our licensors, licensees and collaborators may conclude that we have breached our obligations under our agreements, or that we have used the intellectual property licensed to us in an unauthorized manner, in which case, we may be required to pay damages and the licensor, licensee or collaborator may have the right to terminate the agreement. Any of the foregoing could result in us being unable to develop, manufacture and sell products that are covered by the licensed technology, enable a competitor to gain access to the licensed technology or disrupt our right to milestone or royalty payments. We might not have the necessary rights or the financial resources to develop, manufacture or market our current or future product candidates without the rights granted under our licenses, and the loss of sales or potential sales in such product candidates could have a material adverse effect on our business, financial condition, results of operations and prospects.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Disputes have arisen and may in the future arise regarding intellectual property subject to licensing, collaboration or other intellectual property agreements, including:</w:t>
      </w:r>
    </w:p>
    <w:p>
      <w:pPr>
        <w:spacing w:after="0" w:line="162" w:lineRule="exact"/>
        <w:rPr>
          <w:sz w:val="20"/>
          <w:szCs w:val="20"/>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license agreement;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obligations under the license agreement;</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expand the rights of our licensors or partners to the relevant intellectual property or technology, including their ability to use or license such intellectual property or technology to third parties. In addition, such resolution may also increase what we believe to be our financial or other obligations under the relevant agreement. Any of the foregoing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8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some circumstances, we may not have the right to control the preparation, filing, prosecution, maintenance, enforcement, and defense of patents and patent applications covering the technology that we license from third parties. We cannot be certain that these patents and applications will be prepared, filed, prosecuted, maintained, enforced, and defended in a manner consistent with the best interests of our business. If our licensors fail to prosecute, maintain, enforce, and defend such intellectual property, or lose rights to such intellectual property, the rights we have licensed and our exclusivity may be reduced or eliminated and our right to develop and commercialize any of our products that are subject to such licensed rights could be adversely affected.</w:t>
      </w:r>
    </w:p>
    <w:p>
      <w:pPr>
        <w:spacing w:after="0" w:line="187"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Moreover, our rights to our in-licensed patents and patent applications may depend,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 In addition, the development of certain of our product candidates is funded by grants that impose certain pricing limitations on such product candidates and limit our ability to commercialize such product candidates and to achieve or maintain profitability. Any of the foregoing could have a material adverse effect on our competitive position, business, financial conditions, results of operations and prospects.</w:t>
      </w:r>
    </w:p>
    <w:p>
      <w:pPr>
        <w:spacing w:after="0" w:line="19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obtain rights to required third-party intellectual property rights or maintain the existing intellectual property rights we have on reasonable terms or at all, we may have to abandon development of the relevant program or product candidate and our business, financial condition, results of operations and prospects could suffer.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become involved in lawsuits to protect or enforce our patents, which could be expensive, time-consuming and unsuccessful and could result in a court or administrative body finding our patents to be invalid or unenforceable.</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Even if the patent applications we own or license are issued, third parties may infringe our patents. To counter infringement, we have been and may in the future be required to file infringement claims, which can be expensive and time-consuming. If we initiate legal proceedings against a third-party to enforce a patent covering any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novelty, nonobviousness (or inventive step), written description or 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if a terminal disclaimer is filed to obviate a finding of obviousness-type double patenting. Grounds for an unenforceability assertion could be an allegation that someone connected with prosecution of the patent withheld information material to patentability from the USPTO, or made a misleading statement, during prosecution. In an infringement proceeding, a court may decide that one or more of our patents is not valid, is unenforceable or is not infringed, or may refuse to stop the other party from using the technology at issue on the grounds that our patents do not cover the technology in question.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revocation actions, nullity actions or cancellation actions). Such proceedings could result in the revocation or cancellation of, or amendment to, our patents or other intellectual property rights such as utility models, in such a way that they no longer cover our product candidates or provide any competitive advantage.</w:t>
      </w:r>
    </w:p>
    <w:p>
      <w:pPr>
        <w:spacing w:after="0" w:line="15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Litigation is ongoing over the underlying technology to mRNA medicines between many mRNA market participants. It is likely that there will continue to be significant litigation and patent office proceedings in various patent offices relating to patent rights in the mRNA field. For example, one of our manufacturing related U.S. patents was invalidated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 and certain of our European patents relating to RNA-based adjuvants/immunostimulants, RNA-coded antibodies, mRNA vaccination of the elderly, intratumoral (m)RNA treatments, polyvalent mRNA production, optimized in vitro transcription, and mRNA vaccination in combination with an anti-PD1 or anti-PD-L1 antibody have been revoked in European opposition proceedings. Further European patents have been amended after opposition proceedings. For example, European patents related to an mRNA injection solution, mRNA vaccination of newborns and infants, combination of mRNA-based vaccination and agonistic OX40 antibodies and method of RNA analysis have been amended. Further European patents have been maintained after opposition proceedings. One of these patents relates to an mRNA injection solution and the other relates to sequence optimization of a coding sequence. Some of these decisions are currently on appeal and continuation or divisional applications of certain of the maintained, revoked and amended patents have been filed and are currently under examination, although there can be no assurance that any such appeal will be successful or that any such patent applications will issue as patents that provide us with any competitive advantage. Additionally, several of our European and Australian patents relating to intratumoral treatment, mRNA vaccination in combination with an anti-PD1/PD-L1 antibody, prime-boost regimens, lyophilization of RNA, spray-drying of RNA, spray-freeze-drying of RNA, an mRNA comprising a split poly(A) sequence, mRNA production comprising tangential flow filtration, and an improved method for plasmid production for in vitro transcription of mRNA are currently subject to opposition proceedings. The outcome following legal assertions of invalidity and unenforceability is unpredictable. If a third party were to prevail on a legal assertion of invalidity or unenforceability, we could lose part or all of the patent protection on one or more of our product candidates, which could result in our competitors and other third parties using our technology to compete with us. Such a loss of patent protection could have a material adverse impact on our business.</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Interference proceedings, or other similar enforcement and revocation proceedings, provoked by third parties or brought by us may be necessary to determine the priority of inventions with respect to our patents or patent applications. We may not be able to prevent, alone or with our licensors, infringement, misappropriation or other violation of our intellectual property rights, particularly in countries where the laws may not protect those rights as fully as in the United States.</w:t>
      </w:r>
    </w:p>
    <w:p>
      <w:pPr>
        <w:spacing w:after="0" w:line="180" w:lineRule="exact"/>
        <w:rPr>
          <w:sz w:val="20"/>
          <w:szCs w:val="20"/>
          <w:color w:val="auto"/>
        </w:rPr>
      </w:pPr>
    </w:p>
    <w:p>
      <w:pPr>
        <w:ind w:right="420" w:firstLine="324"/>
        <w:spacing w:after="0" w:line="281" w:lineRule="auto"/>
        <w:rPr>
          <w:sz w:val="20"/>
          <w:szCs w:val="20"/>
          <w:color w:val="auto"/>
        </w:rPr>
      </w:pPr>
      <w:r>
        <w:rPr>
          <w:rFonts w:ascii="Times New Roman" w:cs="Times New Roman" w:eastAsia="Times New Roman" w:hAnsi="Times New Roman"/>
          <w:sz w:val="17"/>
          <w:szCs w:val="17"/>
          <w:color w:val="auto"/>
        </w:rPr>
        <w:t>In June 2022, we filed a lawsuit against BioNTech SE and its wholly owned subsidiaries, BioNTech Manufacturing GmbH and BioNTech Manufacturing Marburg GmbH (collectively, “BioNTech”), in the Düsseldorf Regional Court, for infringement of one European patent, EP1857122B1, (“EP’122 Patent”), and three utility models, DE202015009961U1, DE202015009974U1, and DE202021003575U1, as a result of the manufacture, use and sale of Comirnaty, BioNTech and Pfizer’s mRNA COVID-19 vaccine.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August 2022, we added European Patent EP3708668B1 (“EP’688 Patent”) to the German lawsuit. In July 2023, we added European Patent EP4023755B1 (“EP’755 Patent”) and two further utility models, DE202021004123U1 and DE 202021004130U1, to the German lawsuit.</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2022, BioNTech filed a nullity action in the Federal Patent Court of Germany seeking a declaration that the EP’122 Patent is invalid. In December 2023, the Federal Patent Court in Germany revoked this patent in the first instance. The formal reasons for the decision of the court have not yet been provided. CureVac intends to appeal this decision before the German Federal Court of Justice. Subsequently, the Dusseldorf Court decided to suspend the infringement proceedings until a final decision on validity from the German Federal Court of Justice is made.</w:t>
      </w:r>
    </w:p>
    <w:p>
      <w:pPr>
        <w:spacing w:after="0" w:line="18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November 2022, BioNTech filed cancellation actions seeking the cancellation of three German utility models DE202015009961U1, DE202015009974U1, and DE202021003575U1 in the German Patent and Trademark Office, and we are defending these actions.In September 2023 the Dusseldorf Court decided to suspend the infringement proceedings for these three utility models until the cancellation division of the German Patent and Trademark Office (DPMA) has reached a decision in the first instance.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April 2023, BioNTech and Pfizer, among others, filed oppositions against the EP’668 Patent.</w:t>
      </w:r>
    </w:p>
    <w:p>
      <w:pPr>
        <w:spacing w:after="0" w:line="225" w:lineRule="exact"/>
        <w:rPr>
          <w:sz w:val="20"/>
          <w:szCs w:val="20"/>
          <w:color w:val="auto"/>
        </w:rPr>
      </w:pPr>
    </w:p>
    <w:p>
      <w:pPr>
        <w:ind w:right="1140" w:firstLine="324"/>
        <w:spacing w:after="0" w:line="282" w:lineRule="auto"/>
        <w:rPr>
          <w:sz w:val="20"/>
          <w:szCs w:val="20"/>
          <w:color w:val="auto"/>
        </w:rPr>
      </w:pPr>
      <w:r>
        <w:rPr>
          <w:rFonts w:ascii="Times New Roman" w:cs="Times New Roman" w:eastAsia="Times New Roman" w:hAnsi="Times New Roman"/>
          <w:sz w:val="18"/>
          <w:szCs w:val="18"/>
          <w:color w:val="auto"/>
        </w:rPr>
        <w:t>In November 2023, BioNTech filed cancellation actions against the two utility models, DE202021004123U1 and DE 202021004130U1 in the German Patent and Trademark Office.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2023 and January 2024, BioNTech and Pfizer, among others, filed oppositions against the EP’755 Patent.</w:t>
      </w:r>
    </w:p>
    <w:p>
      <w:pPr>
        <w:spacing w:after="0" w:line="22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In September 2022, BioNTech and Pfizer filed a declaration of non-infringement and revocation action against the EP’122 Patent and the EP’668 Patent in the Patents Court of the Business and Property Courts of England and Wales. In October 2022, we counterclaimed seeking an order that the EP ‘122 Patent and EP ‘688 Patent are infringed and are valid (the “UK Proceedings”). In February 2024 we added the EP’755 Patent to our infringement claim. The trial is currently scheduled for July 2024.</w:t>
      </w:r>
    </w:p>
    <w:p>
      <w:pPr>
        <w:spacing w:after="0" w:line="180"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In July 2022, BioNTech and Pfizer filed a complaint for a declaratory judgment in the U.S. District Court for the District of Massachusetts, seeking a judgment of non-infringement by Comirnaty of U.S. Patent Nos. 11,135,312, 11,149,278 and 11,241,493. Subsequently we filed a motion to have the case transferred to the Eastern District of Virginia, and such motion was granted in May 2023. Subsequently,we filed our counterclaim claiming infringement of ten U.S. patents, U.S. Patent No. 11,135,312; U.S. Patent No. 11,149,278; U.S. Patent No. 11,286,492; U.S. Patent No. 11,345,920; U.S. Patent No. 10,760,070; U.S. Patent No. 11,667,910; U.S. Patent No. 11,241,493; U.S. Patent No. 11,471,525; U.S. Patent No. 11,576,966; and U.S. Patent No. 11,596,686. The jury trial is currently scheduled for January 2025.</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Acuitas filed a Motion to Intervene, a Motion to Sever and Stay and a Complaint for Declaratory Judgement of Inventorship to seek correction of inventorship regarding four United States patents, U.S. Patent No. 11,241,493; U.S. Patent No. 11,471,525; U.S. Patent No. 11,576,966; and U.S. Patent No. 11,596,686 which are part of the litigation against BioNTech and Pfizer. In April 2024, Acuitas' motion was granted, with the judge recommending to stay litigation of all ten patents before the District Court of the Eastern District of Virginia until the Acuitas claim is resolved. CureVac is preparing objections to this recommendation and anticipates a decision within the next two months.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October 2023, Acuitas filed a Request of Arbitration to resolve a dispute between Acuitas and CureVac regarding the ownership and licensing rights with regard to the patent family WO2021/156267 which is part of the litigation against BioNTech and Pfizer in Germany and the United States. CureVac is defending itself against these claims. The possible outcome of this dispute cannot be predicted at this time.</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All of such proceedings are currently pending. In the course of pursuing our case for infringement and defending against the challenges to our patent estate from Pfizer and BioNTech, should we ultimately not be successful, we will be liable for our own and may be liable for BioNTech and Pfizer’s legal costs in at least Germany and the UK.</w:t>
      </w:r>
    </w:p>
    <w:p>
      <w:pPr>
        <w:spacing w:after="0" w:line="176" w:lineRule="exact"/>
        <w:rPr>
          <w:sz w:val="20"/>
          <w:szCs w:val="20"/>
          <w:color w:val="auto"/>
        </w:rPr>
      </w:pPr>
    </w:p>
    <w:p>
      <w:pPr>
        <w:ind w:right="400" w:firstLine="324"/>
        <w:spacing w:after="0" w:line="312" w:lineRule="auto"/>
        <w:rPr>
          <w:sz w:val="20"/>
          <w:szCs w:val="20"/>
          <w:color w:val="auto"/>
        </w:rPr>
      </w:pPr>
      <w:r>
        <w:rPr>
          <w:rFonts w:ascii="Times New Roman" w:cs="Times New Roman" w:eastAsia="Times New Roman" w:hAnsi="Times New Roman"/>
          <w:sz w:val="17"/>
          <w:szCs w:val="17"/>
          <w:color w:val="auto"/>
        </w:rPr>
        <w:t>An unfavorable outcome could also require us to cease using the related technology or attempt to license rights to it from the prevailing party. Our business could be harmed if the prevailing party does not offer us a license on commercially reasonable terms.</w:t>
      </w:r>
    </w:p>
    <w:p>
      <w:pPr>
        <w:sectPr>
          <w:pgSz w:w="11900" w:h="16838" w:orient="portrait"/>
          <w:cols w:equalWidth="0" w:num="1">
            <w:col w:w="9900"/>
          </w:cols>
          <w:pgMar w:left="980" w:top="661" w:right="1019"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defense of litigation or interference proceedings may fail and, even if successful, may result in substantial costs and distract our management and other employees.</w:t>
      </w:r>
    </w:p>
    <w:p>
      <w:pPr>
        <w:spacing w:after="0" w:line="162" w:lineRule="exact"/>
        <w:rPr>
          <w:sz w:val="20"/>
          <w:szCs w:val="20"/>
          <w:color w:val="auto"/>
        </w:rPr>
      </w:pPr>
    </w:p>
    <w:p>
      <w:pPr>
        <w:ind w:right="160" w:firstLine="321"/>
        <w:spacing w:after="0" w:line="258" w:lineRule="auto"/>
        <w:rPr>
          <w:sz w:val="20"/>
          <w:szCs w:val="20"/>
          <w:color w:val="auto"/>
        </w:rPr>
      </w:pPr>
      <w:r>
        <w:rPr>
          <w:rFonts w:ascii="Times New Roman" w:cs="Times New Roman" w:eastAsia="Times New Roman" w:hAnsi="Times New Roman"/>
          <w:sz w:val="18"/>
          <w:szCs w:val="18"/>
          <w:color w:val="auto"/>
        </w:rPr>
        <w:t>In many cases, the possibility of appeal exists for any party,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We cannot be certain that any patent will survive or that the claims will remain in the current form. Even if our rights are not directly challenged, disputes could lead to the weakening of our IP rights.</w:t>
      </w:r>
    </w:p>
    <w:p>
      <w:pPr>
        <w:spacing w:after="0" w:line="183" w:lineRule="exact"/>
        <w:rPr>
          <w:sz w:val="20"/>
          <w:szCs w:val="20"/>
          <w:color w:val="auto"/>
        </w:rPr>
      </w:pPr>
    </w:p>
    <w:p>
      <w:pPr>
        <w:ind w:right="20" w:firstLine="321"/>
        <w:spacing w:after="0" w:line="261" w:lineRule="auto"/>
        <w:rPr>
          <w:sz w:val="20"/>
          <w:szCs w:val="20"/>
          <w:color w:val="auto"/>
        </w:rPr>
      </w:pPr>
      <w:r>
        <w:rPr>
          <w:rFonts w:ascii="Times New Roman" w:cs="Times New Roman" w:eastAsia="Times New Roman" w:hAnsi="Times New Roman"/>
          <w:sz w:val="18"/>
          <w:szCs w:val="18"/>
          <w:color w:val="auto"/>
        </w:rPr>
        <w:t>Additionally, an adverse outcome in a litigation or proceeding involving our patents could limit our ability to assert our patents against competitors, affect our ability to receive royalties or other licensing consideration from our licensees, and may curtail or preclude our ability to exclude third parties from making, using and selling similar or competitive products. Any of these occurrences could have a material adverse effect on our business, financial condition, results of operations and prospects.</w:t>
      </w:r>
    </w:p>
    <w:p>
      <w:pPr>
        <w:spacing w:after="0" w:line="176" w:lineRule="exact"/>
        <w:rPr>
          <w:sz w:val="20"/>
          <w:szCs w:val="20"/>
          <w:color w:val="auto"/>
        </w:rPr>
      </w:pPr>
    </w:p>
    <w:p>
      <w:pPr>
        <w:ind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sued for infringing, misappropriating, or otherwise violating intellectual property rights of third parties, such litigation could be costly and time-consuming and could prevent or delay us from developing or commercializing our product candidates.</w:t>
      </w:r>
    </w:p>
    <w:p>
      <w:pPr>
        <w:spacing w:after="0" w:line="13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without infringing, misappropriating, or otherwise violating the intellectual property and other proprietary rights of third parties.</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of third parties with respect to our product candidates, including interference and post-grant proceedings before the USPTO. There may be third-party patents or patent applications with claims to materials, formulations, methods of manufacture or methods for treatment related to the composition, formulation, use or manufacture of our product candidates. Because patent applications can take many years to issue, there may be currently pending patent applications that we may or may not be aware of which may later result in issued patents that our product candidates may be accused of infringing. Additionally, pending patent applications that have been published can, subject to certain limitations, be later amended in a manner that could cover our product candidates or the use of our product candidates. After issuance, the scope of patent claims remains subject to construction based on interpretation of the law, the written disclosure in a patent and the patent’s prosecution history. Our interpretation of the relevance or the scope of a patent or a pending application may be incorrect. In addition, third parties may obtain patents in the future and claim that use of our technologies infringes upon these patents. Accordingly, third parties may assert infringement claims against us 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at issue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especially as we gain greater visibility and market exposure as a public company.</w:t>
      </w:r>
    </w:p>
    <w:p>
      <w:pPr>
        <w:spacing w:after="0" w:line="2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Third parties have, and may in the future have, U.S. and non-U.S. issued patents and pending patent applications relating to compounds, methods of manufacturing compounds or methods of use for the treatment of the disease indications for which we are developing our product candidates that may cover our product candidates. For example, we are aware of certain third-party U.S. and non-U.S. issued patents and patent applications, including those of our competitors, that relate to mRNA production, mRNA optimization, modification of mRNA, LNP technology, RNA-based tumor vaccination, LNP formulation, LNP-based mRNA delivery to the eye, lung or liver, mRNA encoding gene-editing enzymes, RNA-encoded antibodies or antigens in LNPs and LNP-formulated RNA that may be construed to cover the LNP-formulated RNA technology used in our vaccines and protein and antibody therapies. We are also aware of certain third-party U.S. and non-U.S. patents and patent applications, including those of our competitors, that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relate to coronavirus vaccines, influenza virus vaccines, Respiratory Syncytial Virus (RSV) vaccines and treatments and vaccines against other infectious diseases and we expect such third parties to have filed additional patent applications, which have not yet been published, and to file additional patent applications in the future.</w:t>
      </w:r>
    </w:p>
    <w:p>
      <w:pPr>
        <w:spacing w:after="0" w:line="1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the event that any of these patent rights were asserted against us, we believe that we have defenses against any such action, including that such patents would not be infringed by our product candidates and/or that such patents are not valid. However, if any such patent rights were to be asserted against us and our defenses to such assertion were unsuccessful, unless we obtain a license to such patents, we could be liable for damages, which could be significant and include treble damages and attorneys’ fees if we are found to willfully infringe such patents, and we could be precluded from commercializing any product candidates that were ultimately held to infringe such patents, any of which could have a material adverse effect on our business, financial condition, results of operations and prospects.</w:t>
      </w:r>
    </w:p>
    <w:p>
      <w:pPr>
        <w:spacing w:after="0" w:line="18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If we are required to obtain a license from any third-party in order to use the infringing technology and continue developing, manufacturing or marketing the infringing product candidate, we may not be able to obtain such required license on commercially reasonable terms or at all. In particular, any of our competitors that control intellectual property that we are found to infringe may be unwilling to provide us a license under any terms.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Further, if a patent infringement suit is brought against us or our third-party service providers and if we are unable to successfully obtain rights to required third-party intellectual property, we may be required to expend significant time and resources to redesign our product candidates, or to develop or license replacement technology, all of which may not be feasible on a technical or commercial basis, and may delay or require us to abandon our development, manufacturing or sales activities relating to our product candidates.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 Any of the foregoing could have a material adverse effect on our business, financial condition, results of operations and prospects.</w:t>
      </w:r>
    </w:p>
    <w:p>
      <w:pPr>
        <w:spacing w:after="0" w:line="1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other proceedings could cause us to spend substantial resources and distract our personnel from their normal responsibilities.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Even if resolved in our favor, intellectual property litigation or other legal proceedings relating to our, our licensor’s or other third parties’ intellectual property claims may cause us to incur significant expenses and could distract our personnel from their normal responsibilities. Patent litigation and other proceedings may also absorb significant management time. If not resolved in our favor, litigation may require us to pay any portion of our opponents’ legal fees.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or other third parties may be able to sustain the cost of such litigation and proceedings more effectively than we can because of their substantially greater resources. Uncertainties resulting from our participation in patent litigation or other proceedings could have a material adverse effect on our ability to compete in the marketplace. Furthermore, because of the substantial amount of discovery required in certain jurisdictions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the perceived value of our product candidates or intellectual property could be diminished. Accordingly, the market price of our common shares may decline. Uncertainties resulting from the initiation and continuation of patent litigation or other proceedings could have a material adverse effect on our business, financial condition, results of operations and prospects.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increase the uncertainties and costs surrounding the prosecution of our patent applications and the enforcement or defense of our issued patents, thereby impairing our ability to protect our technologies and product candidates.</w:t>
      </w:r>
    </w:p>
    <w:p>
      <w:pPr>
        <w:spacing w:after="0" w:line="175" w:lineRule="exact"/>
        <w:rPr>
          <w:sz w:val="20"/>
          <w:szCs w:val="20"/>
          <w:color w:val="auto"/>
        </w:rPr>
      </w:pPr>
    </w:p>
    <w:p>
      <w:pPr>
        <w:ind w:right="40" w:firstLine="324"/>
        <w:spacing w:after="0" w:line="251"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surrounding the prosecution of patent applications and the enforcement or defense of issued patents. For example, the Leahy-Smith America Invents Act, or the America Invents Act, was signed into law on September 16, 2011, and many of the substantive changes became effective on March 16, 2013.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Specifically, the America Invents Act reforms United States patent law in part by changing the U.S. patent system from a “first to invent” system to a “first inventor to file” system. Under a “first inventor to file” system, assuming the other requirements for patentability are met, the first inventor to file a patent application generally will be entitled to the patent on an invention regardless of whether another inventor was the first to invent the invention. This will require us to be cognizant going forward of the time from invention to filing of a patent application and be diligent in filing patent applications. Circumstances may arise that could prevent us from promptly filing patent applications on our inventions and allow third parties to file patents claiming our inventions before we are able to do so. The America Invents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post-grant proceedings, including reexamination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derivation proceedings. These adversarial proceedings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 than in a litigation in a U.S. federal court. One of our manufacturing-related patents has been invalidated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proceeding and if any of our other patents are challenged by a third-party in a USPTO proceeding, there is no guarantee that we or our licensors or collaborators will be successful in defending the patent, which would result in a loss or narrowing of the challenged patent right to us.</w:t>
      </w:r>
    </w:p>
    <w:p>
      <w:pPr>
        <w:spacing w:after="0" w:line="20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In addition, the complexity and uncertainty of European patent laws have also increased in recent years. Complying with these laws and regulations could have a material adverse effect on our existing patent portfolio and our ability to protect and enforce our intellectual property in the future.</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independent contractors or we have misappropriated their intellectual property, or claiming ownership of what we regard as our own intellectual property and proprietary technology.</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Many of our current and former employees, consultants, and independent contractors including our senior management, were previously employed at universities or at other biotechnology or pharmaceutical companies, including some which may be competitors or potential competitors. Although we try to ensure that our employees, consultants and independent contractors do not use the proprietary information or know-how of others in their work for us, we may be subject to claims that we or these employees, consultants or independent contractors have used or disclosed intellectual property, including trade secrets or other proprietary information, of such individual’s current or former employers, or that patents and applications we have filed to protect inventions of these individuals, even those related to one or more of our product candidates, are rightfully owned by their former or concurrent employer.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our technology or products. Such a license may not be available on an exclusive basis or on commercially reasonable terms, or at all. Even if we are successful in defending against such claims, litigation could result in substantial costs and be a distraction to management.</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independent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or such agreements may be breached or alleged to be ineffective, and the assignment may not be self-executing, which may result in claims by or against us related to the ownership of such intellectual property or may result in such intellectual property becoming assigned to third parties. If we fail in enforcing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 Any of the foregoing could have a material adverse effect on our business, financial condition, results of operations and prospects.</w:t>
      </w:r>
    </w:p>
    <w:p>
      <w:pPr>
        <w:spacing w:after="0" w:line="184"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including patents licensed from third parties, depends on compliance with various procedural, documentary,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patent applications will be due to be paid to the USPTO and various government patent agencies outside the United States over the lifetime of our patents and patent applications and any patent rights we may own or license in the future. Additionally, the USPTO and various government patent agencies outside the United States require compliance with a number of procedural, documentary, fee payment and other similar provisions during the patent application process. In certain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we or our licensors fail to maintain the patents and patent applications covering or otherwise protecting our product candidates, it could have a material adverse effect on our business. In addition, to the extent that we have responsibility for taking any action related to the prosecution or maintenance of patents or patent applications in-licensed from a third party, any failure on our part to maintain the in-licensed intellectual property could jeopardize our rights under the relevant license and may have a material adverse effect on our business, financial condition, results of operations and prospects.</w:t>
      </w:r>
    </w:p>
    <w:p>
      <w:pPr>
        <w:spacing w:after="0" w:line="18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extensions and data exclusivity for each of our product candidates, our business may be materially harmed.</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In the European Union, a maximum of five and a half years of supplementary protection can be achieved for an active ingredient or combinations of active ingredients of a medicinal product protected by a basic patent, if a valid marketing authorization exists (which must be the first authorization to place the product on the market as a medicinal product) and if the product has not already been the subject of supplementary protection. However, we may not receive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length of the extension could be less than we request. If we are unable to obtain patent term extension or if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employees and patents are subject to German law.</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 significant number of our personnel work in Germany and are subject to German employment law. Inventions which may be the subject of a patent or of protection as a utility model as well as technical improvement proposals for other technical innovations that may not be the subject of a patent or of protection as a utility model made by such employees are subject to the provisions of the German Act on Employees’ Inventions (</w:t>
      </w:r>
      <w:r>
        <w:rPr>
          <w:rFonts w:ascii="Times New Roman" w:cs="Times New Roman" w:eastAsia="Times New Roman" w:hAnsi="Times New Roman"/>
          <w:sz w:val="18"/>
          <w:szCs w:val="18"/>
          <w:i w:val="1"/>
          <w:iCs w:val="1"/>
          <w:color w:val="auto"/>
        </w:rPr>
        <w:t>Gesetz über Arbeitnehmererfindungen</w:t>
      </w:r>
      <w:r>
        <w:rPr>
          <w:rFonts w:ascii="Times New Roman" w:cs="Times New Roman" w:eastAsia="Times New Roman" w:hAnsi="Times New Roman"/>
          <w:sz w:val="18"/>
          <w:szCs w:val="18"/>
          <w:color w:val="auto"/>
        </w:rPr>
        <w:t>), which regulates the ownership of, and compensation for, inventions made by employees. We face the risk that disputes may occur between us and our current or former employees pertaining to the sufficiency of compensation paid by us, allocation of rights to inventions under this act, or alleged nonadherence to the provisions of this act, any of which may be costly to resolve and take up our management’s time and efforts whether we prevail or fail in such dispute. In addition, under the German Act on Employees’ Inventions, certain employees retain rights to patents they invented or co-invented and disclosed to us prior to October 1, 2009 if the employee inventions were not actively claimed by us after notification by the employee inventors. While we believe that all of our current and past German employee inventors have assigned to us their interest in inventions and patents they invented or co-invented, there can be no assurance that all such assignments are fully effective. Therefore, there can be no assurance that present or former employees do not hold rights to intellectual property used by us or that such employees will not demand the registration of intellectual property rights in their name or demand damages pursuant to the German Act on Employees’ Inventions or other applicable laws. Even if we lawfully own all inventions of our employee inventors who are subject to the German Act on Employees’ Inventions, we are required under German law to reasonably compensate such employees for the use of the inventions. If we are required to pay increased compensation or face other disputes under the German Act on Employees’ Inventions, our business, financial condition, results of operations and prospects could be adversely affected.</w:t>
      </w:r>
    </w:p>
    <w:p>
      <w:pPr>
        <w:spacing w:after="0" w:line="193"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German Act on Employees’ Inventions does not generally apply to managing directors, supervisory directors, freelancers or agents who are not employees under German labor law. Unless the German Act on Employees’ Inventions has been referred to in the respective services agreements, inventions and intellectual property rights created by such inventors must be assigned to us by contract. While we believe that all of our managing directors, supervisory directors, freelancers or agents which are not employees have assigned to us their interest in inventions and patents required for our course of business, there can be no assurance that all such assignments are fully effective. If any of our current or past employees, managing directors, supervisory directors, freelancers or agents obtain or retain ownership of any inventions or related intellectual property rights that we believe we own, we may lose valuable intellectual property rights and be required to obtain and maintain licenses from such persons to such inventions or intellectual property rights, which may not be available on commercially reasonable terms or at all, or may be nonexclusive. If we are unable to obtain and maintain a license to any such person’s interest in such inventions or intellectual property rights, we may need to cease the development, manufacture, and commercialization of one or more of our product candidates or the product candidates we may develop. In addition, any loss of exclusivity of our intellectual property rights could limit our ability to stop others from using or commercializing similar or identical technologies and products. Any of the foregoing events could have a material adverse effect on our business, financial condition, results of operations and prospects.</w:t>
      </w:r>
    </w:p>
    <w:p>
      <w:pPr>
        <w:spacing w:after="0" w:line="19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the value of our technology and products could be materially adversely affected.</w:t>
      </w:r>
    </w:p>
    <w:p>
      <w:pPr>
        <w:spacing w:after="0" w:line="15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trade secrets and confidentiality agreements to protect other proprietary information that is not patentable or that we elect not to patent. To maintain the confidentiality of trade secrets and proprietary information, we enter into confidentiality agreements with our employees, consultants, independent contractors, collaborators, CMOs, CROs and others upon the commencement of their relationships with us. These agreements require that all confidential information developed by the individual or entity or made known to the individual or entity by us during the course of the individual’s or entity’s relationship with us be kept confidential and not disclosed to third parties. Our agreements with employees as well as our personnel policies also generally provide that any inventions conceived by the individual in the course of rendering services to us shall be our exclusive property (to the extent not covered by the German Act on Employees’ Inventions) or that we may obtain full rights to such inventions at our election. However, we cannot guarantee that we have entered into such agreements with each party that may have or has had access to our trade secrets or proprietary technology and processes and cannot guarantee that individuals with whom we have these agreements will comply with their terms. We also face the risk that present or former employees could continue to hold rights to intellectual property used by us, may demand the registration of intellectual property rights in their name and demand damages pursuant to the Patent Act. In addition, present or former employees may demand damages due to violation of obligations under the German Act on Employees’ Invention. In the event of unauthorized use or disclosure of our trade secrets or proprietary information, these agreements, even if obtained, may not provide meaningful protection, particularly for our trade secrets.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may not have adequate remedies in the event of unauthorized use or disclosure of our proprietary information in the case of a breach of any such agreements and our trade secrets and other proprietary information could be disclosed to third parties, including our competitors. Many of our partners also collaborate with our competitors and other third parties. The disclosure of our trade secrets to our competitors, or more broadly, would impair our competitive position and may materially harm our business, financial condition, results of operations and prospects. Costly and time-consuming litigation could be necessary to enforce and determine the scope of our proprietary rights, and failure to maintain trade secret protection could adversely affect our competitive business position. The enforceability of confidentiality agreements may vary from jurisdiction to jurisdiction. Courts outside the United States are sometimes less willing to protect proprietary information, technology and know-how. In addition, others may independently discover or develop substantially equivalent or superior proprietary information and techniques, and the existence of our own trade secrets affords no protection against such independent discovery.</w:t>
      </w:r>
    </w:p>
    <w:p>
      <w:pPr>
        <w:spacing w:after="0" w:line="19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intellectual property rights to product candidates for our development pipeline through acquisitions and in-licenses.</w:t>
      </w:r>
    </w:p>
    <w:p>
      <w:pPr>
        <w:spacing w:after="0" w:line="15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Although we intend to develop product candidates through our own internal research, we may need to obtain additional licenses from others to advance our research or allow commercialization of our product candidates and it is possible that we may be unable to obtain additional licenses at a reasonable cost or on reasonable terms, if at all. However, we may be unable to acquire or in-license intellectual property rights relating to, or necessary for, any product candidates from third parties on an exclusive basis or commercially reasonable terms or at all. In that event, we may be unable to develop or commercialize such product candidates. We may also be unable to identify product candidates that we believe are an appropriate strategic fit for our company and intellectual property relating to, or necessary for, such product candidates.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29"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Europe or the United States. Consequently, we may not be able to prevent third parties from practicing our inventions in all countries outside of Europe and the United States, or from selling or importing products made using our inventions in and into those countries or other jurisdictions. Third parties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Europe or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financial condition, results of operations and prospects may be adversely affected.</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or marks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financial condition, results of operations and prospects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proprietary and intellectual property rights is uncertain because such rights offer only limited protection and may not adequately protect our rights or permit us to gain or keep our competitive advantage. For example:</w:t>
      </w:r>
    </w:p>
    <w:p>
      <w:pPr>
        <w:spacing w:after="0" w:line="162" w:lineRule="exact"/>
        <w:rPr>
          <w:sz w:val="20"/>
          <w:szCs w:val="20"/>
          <w:color w:val="auto"/>
        </w:rPr>
      </w:pPr>
    </w:p>
    <w:p>
      <w:pPr>
        <w:ind w:left="680" w:right="2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or better than, our product candidates in a way that is not covered by the claims of the patents we license or may own currently or in the future;</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licensing partners or current or future collaborators, might not have been the first to make the inventions covered by issued patents or pending patent applications that we license or may own currently or in the future;</w:t>
      </w:r>
    </w:p>
    <w:p>
      <w:pPr>
        <w:spacing w:after="0" w:line="161"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licensing partners or current or future collaborators, might not have been the first to file patent applications for certain of our or their inventions;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owned or in-licensed patent applications may not lead to issued patents;</w:t>
      </w:r>
    </w:p>
    <w:p>
      <w:pPr>
        <w:spacing w:after="0" w:line="225"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61" w:lineRule="exact"/>
        <w:rPr>
          <w:rFonts w:ascii="Times New Roman" w:cs="Times New Roman" w:eastAsia="Times New Roman" w:hAnsi="Times New Roman"/>
          <w:sz w:val="18"/>
          <w:szCs w:val="18"/>
          <w:color w:val="auto"/>
        </w:rPr>
      </w:pPr>
    </w:p>
    <w:p>
      <w:pPr>
        <w:jc w:val="both"/>
        <w:ind w:left="680" w:right="260" w:hanging="321"/>
        <w:spacing w:after="0" w:line="26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w:t>
      </w:r>
    </w:p>
    <w:p>
      <w:pPr>
        <w:spacing w:after="0" w:line="225"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or pending or future applications of third parties, if issued, may have an adverse effect on our business;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 or may ultimately be found not to be owned by us, invalid or unenforceable;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conditions,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third-party payors, healthcare professionals and customers in the United States and elsewhere may be subject, directly or indirectly, to applicable anti-kickback, fraud and abuse, false claims, physician payment transparency and other healthcare laws and regulations, which could expose us to significant penalties.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third-party payors and customers may expose us to broadly applicable fraud and abuse and other healthcare laws and regulations, including, without limitation, the federal Anti-Kickback Statute and the federal civil False Claims Act, that may constrain the business or financial arrangements and relationships through which we conduct clinical research, sell, market and distribute any products for which we obtain marketing approval. In addition, we may be subject to physician payment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188" w:lineRule="exact"/>
        <w:rPr>
          <w:sz w:val="20"/>
          <w:szCs w:val="20"/>
          <w:color w:val="auto"/>
        </w:rPr>
      </w:pPr>
    </w:p>
    <w:p>
      <w:pPr>
        <w:ind w:left="680" w:hanging="321"/>
        <w:spacing w:after="0" w:line="255"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to have committed a violation. Further, several courts have interpreted the statute’s intent requirement to mean that if any one purpose of an arrangement involving remuneration is to induce referrals of a federal healthcare-covered business, the Anti-Kickback Statute has been violated;</w:t>
      </w:r>
    </w:p>
    <w:p>
      <w:pPr>
        <w:spacing w:after="0" w:line="188" w:lineRule="exact"/>
        <w:rPr>
          <w:rFonts w:ascii="Times New Roman" w:cs="Times New Roman" w:eastAsia="Times New Roman" w:hAnsi="Times New Roman"/>
          <w:sz w:val="18"/>
          <w:szCs w:val="18"/>
          <w:color w:val="auto"/>
        </w:rPr>
      </w:pPr>
    </w:p>
    <w:p>
      <w:pPr>
        <w:ind w:left="680" w:hanging="321"/>
        <w:spacing w:after="0" w:line="255"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federal civil and criminal false claims laws, including, without limitation, the federal civil False Claims Act (that can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the civil monetary penalties law, which impose criminal and civil penalties against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 Moreover, the government may assert that a claim including items or services resulting from a violation of the federal Anti-Kickback Statute constitutes a false or fraudulent claim for purposes of the False Claims Act;</w:t>
      </w:r>
    </w:p>
    <w:p>
      <w:pPr>
        <w:spacing w:after="0" w:line="188" w:lineRule="exact"/>
        <w:rPr>
          <w:rFonts w:ascii="Times New Roman" w:cs="Times New Roman" w:eastAsia="Times New Roman" w:hAnsi="Times New Roman"/>
          <w:sz w:val="18"/>
          <w:szCs w:val="18"/>
          <w:color w:val="auto"/>
        </w:rPr>
      </w:pPr>
    </w:p>
    <w:p>
      <w:pPr>
        <w:ind w:left="680" w:right="160" w:hanging="321"/>
        <w:spacing w:after="0" w:line="261"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79"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Food, Drug, and Cosmetic Act, which prohibits, among other things, the adulteration or misbranding of drugs, biologics and medical devices;</w:t>
      </w:r>
    </w:p>
    <w:p>
      <w:pPr>
        <w:spacing w:after="0" w:line="161" w:lineRule="exact"/>
        <w:rPr>
          <w:rFonts w:ascii="Times New Roman" w:cs="Times New Roman" w:eastAsia="Times New Roman" w:hAnsi="Times New Roman"/>
          <w:sz w:val="18"/>
          <w:szCs w:val="18"/>
          <w:color w:val="auto"/>
        </w:rPr>
      </w:pPr>
    </w:p>
    <w:p>
      <w:pPr>
        <w:ind w:left="680" w:right="74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Public Health Service Act, or the PHSA, which prohibits, among other things, the introduction into interstate commerce of a biological product unless a biologics license is in effect for that product;</w:t>
      </w:r>
    </w:p>
    <w:p>
      <w:pPr>
        <w:spacing w:after="0" w:line="161" w:lineRule="exact"/>
        <w:rPr>
          <w:rFonts w:ascii="Times New Roman" w:cs="Times New Roman" w:eastAsia="Times New Roman" w:hAnsi="Times New Roman"/>
          <w:sz w:val="18"/>
          <w:szCs w:val="18"/>
          <w:color w:val="auto"/>
        </w:rPr>
      </w:pPr>
    </w:p>
    <w:p>
      <w:pPr>
        <w:ind w:left="680" w:right="40" w:hanging="321"/>
        <w:spacing w:after="0" w:line="254"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created under Section 6002 of the Affordable Care Act,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the CMS, information related to payments or other “transfers of value” made to physicians, which is defined to include doctors, dentists, optometrists, podiatrists and chiropractors, and certain other healthcare providers beginning in 2022, and which requires teaching hospitals and applicable manufacturers to report annually to CMS ownership and investment interests held by physicians and their immediate family members by the 90th day of each calendar year. All such reported information is publicly available; and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40" w:hanging="321"/>
        <w:spacing w:after="0" w:line="255"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and state and foreign laws that require drug manufacturers to report information related to payments and other transfers of value to physicians and other healthcare providers or marketing expenditures.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may involve substantial costs. It is possible that governmental authorities will conclude that our business practices, including our relationships with physicians and other healthcare providers, some of whom may recommend, purchase or prescribe our product candidate, if approved, may not comply with current or future statutes, regulations or case law involving applicable fraud and abuse or other healthcare laws and regulations.</w:t>
      </w:r>
    </w:p>
    <w:p>
      <w:pPr>
        <w:spacing w:after="0" w:line="18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these laws or any other governmental regulations that may apply to us, we may be subject to significant civil, criminal and administrative penalties, including, without limitation, damages, fines, disgorgement, individual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which could have a material adverse effect on our business. If any of the physicians or other healthcare providers or entities with whom we expect to do business is found not to be in compliance with applicable laws, they may be subject to criminal, civil or administrative sanctions, including exclusions from participation in government healthcare programs, which could also materially affect our business.</w:t>
      </w:r>
    </w:p>
    <w:p>
      <w:pPr>
        <w:spacing w:after="0" w:line="18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or any future collaborators, are able to commercialize any product candidate that we, or they, develop, the successful commercialization of our product candidates will depend in part on the extent to which governmental authorities, private health insurers and other third-party payors provide coverage and adequate reimbursement levels and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healthcare industry is acutely focused on cost containment, both in the United States and elsewhere. Government authorities and third-party payors have attempted to control costs by limiting coverage and the amount of reimbursement. The insurance coverage and reimbursement status of newly approved products for orphan diseases is particularly uncertain and failure to obtain or maintain adequate coverage and reimbursement for our product candidates could limit our ability to generate revenue. Third-party payors may not view our product candidates, if approved, as cost-effective, and coverage and reimbursement may not be available to our customers or may not be sufficient to allow our products, if any, to be marketed on a competitive basis. If coverage and reimbursement are not available, or reimbursement is available only to limited levels, we, or any future collaborators, may not be able to successfully commercialize our product candidates. Even if coverage is provided, the approved reimbursement amount may not be high enough to allow us, or any future collaborators, to establish or maintain pricing sufficient to realize a sufficient return on our or their investments. Cost-control initiatives could also cause us to decrease any price we might establish for our product candidates, which could result in lower than anticipated product revenues. Moreover, eligibility for reimbursement does not imply that any product will be paid for in all cases or at a rate that covers our costs, including our costs related to research, development, manufacture, sale and distribution. Reimbursement rates may vary, by way of example, according to the use of the product and the clinical setting in which it is used. For products administered under the supervision of a physician, obtaining coverage and adequate reimbursement may be particularly difficult because of the higher prices often associated with such drugs. If the prices for our product candidates, if approved, decrease or if governmental and other third-party payors do not provide adequate coverage or reimbursement, our business, prospects, operating results and financial condition will suffer, perhaps materially.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including genetic treatments. In the United States, the Centers for Medicare &amp; Medicaid Services, or the CMS, the federal agency responsible for administering the Medicare program, make the principal decisions about coverage and reimbursement for new treatments under Medicare. Private payors tend to follow CMS to a substantial degree. It is difficult to predict what CMS will decide with respect to reimbursement for novel products such as ours. In addition, certain Affordable Care Act marketplace and other private payor plans are required to include coverage for certain preventative services, including vaccinations recommended by the U.S. Centers for Disease Control’s, or the CDC’s, Advisory Committee on Immunization Practices, or ACIP, without cost share obligations (i.e., co-payments, deductibles or co-insurance) for plan members. For Medicare beneficiaries, vaccines may be covered for reimbursement under either the Part B program or Part D depending on several criteria, including the type of vaccine and the beneficiary’s coverage eligibility. If our vaccine candidates, once approved, are reimbursed only under the Part D program, physicians may be less willing to use our products because of the claims adjudication costs and time related to the claims adjudication process and collection of co-payment associated with the Part D program.</w:t>
      </w:r>
    </w:p>
    <w:p>
      <w:pPr>
        <w:spacing w:after="0" w:line="19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product candidates, in those countries would be negatively affected.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Moreover, an increasing number of countries are taking initiatives to attempt to reduce large budget deficits by focusing cost-cutting efforts on pharmaceuticals for their state-run healthcare systems. These international price control efforts have impacted all regions of the world, but have been most drastic in the European Union. In some countries, in particular, in many Member States of the European Union, we may be required to conduct a clinical trial or other studies that compare the cost-effectiveness of our product candidates to other available therapies in order to obtain or maintain reimbursement or pricing approval. In addition, publication of discounts by third-party payors or authorities may lead to further pressure on the prices or reimbursement levels within the country of publication and other countries.</w:t>
      </w:r>
    </w:p>
    <w:p>
      <w:pPr>
        <w:spacing w:after="0" w:line="189" w:lineRule="exact"/>
        <w:rPr>
          <w:sz w:val="20"/>
          <w:szCs w:val="20"/>
          <w:color w:val="auto"/>
        </w:rPr>
      </w:pPr>
    </w:p>
    <w:p>
      <w:pPr>
        <w:ind w:right="140" w:firstLine="324"/>
        <w:spacing w:after="0" w:line="274" w:lineRule="auto"/>
        <w:rPr>
          <w:sz w:val="20"/>
          <w:szCs w:val="20"/>
          <w:color w:val="auto"/>
        </w:rPr>
      </w:pPr>
      <w:r>
        <w:rPr>
          <w:rFonts w:ascii="Times New Roman" w:cs="Times New Roman" w:eastAsia="Times New Roman" w:hAnsi="Times New Roman"/>
          <w:sz w:val="17"/>
          <w:szCs w:val="17"/>
          <w:color w:val="auto"/>
        </w:rPr>
        <w:t>If reimbursement of our products is unavailable or limited in scope or amount, or if pricing is set at unsatisfactory levels, our business, financial condition, results of operations or prospects could be materially adversely affected. Cost-control initiatives could cause us, or any future collaborators, to decrease the price we, or they, might establish for products, which could result in lower than anticipated product revenues. An inability to promptly obtain coverage and adequate payment rates from both government-funded and private payors for any of our product candidates for which we, or any future collaborator, obtain marketing approval could significantly harm our operating results, our ability to raise capital needed to commercialize products and our overall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may be imposed in certain markets, which may adversely affect our future profitability.</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the pricing of prescription drugs is subject to governmental control or control by associations of health insurers.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cost-containment measures. Political, economic and regulatory developments may further complicate pricing negotiations, and pricing negotiations may continue after reimbursement has been obtained. Reference pricing used by various countries and parallel distribution, or arbitrage between low-priced and high-priced countries, can further reduce prices. In some countries, in particular, in many Member States of the European Union, we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financial condition, results of operations or prospects could be materially adversely affected.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Exchange rate fluctuations or abandonment of the euro currency may materially affect our results of operations and financial condition.</w:t>
      </w:r>
    </w:p>
    <w:p>
      <w:pPr>
        <w:spacing w:after="0" w:line="159"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color w:val="auto"/>
        </w:rPr>
        <w:t>Potential future expense and revenue may be incurred or derived from outside the European Union, particularly the United States. As a result, our business and share price may be affected by fluctuations in foreign exchange rates between the euro and other currencies, particularly the U.S. dollar, which may also have a significant impact on our reported results of operations and cash flows from period to period. In addition, the abandonment of the euro by one or more members of the European Union could lead to the re-introduction of individual currencies in one or more European Union Member States, or in more extreme circumstances, the dissolution of the European Union. The effects on our business of the abandonment of the euro as a currency, the exit of one or more European Union Member States from the European Union (such as Brexit) or a potential dissolution of the European Union, are impossible to predict with certainty, and any such events could have a material adverse effect on our business, financial condition and results of operations.</w:t>
      </w:r>
    </w:p>
    <w:p>
      <w:pPr>
        <w:spacing w:after="0" w:line="17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More generally, shifts in geopolitical balance, political crisis or wars may affect foreign exchange rates between the euro and other currencies, which may also have a significant impact on our reported results of operations and cash flows from period to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strict restrictions on the movement of cash and the exchange of foreign currencies.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some countries, we could be subject to strict restrictions on the movement of cash and the exchange of foreign currencies, which would limit our ability to use this cash across our global operations. This risk could increase as we continue our geographic expansion, and in particular if we seek to expand into emerging markets, which are more likely to impose these restrictions than more established markets.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additional reductions in Medicare and other healthcare funding, more rigorous coverage criteria, new payment methodologies and in additional downward pressure on the price that we, or any collaborators, may receive for any approved products.</w:t>
      </w:r>
    </w:p>
    <w:p>
      <w:pPr>
        <w:spacing w:after="0" w:line="18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March 2010, President Obama signed the Affordable Care Act into law. Among the provisions of the Affordable Care Act of potential importance to our business and our product candidates are the following:</w:t>
      </w:r>
    </w:p>
    <w:p>
      <w:pPr>
        <w:spacing w:after="0" w:line="162" w:lineRule="exact"/>
        <w:rPr>
          <w:sz w:val="20"/>
          <w:szCs w:val="20"/>
          <w:color w:val="auto"/>
        </w:rPr>
      </w:pPr>
    </w:p>
    <w:p>
      <w:pPr>
        <w:ind w:left="680" w:right="22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products and biologic products;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225"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products that are inhaled, infused, instilled, implanted or injected;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individuals enrolled in Medicaid managed care organizations;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225"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certain Affordable Care Act marketplace and other private payor plans include coverage for preventative services, including vaccinations recommended by the ACIP without cost share obligations (i.e., co-payments, deductibles or co-insurance) for plan members;</w:t>
      </w:r>
    </w:p>
    <w:p>
      <w:pPr>
        <w:spacing w:after="0" w:line="175" w:lineRule="exact"/>
        <w:rPr>
          <w:rFonts w:ascii="Times New Roman" w:cs="Times New Roman" w:eastAsia="Times New Roman" w:hAnsi="Times New Roman"/>
          <w:sz w:val="18"/>
          <w:szCs w:val="18"/>
          <w:color w:val="auto"/>
        </w:rPr>
      </w:pPr>
    </w:p>
    <w:p>
      <w:pPr>
        <w:ind w:left="680" w:right="64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80" w:hanging="321"/>
        <w:spacing w:after="0" w:line="312" w:lineRule="auto"/>
        <w:tabs>
          <w:tab w:leader="none" w:pos="6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Independent Payment Advisory Board, or an IPAB, which has authority to recommend certain changes to the Medicare program to reduce expenditures by the program that could result in reduced payments for prescription products; and</w:t>
      </w:r>
    </w:p>
    <w:p>
      <w:pPr>
        <w:spacing w:after="0" w:line="139" w:lineRule="exact"/>
        <w:rPr>
          <w:rFonts w:ascii="Times New Roman" w:cs="Times New Roman" w:eastAsia="Times New Roman" w:hAnsi="Times New Roman"/>
          <w:sz w:val="17"/>
          <w:szCs w:val="17"/>
          <w:color w:val="auto"/>
        </w:rPr>
      </w:pPr>
    </w:p>
    <w:p>
      <w:pPr>
        <w:ind w:left="680" w:right="42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the Center for Medicare and Medicaid Innovation within CMS to test innovative payment and service delivery models.</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numerous aspects of the Affordable Care Act. We are continuing to monitor any changes to the Affordable Care Act that, in turn, may potentially impact our business in the future.</w:t>
      </w:r>
    </w:p>
    <w:p>
      <w:pPr>
        <w:spacing w:after="0" w:line="162"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Other legislative changes have been proposed and adopted since the Affordable Care Act was enacted. These changes include aggregate reductions to Medicare payments to providers of 2% per fiscal year pursuant to the Budget Control Act of 2011 and subsequent laws, which began in 2013 and will remain in effect through 2030, with the exception of a temporary suspension from May 1, 2020 through December 31, 2021. In addition,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 candidates, if approved, and, accordingly, the results of our financial operations.</w:t>
      </w:r>
    </w:p>
    <w:p>
      <w:pPr>
        <w:spacing w:after="0" w:line="17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Also, there has been heightened governmental scrutiny recently over the manner in which pharmaceutical companies set prices for their marketed products, which has resulted in several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policies of the FDA or similar regulatory authorities may change and additional government regulations may be enacted that could prevent, limit or delay regulatory approval of our product candidates. If we or our collaborators are slow or unable to adapt to changes in existing requirements or the adoption of new requirements or policies, or if we or our collaborators are not able to maintain regulatory compliance, our product candidates may lose any regulatory approval that may have been obtained and we may not achieve or sustain profitability, which would adversely affect our business.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cannot predict whether future healthcare legislative or policy changes will be implemented at the federal or state level or in countries outside the United States in which we may do business, or the effect any future legislation or regulation will have on us, but we expect there will continue to be legislative and regulatory proposals at the federal and state levels directed at containing or lowering the cost of healthcare.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Cyberattacks or other failures in our or our third-party vendors’, contractors’ or consultants’ telecommunications or information technology systems could result in information theft, data corruption and significant disruption of our business operations.</w:t>
      </w:r>
    </w:p>
    <w:p>
      <w:pPr>
        <w:spacing w:after="0" w:line="13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utilize information technology, or IT, systems and networks and cloud computing services to process, transmit and store electronic information in connection with our business activities. We manage and maintain our applications and data utilizing a combination of on-site systems, managed data centers and cloud-based data centers. We utilize external security and infrastructure vendors to manage our information technology systems and data centers.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we use to manage this sensitive data. Despite the implementation of cybersecurity measures, given the size and complexity of our internal IT systems and those of our third-party vendors, contractors and consultants, and the increasing amounts of confidential information that they maintain, such IT systems are potentially vulnerable to breakdown or other damage or interruption from service interruptions, system malfunction, natural disasters, terrorism, war, and telecommunication and electrical failures. Such IT systems are additionally vulnerable to cybersecurity breaches from inadvertent or intentional actions by our employees,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These threats pose a risk to the cybersecurity of our systems and networks, the confidentiality and the availability and integrity of our data and these risks apply both to us, and to third parties on whose systems we rely for the conduct of our business.</w:t>
      </w:r>
    </w:p>
    <w:p>
      <w:pPr>
        <w:spacing w:after="0" w:line="193"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Cybersecurity threats are persistent and constantly evolving. Such threats have increased in frequency, scope and potential impact in recent years, which increase the difficulty of detecting and successfully defending against them. We may not be able to anticipate all types of cybersecurity threats, and we may not be able to implement preventive measures effective against all such cybersecurity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There can be no assurance that we or our third-party service providers, contractors or consultants will be successful in preventing cyberattacks or successfully mitigating their effects. Similarly, there can be no assurance that such third-party service providers, contractors or consultants will be successful in protecting our clinical and other data that is stored on their systems. If the IT systems of our third-party vendors and other contractors and consultants become subject to disruptions or cybersecurity breaches, we may have insufficient recourse against such third parties and we may have to expend significant resources to mitigate the impact of such an event, and to develop and implement protections to prevent future events of this nature from occurring. Any cyberattack or destruction or loss of data could have a material adverse effect on our business, financial condition, results of operations and prospects. For example, if such an event were to occur and cause interruptions in our operations, or those of our third-party vendors and other contractors and consultants, it could result in a material disruption or delay of the development of our product candidates. In addition, we may suffer reputational harm or face litigation or adverse regulatory action as a result of cyberattacks or other data security breaches and may incur significant additional expense to implement further data protection measures. As cybersecurity threats continue to evolve, we may be required to incur material additional expenses in order to enhance our protective measures or to remediate any information security vulnerability.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continuity and disaster recovery plans may not adequately protect us from a serious disaster.</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are in the early stages of developing disaster recovery, business continuity plans and document retention plans designed to allow us to be operational despite unforeseen events, including natural disasters such as an earthquake, fire, hurricane, tornado, flood or significant power outage; political crises, such as terrorist attacks, war and other political instability, including the ongoing geopolitical tensions related to Russia’s actions in Ukraine and associated international sanctions in response to such sanctions; or other catastrophic events. Without disaster recovery, business continuity and document retention plans, if we encounter difficulties or disasters with our manufacturing facilities, affiliates, corporate headquarters or those of third parties we rely on, our critical systems, operations and information may not be restored in a timely manner, or at all, and our business activities could be materially disrupted. We may incur substantial expenses as a result of the limited nature of our disaster recovery and business continuity plans, which could have a material adverse effect on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may experience growth in the number of our employees and the scope of our operations in the areas of clinical development and regulatory affairs. We are currently constructing a new facility, designed for the development of a cGMP production process on a large industrial scale for market supply. To manage these growth activities, we must continue to implement and improve our managerial, operational and financial systems, expand our facilities and continue to recruit and train additional qualified personnel. Our management may need to devote a significant amount of its attention to managing these activities. Moreover, our growth could require us to relocate to a different geographic area of the country. We may not be able to effectively manage any expansion or relocation of our operations, retain key employees, or identify, recruit and train additional qualified personnel. Our inability to manage the expansion or relocation of our operations effectively may result in weaknesses in our infrastructure, and give rise to operational mistakes, loss of business opportunities, loss of employees and reduced productivity among remaining employees. Our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development and commercialization of our product candidates. Any of the foregoing could have a material adverse effect on our business, financial condition, results of operations and prospects.</w:t>
      </w:r>
    </w:p>
    <w:p>
      <w:pPr>
        <w:spacing w:after="0" w:line="1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Engaging in acquisitions, joint ventures or collaborations may increase our capital requirements, dilute our shareholders, cause us to incur debt or assume contingent liabilities, and subject us to other risks. We may not realize the benefits of these acquisitions, joint ventures or collaborations.</w:t>
      </w:r>
    </w:p>
    <w:p>
      <w:pPr>
        <w:spacing w:after="0" w:line="175"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176" w:lineRule="exact"/>
        <w:rPr>
          <w:sz w:val="20"/>
          <w:szCs w:val="20"/>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98"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121"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121"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in the retention of key employees, the loss of key personnel, and uncertainties in our ability to maintain key business relationships;</w:t>
      </w:r>
    </w:p>
    <w:p>
      <w:pPr>
        <w:spacing w:after="0" w:line="134"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21"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or products sufficient to meet our objectives in undertaking the acquisition or even to offset the associated acquisition and maintenance costs.</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addition, if we undertake acquisitions, we may utilize our cash, issue dilutive securities, assume or incur debt obligations, incur large one-time expenses and acquire intangible assets that could result in significant future amortization expense. 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and consultants may engage in misconduct or other improper activities, including noncompliance with regulatory standards and requirements and insider trading, which could have an adverse effect on the results of our operations.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and consultants, despite our robust efforts to prevent such misconduct through sponsor oversight. Misconduct by these parties could include intentional failures to comply with FDA regulations or the regulations applicable in the European Union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8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cybersecurity and changes in such laws, regulations, policies and contractual obligations could adversely affect our business, financial condition, results of operations and prospects.</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and prospects. Additionally, if we are unable to properly protect the privacy and security of personal information, including protected health information, we could be found to have breached our contracts.</w:t>
      </w:r>
    </w:p>
    <w:p>
      <w:pPr>
        <w:spacing w:after="0" w:line="188"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HIPAA, as amended by the Health Information Technology for Economic and Clinical Health Act of 2009, or HITECH, and their respective implementing regulations,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If we fail to comply with applicable privacy laws, including applicable HIPAA privacy and security standards, we could face civil and criminal penalties. The HHS has the discretion to impose penalties without attempting to first resolve violations. HHS enforcement activity can result in financial liability and reputational harm, and responses to such enforcement activity can consume significant internal resources. Even when HIPAA does not apply, failing to take appropriate steps to keep consumers’ personal information secure can constitute unfair acts or practices in or affecting commerce and be construed as a violation of Section 5(a) of the Federal Trade Commission Act, or the FTCA, 15 U.S.C § 45(a). The Federal Trade Commission, or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and the FTC’s guidance for appropriately securing consumers’ personal information is similar to what is required by the HIPAA Security Rule.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In addition, many states in which we operate have laws that protect the privacy and security of personal information. For example, the California Consumer Privacy Act of 2018, as amended by the California Privacy Rights Act, or the CCPA, increases privacy rights for California residents and imposes obligations on companies that process their personal information. Among other things, the CCPA requires covered companies to provide new disclosures to California consumers and provide such consumers new data protection and privacy rights, including the ability to opt out of certain sales of personal information. The CCPA provides for civil penalties for violations, as well as a private right of action for certain data breaches that result in the loss of personal information. The CCPA also creates a new state agency that will be vested with authority to implement and enforce the CCPA. State laws are changing rapidly and there is discussion in Congress of a new federal data protection and privacy law to which we would become subject if it is enacted.</w:t>
      </w:r>
    </w:p>
    <w:p>
      <w:pPr>
        <w:spacing w:after="0" w:line="192"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Internationally, laws, regulations and standards in many jurisdictions apply broadly to the collection, use, retention, security, disclosure, transfer and other processing of personal information. For example, in the European Union, the collection and use of personal data is governed by the provisions of the General Data Protection Regulation, or the GDPR, in addition to other applicable laws and regulations. The GDPR came into effect in May 2018, repealing and replacing the European Union Data Protection Directive, and imposing revised data privacy and security requirements on companies in relation to the processing of personal data of European Union and United Kingdom data subjects. The GDPR, together with national legislation, regulations and guidelines of the European Union Member States and the United Kingdom governing the processing of personal data, impose strict obligations with respect to, and restrictions on, the collection, use, retention, protection, disclosure, transfer and processing of personal data. The GDPR imposes strict rules on the transfer of personal data to countries outside the European Union, including the United States. For example, in 2016, the European Union and United States agreed to a transfer framework for data transferred from the European Union to the United States, called the Privacy Shield, but the Privacy Shield was invalidated in July 2020 by the Court of Justice of the European Union. The standard contractual clauses issued by the European Commission, or the EC, for the transfer of personal data may be similarly invalidated by the Court of Justice of the European Union. On June 4, 2021, the EC adopted new standard contractual clauses, which impose on companies’ additional obligations relating to data transfers, including the obligation to conduct a transfer impact assessment and, depending on a party’s role in the transfer, to implement additional security measures and to update internal privacy practices. If we elect to rely on the new standard contractual clauses for data transfers, we may be required to incur significant time and resources to update our contractual arrangements and to comply with new obligations. If we are unable to implement a valid mechanism for personal data transfers from the EU, we will face increased exposure to regulatory actions, substantial fines and injunctions against processing personal data from the EU. It remains to be seen whether these standard contractual clauses will remain available and whether additional means for lawful data transfers will become available. The GDPR authorizes fines for certain violations of up to 4% of the total global annual turnover of the preceding financial year or €20 million, whichever is greater. Such fines are in addition to any civil litigation claims by data subjects. Separately, Brexit could also lead to further legislative and regulatory changes and increase our compliance costs. As of January 1, 2021, and the expiry of transitional arrangements agreed to between the United Kingdom and the European Union,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adopted an adequacy decision in favor of the United Kingdom, enabling data transfers from European Union member states to the United Kingdom without additional safeguards. However, the United Kingdom adequacy decision will automatically expire in June 2025 unless the European Commission reassesses and renews or extends that decision. Other jurisdictions outside the European Union are similarly introducing or enhancing privacy and data security laws, rules and regulations, which could increase our compliance costs and the risks associated with noncompliance. We cannot guarantee that we are, or will be, in compliance with all applicable international regulations as they are enforced now or as they evolve.</w:t>
      </w:r>
    </w:p>
    <w:p>
      <w:pPr>
        <w:spacing w:after="0" w:line="20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It is possible that these laws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federal, state and international laws regarding privacy and security of personal information could expose us to penalties under such laws,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have a material adverse effect on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5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We face and will continue to face competition from third parties that use mRNA, gene editing or gene therapy development platforms and from third parties focused on other therapeutic modalities, such as small molecules, antibodies, biologics and nucleic acid-based therapies. The competition is likely to come from multiple sources, including large and specialty pharmaceutical and biotechnology companies, academic research institutions, government agencies and public and private research institutions.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greater concentration of resources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Our competitors also may obtain FDA or other regulatory approvals for their products faster or earlier than we may obtain approval for ours, which could result in our competitors establishing a strong market position before we are able to enter the market. For example, some of our competitors have already received approval from the FDA and other regulatory agencies for their mRNA-based COVID-19 vaccines. Additionally, technologies developed by our competitors may render our product candidates uneconomical or obsolete, and we may not be successful in marketing our product candidates against competitors’ products. In addition, the availability of our competitors’ products could limit the demand and the prices we are able to charge for any products that we may develop and commercialize.</w:t>
      </w:r>
    </w:p>
    <w:p>
      <w:pPr>
        <w:spacing w:after="0" w:line="18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executive officers and managing directors, and the loss of their services would materially harm our business.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and will likely continue to depend, upon our ability to retain the services of our current executive officers, managing directors, principal consultants and other service providers, and our ability to hire new highly qualified personnel. We are highly dependent on the management, development, clinical, financial and business development expertise of our executive officers, managing directors, principal consultants and other service providers. In addition, we have established relationships with universities and research institutions which have historically provided, and continue to provide, us with access to research laboratories, clinical trials, facilities and patients. Our ability to compete in the biotechnology and pharmaceuticals industries depends upon our ability to attract and retain highly qualified managerial, scientific and medical personnel.</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most cases, our personnel may only terminate their employment upon first providing notice. A limited number of agreements provide for at-will termination.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75"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contract research organizations may engage in fraudulent conduct or other illegal activity. Misconduct by those parties could include intentional, reckless or negligent conduct or disclosure of unauthorized activities to us that violates (i) FDA regulations or similar regulations of comparable non-U.S. regulatory authorities, including those laws requiring the reporting of true, complete and accurate information to such authorities, (ii) manufacturing and clinical trial conduct standards, (iii) federal and state healthcare fraud and abuse laws and regulations and similar laws and regulations established and enforced by comparable non-U.S. regulatory authorities and (iv) laws that require the reporting of financial information or data accurately. Activities subject to these laws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our geographically diverse operations, we are more susceptible to certain risks.</w:t>
      </w:r>
    </w:p>
    <w:p>
      <w:pPr>
        <w:spacing w:after="0" w:line="229" w:lineRule="exact"/>
        <w:rPr>
          <w:sz w:val="20"/>
          <w:szCs w:val="20"/>
          <w:color w:val="auto"/>
        </w:rPr>
      </w:pPr>
    </w:p>
    <w:p>
      <w:pPr>
        <w:jc w:val="both"/>
        <w:ind w:right="440" w:firstLine="324"/>
        <w:spacing w:after="0" w:line="261" w:lineRule="auto"/>
        <w:rPr>
          <w:sz w:val="20"/>
          <w:szCs w:val="20"/>
          <w:color w:val="auto"/>
        </w:rPr>
      </w:pPr>
      <w:r>
        <w:rPr>
          <w:rFonts w:ascii="Times New Roman" w:cs="Times New Roman" w:eastAsia="Times New Roman" w:hAnsi="Times New Roman"/>
          <w:sz w:val="18"/>
          <w:szCs w:val="18"/>
          <w:color w:val="auto"/>
        </w:rPr>
        <w:t>We have offices and operations in six cities and in five countries. If we are unable to manage the risks of our global operations, including fluctuations in foreign exchange and inflation rates, international hostilities, natural disasters, security breaches, failure to maintain compliance with our clients’ control requirements and multiple legal and regulatory systems, our results of operations and ability to grow could be materially adversely affected.</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level of taxes, and audits, investigations and tax proceedings, could have a material adverse effect on our results of operations and financial condition.</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Although limited in terms of magnitude due to ongoing losses incurred so far, we are subject to income taxes in Germany and the United States. We calculate and provide for income taxes in each tax jurisdiction in which we operate. Tax accounting often involves complex matters and judgment is required in determining our worldwide provision for income taxes and other tax liabilities. We are subject to ongoing tax audits in Germany. In the future, tax authorities may disagree with our judgments or may take increasingly aggressive positions with respect to the judgments we make. We regularly assess the likely outcomes of these audits in order to determine the appropriateness of our tax liabilities. However, our judgments might not be sustained as a result of these audits, and the amounts ultimately paid could be different from the amounts previously recorded. In addition, our effective tax rate in the future could be adversely affected by changes in the mix of earnings in countries with differing statutory tax rates, changes in the valuation of deferred tax assets and liabilities and changes in tax laws. Tax rates in the jurisdictions in which we operate may change as a result of macroeconomic or other factors outside of our control. Increases in the tax rate in any of the jurisdictions in which we operate could have a negative impact on our profitability. In addition, changes in tax laws, treaties or regulations, or their interpretation or enforcement, may be unpredictable, particularly in less developed markets, and could become more stringent, which could materially adversely affect our tax position. Any of these occurrences could have a material adverse effect on our results of operations and financial condition.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20, 2021 the OECD published the Global Anti-Base Erosion Model Rules (the “GloBE Rules”), also known as Pillar</w:t>
      </w:r>
    </w:p>
    <w:p>
      <w:pPr>
        <w:spacing w:after="0" w:line="27" w:lineRule="exact"/>
        <w:rPr>
          <w:sz w:val="20"/>
          <w:szCs w:val="20"/>
          <w:color w:val="auto"/>
        </w:rPr>
      </w:pPr>
    </w:p>
    <w:p>
      <w:pPr>
        <w:ind w:right="100" w:firstLine="8"/>
        <w:spacing w:after="0" w:line="277" w:lineRule="auto"/>
        <w:tabs>
          <w:tab w:leader="none" w:pos="21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GloBE Rules aim to impose a global minimum tax of 15% on multinational enterprises with a revenue in excess of €750 million. On December 22, 2021, the European Commission published a legislative proposal for Pillar II (the “EU Pillar II Directive”). The EU Pillar II Directive is largely aligned with the GloBE Rules. Some deviations were introduced to ensure compliance with EU treaties.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76" w:lineRule="auto"/>
        <w:rPr>
          <w:sz w:val="20"/>
          <w:szCs w:val="20"/>
          <w:color w:val="auto"/>
        </w:rPr>
      </w:pPr>
      <w:r>
        <w:rPr>
          <w:rFonts w:ascii="Times New Roman" w:cs="Times New Roman" w:eastAsia="Times New Roman" w:hAnsi="Times New Roman"/>
          <w:sz w:val="17"/>
          <w:szCs w:val="17"/>
          <w:color w:val="auto"/>
        </w:rPr>
        <w:t>On December 15, 2022, the Council of the European Union formally adopted the EU Pillar II Directive. The EU Pillar II Directive aims at consistently implementing among all 27 member states the GloBE Rules. EU Member States will have to transpose the EU Pillar</w:t>
      </w:r>
    </w:p>
    <w:p>
      <w:pPr>
        <w:spacing w:after="0" w:line="1" w:lineRule="exact"/>
        <w:rPr>
          <w:sz w:val="20"/>
          <w:szCs w:val="20"/>
          <w:color w:val="auto"/>
        </w:rPr>
      </w:pPr>
    </w:p>
    <w:p>
      <w:pPr>
        <w:ind w:firstLine="8"/>
        <w:spacing w:after="0" w:line="253" w:lineRule="auto"/>
        <w:tabs>
          <w:tab w:leader="none" w:pos="1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into their national laws and will have to apply the Pillar II measures in respect of the fiscal years beginning on or after December 31, 2023. The Netherlands has transposed the EU Pillar II Directive into its national legislation with effect from December 31, 2023 pursuant to the Dutch Minimum Tax Act 2024 (</w:t>
      </w:r>
      <w:r>
        <w:rPr>
          <w:rFonts w:ascii="Times New Roman" w:cs="Times New Roman" w:eastAsia="Times New Roman" w:hAnsi="Times New Roman"/>
          <w:sz w:val="18"/>
          <w:szCs w:val="18"/>
          <w:i w:val="1"/>
          <w:iCs w:val="1"/>
          <w:color w:val="auto"/>
        </w:rPr>
        <w:t>Wet minimumbelasting 2024</w:t>
      </w:r>
      <w:r>
        <w:rPr>
          <w:rFonts w:ascii="Times New Roman" w:cs="Times New Roman" w:eastAsia="Times New Roman" w:hAnsi="Times New Roman"/>
          <w:sz w:val="18"/>
          <w:szCs w:val="18"/>
          <w:color w:val="auto"/>
        </w:rPr>
        <w:t>). Germany has transposed the EU Pillar II Directive into its national legislation with effect from December 28, 2023 pursuant to the German Minimum Tax Act.</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do not yet meet the revenue threshold of €750 million for Pillar II but (i) should this threshold be reduced or (ii) should our revenue increase, then the application of Pillar II could have a material adverse effect on our business, financial position and results of operations. We will continue to monitor the impact of Pillar II going forward.</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Uninsured losses arising from third-party claims brought against us could result in payment of substantial damages, which would decrease our cash reserves and could harm our profit and cash flow.</w:t>
      </w:r>
    </w:p>
    <w:p>
      <w:pPr>
        <w:spacing w:after="0" w:line="159"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Our products are used in applications where the failure to use our products properly or their malfunction could result in serious bodily injury or death. We may not have adequate insurance to cover the payment of any potential claim related to such injuries or deaths. Insurance coverage may not continue to be available to us or, if available, may be at a significantly higher cost.</w:t>
      </w:r>
    </w:p>
    <w:p>
      <w:pPr>
        <w:spacing w:after="0" w:line="17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potential product liability and professional indemnity risks that are inherent in the research, development, manufacturing, marketing and use of pharmaceutical products.</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use of our investigational medicinal products in clinical trials and the sale of any approved products in the future may expose us to liability claims. These claims might be made by patients who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corporate culture, we could lose the innovation, teamwork and passion that we believe contribute to our success.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invest substantial time and resources in building and maintaining our culture and developing our personnel; however, it may be increasingly difficult to maintain our culture. Recent shifts in workplace and workstyle, increase the risk of our ability to maintain culture. Any failure to preserve our culture could negatively affect our future success, including our ability to retain and recruit personnel and to effectively pursue our strategic plans.</w:t>
      </w:r>
    </w:p>
    <w:p>
      <w:pPr>
        <w:spacing w:after="0" w:line="18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To cover such liability claims, we purchase clinical trial insurance in the conduct of each of our clinical trials. It is possible that our liabilities could exceed our insurance coverage or that our insurance will not cover all situations in which a claim against us could be made. We also intend to expand our insurance coverage to include the sale of commercial products if we receive marketing approval for any of our proprietary products.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Should any of the events described above occur, this could have a material adverse effect on our business, financial condition and results of operations, including, but not limited to:</w:t>
      </w:r>
    </w:p>
    <w:p>
      <w:pPr>
        <w:spacing w:after="0" w:line="192" w:lineRule="exact"/>
        <w:rPr>
          <w:sz w:val="20"/>
          <w:szCs w:val="20"/>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future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and injury to our reputation;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in response to a liability claim;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products or product candidates.</w:t>
      </w:r>
    </w:p>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could be adversely affected if we are subject to negative publicity. We could also be adversely affected if any of our products or any similar products distributed by other companies prove to be, or are asserted to be, harmful to patients. Any adverse publicity associated with illness or other adverse effects resulting from patients’ use or misuse of our products or any similar products distributed by other companies could have a material adverse impact on our business, financial condition, results of operations or prospects.</w:t>
      </w:r>
    </w:p>
    <w:p>
      <w:pPr>
        <w:spacing w:after="0" w:line="17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are classified as gene therapies by the FDA and the EMA, and the FDA has indicated that products similar to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integrate into cell DNA or otherwise make any permanent changes to cell DNA. Consequently, we expect that our product candidates will have a different potential side effect profile from gene therapies because they lack risks associated with altering cell DNA irreversibly. Further, we may avail ourselves of ways of mitigating side effects in developing our product candidates to address safety concerns that are not available to all gene therapies, such as lowering the dose of our product candidates during repeat dosing or stopping treatment to potentially ameliorate undesirable side effects.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Regulatory requirements governing gene and cell therapy products have evolved and may continue to change in the future, and the implications for mRNA-based medicines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Specifically, in Japan, the Pharmaceuticals and Medical Devices Agency has not taken a position on the regulatory classification. Notwithstanding the differences between our mRNA product candidates and gene therapies, the classification of some of our mRNA product candidates as gene therapies in the United States, the European Union and potentially other countries could adversely impact our ability to develop our product candidates, and could negatively impact our platform and our business. For instance, a clinical hold on gene therapy products across the field due to risks associated with altering cell DNA irreversibly may apply to our mRNA product candidates irrespective of the mechanistic differences between gene therapies and mRNA.</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Adverse events reported with respect to gene therapies or genome-editing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mRNA investigational therapies, and as a result, may delay one or more of our trials or impose additional testing for long-term side effects. Any new requirements and guidelines promulgated by regulatory 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Shares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shares may not be sustainable. If an active trading market is not maintained, investors may not be able to resell their shares at or above the purchase price and our ability to raise capital in the future may be impaired.</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Although our common shares are listed and trade on Nasdaq, an active trading market for our shares may not be maintained. If an active market for our common shares is not maintained, it may be difficult for you to sell shares you purchase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 In addition to the risks described above, the market price of our common shares may be influenced by many factors, some of which are beyond our control, including:</w:t>
      </w:r>
    </w:p>
    <w:p>
      <w:pPr>
        <w:spacing w:after="0" w:line="187" w:lineRule="exact"/>
        <w:rPr>
          <w:sz w:val="20"/>
          <w:szCs w:val="20"/>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financial analysts to continue to cover our common shares or changes in financial estimates by analysts;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financial analysts, or any failure by us to meet or exceed any of these estimates, or changes in the recommendations of any financial analysts that elect to follow our common shares or the shares of our competitors;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or acquisitions;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shares;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and the industries in which we operate.</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the stock market in general has from time to time experienced extreme price and volume fluctuations, including in recent months, that have often been unrelated or disproportionate to the operating performance of particular companies affected. These broad market and industry factors may materially harm the market price of our common shares, regardless of our operating performance. In the past, following periods of volatility in the market price of certain companies’ securities, securities class action litigation has been instituted against these companies. This litigation, if instituted against us, could adversely affect our financial condition or results of operations.</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shares in the public market, or the perception that these sales may occur, could cause the market price of our common shares to decline.</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Sales of substantial amounts of our common shares in the public market, or the perception that these sales may occur, could cause the market price of our common shares to decline. This could also impair our ability to raise additional capital through the sale of our equity securities. We cannot predict the size of future issuances of our shares or the effect, if any, that future sales and issuances of shares would have on the market price of our common shares.</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Considerable amounts of common shares are available for issuance under our equity incentive plans, and significant issuances in the future may adversely impact the market price of our common shares.</w:t>
      </w:r>
    </w:p>
    <w:p>
      <w:pPr>
        <w:spacing w:after="0" w:line="15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we had 386,250,000 authorized common shares, of which 224,305,680 shares were outstanding. In addition, 33,598,301 common shares were reserved for issuance pursuant to our equity incentive plans. The availability of substantial amounts of our common shares resulting from the exercise or settlement of equity awards outstanding under our equity incentive plans, which would be dilutive to existing stockholders, could adversely affect the prevailing market price of our common shares and could impair our ability to raise additional capital through the sale of equity securities.</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on hand and may invest or spend it in ways with which you do not agree and in ways that may not yield a return on your investment.</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we had cash and cash equivalents amounting to € 402.4 million. Our management will have broad discretion in the use of such cash and could spend it in ways that do not improve our results of operations or enhance the value of our common shares. You will not have the opportunity to influence our decisions on how to use our cash on hand. The failure by our management to apply these funds effectively could result in financial losses that could harm our business, cause the price of our common shares to decline and delay the development of our product candidates. Pending its use, we may invest our cash on hand in a manner that does not produce income or that loses value.</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by our principal shareholders may conflict with your interest and may prevent you from influencing significant corporate decisions.</w:t>
      </w:r>
    </w:p>
    <w:p>
      <w:pPr>
        <w:spacing w:after="0" w:line="15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March 15, 2024, our principal shareholder, dievini Hopp BioTech holding GmbH &amp; Co. KG, or dievini, and its related parties, beneficially owned approximately 37% of our common shares and Kreditanstalt für Wiederaufbau, or KfW, beneficially owns approximately 13% of our common shares. See “Item 7. Major Shareholders and Related Party Transactions.”</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addition, dievini (or its legal successor or permitted assigns under the KfW dievini Shareholders’ Agreement) has the right under our articles of association to make a binding nomination for the following number of supervisory directors until dievini (or its legal successors or permitted assigns under the KfW dievini Shareholders’ Agreement) and its affiliates as defined by our articles of association and ultimate beneficiaries as defined by our articles of association (individually or collectively) cease to own at least 10% of our issued share capital or an earlier change of control over dievini (or its legal successor or permitted assigns under the KfW dievini Shareholders’ Agreement) as defined by our articles of association, which period we refer to as the initial nomination period for dievini:</w:t>
      </w:r>
    </w:p>
    <w:p>
      <w:pPr>
        <w:spacing w:after="0" w:line="187" w:lineRule="exact"/>
        <w:rPr>
          <w:sz w:val="20"/>
          <w:szCs w:val="20"/>
          <w:color w:val="auto"/>
        </w:rPr>
      </w:pPr>
    </w:p>
    <w:p>
      <w:pPr>
        <w:ind w:left="680" w:right="140" w:hanging="321"/>
        <w:spacing w:after="0" w:line="266"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supervisory directors for as long as dievini (or its legal successor or permitted assigns under the KfW dievini Shareholders’ Agreement) and its affiliates (as defined by our articles of association) and ultimate beneficiaries (as defined by our articles of association) (individually or collectively) own at least 70% of our issued share capital;</w:t>
      </w:r>
    </w:p>
    <w:p>
      <w:pPr>
        <w:spacing w:after="0" w:line="175"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supervisory directors for as long as dievini (or its legal successor or permitted assigns under the KfW dievini Shareholders’ Agreement) and its affiliates (as defined by our articles of association) and ultimate beneficiaries (as defined by our articles of association) (individually or collectively) own at least 50% (but less than 70%) of our issued share capital;</w:t>
      </w:r>
    </w:p>
    <w:p>
      <w:pPr>
        <w:spacing w:after="0" w:line="175" w:lineRule="exact"/>
        <w:rPr>
          <w:rFonts w:ascii="Times New Roman" w:cs="Times New Roman" w:eastAsia="Times New Roman" w:hAnsi="Times New Roman"/>
          <w:sz w:val="18"/>
          <w:szCs w:val="18"/>
          <w:color w:val="auto"/>
        </w:rPr>
      </w:pPr>
    </w:p>
    <w:p>
      <w:pPr>
        <w:ind w:left="680" w:right="140" w:hanging="321"/>
        <w:spacing w:after="0" w:line="289" w:lineRule="auto"/>
        <w:tabs>
          <w:tab w:leader="none" w:pos="6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(2) supervisory directors for as long as dievini (or its legal successor or permitted assigns under the KfW dievini Shareholders’ Agreement) and its affiliates (as defined by our articles of association) and ultimate beneficiaries (as defined by our articles of association) (individually or collectively) own at least 30% (but less than 50%) of our issued share capital; and</w:t>
      </w:r>
    </w:p>
    <w:p>
      <w:pPr>
        <w:spacing w:after="0" w:line="157" w:lineRule="exact"/>
        <w:rPr>
          <w:rFonts w:ascii="Times New Roman" w:cs="Times New Roman" w:eastAsia="Times New Roman" w:hAnsi="Times New Roman"/>
          <w:sz w:val="17"/>
          <w:szCs w:val="17"/>
          <w:color w:val="auto"/>
        </w:rPr>
      </w:pPr>
    </w:p>
    <w:p>
      <w:pPr>
        <w:ind w:left="680" w:right="140" w:hanging="321"/>
        <w:spacing w:after="0" w:line="266"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supervisory director for as long as dievini (or its legal successor or permitted assigns under the KfW dievini Shareholders’ Agreement) and its affiliates (as defined by our articles of association) and ultimate beneficiaries (as defined by our articles of association) (individually or collectively) own at least 10% (but less than 30%) of our issued share capital.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Dievini and Mr. Dietmar Hopp may be able to significantly influence all matters requiring shareholder approval. Even when dievini ceases to own common shares representing a majority of the total voting power, for so long as dievini continues to own a</w:t>
      </w:r>
    </w:p>
    <w:p>
      <w:pPr>
        <w:spacing w:after="0" w:line="252" w:lineRule="auto"/>
        <w:rPr>
          <w:sz w:val="20"/>
          <w:szCs w:val="20"/>
          <w:color w:val="auto"/>
        </w:rPr>
      </w:pPr>
      <w:r>
        <w:rPr>
          <w:rFonts w:ascii="Times New Roman" w:cs="Times New Roman" w:eastAsia="Times New Roman" w:hAnsi="Times New Roman"/>
          <w:sz w:val="18"/>
          <w:szCs w:val="18"/>
          <w:color w:val="auto"/>
        </w:rPr>
        <w:t>significant percentage of our common shares, dievini will still be able to significantly influence the composition of our supervisory board and the approval of actions requiring shareholder approval. Accordingly, for such period of time, dievini will continue to have significant influence with respect to our management, business plans and policies, including the appointment and removal of our managing directors, decisions on whether to raise future capital and any amending of our organizational documents, which govern the rights attached to our common shares. In particular, for so long as dievini continues to own a significant percentage of common shares, it will be able to cause or prevent a change of control of us or a change in the composition of our supervisory board and could preclude any unsolicited acquisition of us.</w:t>
      </w:r>
    </w:p>
    <w:p>
      <w:pPr>
        <w:spacing w:after="0" w:line="12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addition, KfW (or its legal successor or permitted assigns under the KfW dievini Shareholders’ Agreement) has the right, and has exercised the right under our articles of association, the KfW dievini Shareholders’ Agreement and the ISA to make a binding nomination for one (1) supervisory director until KfW or any KfW affiliates as defined by our articles of association (individually or together with any other KfW affiliate) cease to own at least 10% of our issued share capital, which period we refer to as the initial nomination period for KfW. Certain decisions require, and cannot be taken without, a resolution of our supervisory board that the KfW nominee, and a dievini nominee, have approved. These relate in particular to the location within the European Union of certain of our activities. The KfW dievini Shareholders’ Agreement includes provisions relating to voting together and in a coordinated fashion on certain specified matters as further described under “Item 7. Major Shareholders and Related Party Transactions — B. Related Party Transactions.”</w:t>
      </w:r>
    </w:p>
    <w:p>
      <w:pPr>
        <w:spacing w:after="0" w:line="10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concentration of ownership and these nomination rights could deprive you of an opportunity to receive a premium for your common shares as part of a sale of us and ultimately might affect the market price of our common shares. In addition, the concentration of voting power and these nomination rights could delay or prevent an acquisition of our company on terms that other shareholders may desire or result in the management of our company in ways with which other shareholders disagree.</w:t>
      </w:r>
    </w:p>
    <w:p>
      <w:pPr>
        <w:spacing w:after="0" w:line="10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redeem for cash all, or to facilitate the purchase by a third-party of all, the shares of us held by the Bill &amp; Melinda Gates Foundation as per the date of the ISA if we default under the Global Access Agreement, which could have an adverse impact on us and limit our ability to make distributions to our shareholders.</w:t>
      </w:r>
    </w:p>
    <w:p>
      <w:pPr>
        <w:spacing w:after="0" w:line="10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entered into a Global Access Agreement with our shareholder, the Bill &amp; Melinda Gates Foundation, in February 2015 pursuant to which we are required to take certain actions to support the Bill &amp; Melinda Gates Foundation’s mission. In the event that we commit a material breach of the Global Access Agreement or certain provisions of the ISA, following a cure period, we may be required to redeem for cash all, or to facilitate the purchase by a third-party of all, the shares of our company held by the Bill &amp; Melinda Gates Foundation as per the date of the ISA at certain terms that may not be favorable to us. If this occurs, cash used for this purpose may adversely affect our liquidity, cause us to reduce expenditures in other areas of our business, or curtail our growth plans. If we do not have sufficient cash on hand to purchase the shares, we would have to seek financing alternatives in order to meet our obligations, and there is no certainty that financing would be available on reasonable terms or at all. For the period that we are unable to redeem the shares held by the Bill &amp; Melinda Gates Foundation or arrange for a third-party to purchase such shares, we will generally not be allowed to pay dividends, redeem the shares of any other shareholder or otherwise make any other distribution to any of our shareholders in connection with their shares. Therefore, meeting this purchase obligation, if necessary, could have a material adverse effect on our business and financial results. For more information on the Bill &amp; Melinda Gates Foundation’s withdrawal rights, see “Item 7. Major Shareholders and Related Party Transactions — B. Related Party Transactions — Investment and Shareholders’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Being a public company may continue to increase our costs and disrupt the regular operations of our business.</w:t>
      </w:r>
    </w:p>
    <w:p>
      <w:pPr>
        <w:spacing w:after="0" w:line="14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August 2020, we completed our initial public offering. After the completion of our initial public offering we incurred and expect to continue to incur costs and expenses, including, but not limited to, managing directors’ and supervisory directors’ fees, increased directors and officers insurance, investor relations, and various other costs of a public company.</w:t>
      </w:r>
    </w:p>
    <w:p>
      <w:pPr>
        <w:spacing w:after="0" w:line="10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also anticipate that we will continue to incur significant costs associated with corporate governance requirements, including requirements under the Sarbanes-Oxley Act of 2002, as amended, or the Sarbanes-Oxley Act, as well as rules implemented by the SEC and Nasdaq. We expect these rules and regulations to continue to increase our legal and financial compliance costs and make some management and corporate governance activities more time-consuming and costly. These rules and regulations may make it more difficult and more expensive for us to obtain director and officer liability insurance, and we may be required to accept reduced policy limits and coverage or incur substantially higher costs to obtain the same or similar coverage. This could have an adverse impact on our ability to retain, recruit and bring on a qualified independent supervisory board.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7"/>
          <w:szCs w:val="17"/>
          <w:color w:val="auto"/>
        </w:rPr>
        <w:t>The additional demands associated with being a public company may disrupt regular operations of our business by diverting the attention of some of our senior management team away from revenue producing activities to management and administrative oversight, adversely affecting our ability to attract and complete business opportunities and increasing the difficulty in both retaining professionals and managing and growing our businesses. Any of these effects could harm our business, financial condition and results of operations.</w:t>
      </w:r>
    </w:p>
    <w:p>
      <w:pPr>
        <w:spacing w:after="0" w:line="9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7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report under the Securities Exchange Act of 1934, as amended, or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1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9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a foreign private issuer and therefore we are not required to comply with all of the periodic disclosure and current reporting requirements of the Exchange Act applicable to U.S. domestic issuers. If in the future we are not a foreign private issuer as of the last day of the second fiscal quarter in any fiscal year, we would be required to comply with all of the periodic disclosure, current reporting requirements and proxy solicitation rules of the Exchange Act applicable to U.S. domestic issuers. In order to maintain our current status as a foreign private issuer, either (a) a majority of our common shares must be either directly or indirectly owned of record by nonresidents of the United States or (b) (i) a majority of our managing directors, supervisory directors and executive officers may not be United States citizens or residents, (ii) more than 50% of our assets cannot be located in the United States and (iii) our business must be administered principally outside the United States. If we were to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if we are required to comply with the reporting requirements applicable to a U.S. domestic issuer may be significantly higher than the costs we would incur as a foreign private issuer. As a result, we expect that a loss of foreign private issuer status would increase our legal and financial compliance costs and would make some activities highly time-consuming and costly. These rules and regulations could also make it more difficult for us to attract and retain qualified managing directors and supervisory directors.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Nasdaq, we follow certain home country governance practices rather than the corporate governance requirements of Nasdaq.</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a foreign private issuer. As a result, in accordance with the listing requirements of Nasdaq, we rely on home country governance requirements and certain exemptions thereunder rather than relying on the corporate governance requirements of Nasdaq. In accordance with Dutch law and generally accepted business practices, our articles of association do not provide quorum requirements generally applicable to general meetings. To this extent, our practice varies from the requirement of Nasdaq Listing Rule 5620(c), which requires an issuer to provide in its bylaws for a generally applicable quorum, and that such quorum may not be less than one-third of the outstanding voting shares. Although we must provide shareholders with an agenda and other relevant documents for the general meeting, Dutch law does not have a regulatory regime for the solicitation of proxies and the solicitation of proxies is not a generally accepted business practice in the Netherlands, thus our practice varies from the requirement of Nasdaq Listing Rule 5620(b). As permitted by the listing requirements of Nasdaq, we have also opted out of the requirements of Nasdaq Listing Rule 5605(d), which requires, among other things, an issuer to have a compensation committee that consists entirely of independent directors, Nasdaq Listing Rule 5605(e), which requires independent director oversight of director nominations, and Nasdaq Listing Rule 5605(b)(1), which requires an issuer to have a majority of independent directors on its board. These rules require that a majority of our supervisory directors must be independent.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our company and certain private placements. To this extent, our practice varies from the requirements of Nasdaq Rule 5635, which generally requires an issuer to obtain shareholder approval for the issuance of securities in connection with such events. Accordingly, you may not have the same protections afforded to shareholders of companies that are subject to these Nasdaq requirements.</w:t>
      </w:r>
    </w:p>
    <w:p>
      <w:pPr>
        <w:spacing w:after="0" w:line="18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believe that we were a “passive foreign investment company,” or a PFIC, for U.S. federal income tax purposes for our 2023 taxable year, we may be a PFIC for 2024 or one or more future taxable years. A U.S. holder of common shares may suffer adverse U.S. federal income tax consequences if we are a PFIC for any taxable year.</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Under the Internal Revenue Code of 1986, as amended, or the Code, we will generally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The value of a non-U.S. corporation’s goodwill that is associated with activities that produce or are intended to produce active income is generally an active asset for purposes of the asset test unless, for U.S. federal income tax purposes, the non-U.S. corporation is a “controlled foreign corporation,” or a CFC, that is not publicly traded “for the taxable year.” If a non-U.S. corporation is a CFC that is not publicly traded for the taxable year, its PFIC status under the asset test is determined by using the U.S. tax basis of its assets rather than their fair market value and therefore the market value of its goodwill is generally disregarded. Generally, a non-U.S. corporation is a CFC if more than 50% of its shares’ voting power or value is owned, directly, indirectly or constructively, by “United States shareholders” (as defined in Section 951(b) of the Code). Although it is not certain, we may be or may have been a CFC in the 2023 taxable year. However, under Treasury regulations promulgated in 2020, the fair market value of our assets (including goodwill) can be used for purposes of the asset test provided that (i) we are publicly traded on the majority of days during our taxable year or (ii) we would not be a CFC if certain constructive ownership rules were not applied. We believe, and the remainder of this discussion assumes, that we are eligible to use the fair market value of our assets for purposes of the asset test for our 2023 taxable year.</w:t>
      </w:r>
    </w:p>
    <w:p>
      <w:pPr>
        <w:spacing w:after="0" w:line="19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Based on the composition of our income and assets during 2023, we do not believe that we were a PFIC for our 2023 taxable year. However, there can be no assurance that the Internal Revenue Service, or the “IRS,” will agree with our conclusion. Whether we will be a PFIC in 2024 or any future year is uncertain because, among other things, (i) we currently own a substantial amount of passive assets, including cash, (ii) the valuation of our assets that generate nonpassive income for PFIC purposes, including our intangible assets, is uncertain and may vary substantially over time, (iii) the treatment of grants as income for U.S. federal income tax purposes is unclear, and (iv) the composition of our income may vary substantially over time. Accordingly, there can be no assurance that we will not be a PFIC in 2024 or any future taxable year.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that could mitigate the adverse U.S. federal income tax consequences should we be classified as a PFIC. See “Item 10. Additional Information — E. Taxation — Material U.S. Federal Income Tax Considerations to U.S. Holders.”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and could limit your ability to influence the outcome of key transactions, including a change of control.</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of March 15, 2024, our principal shareholders, managing directors, supervisory directors and executive officers and entities affiliated with them own 58% of the outstanding common shares. As a result, these shareholders, if acting together, would be able to influence or control matters requiring approval by our general meeting, including the appointment of managing directors and supervisory directors, changes to our articles of association and approval of mergers or other extraordinary transactions. They may also have interests that differ from yours and may vote in a way with which you disagree and which may be adverse to your interests. The concentration of ownership may have the effect of delaying, preventing or deterring a change of control of our company, could deprive our shareholders of an opportunity to receive a premium for their common shares as part of a sale of our company and might ultimately affect the market price of our common shares.</w:t>
      </w:r>
    </w:p>
    <w:p>
      <w:pPr>
        <w:spacing w:after="0" w:line="18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inaccurate or unfavorable research about our business, our share price and trading volume could decline.</w:t>
      </w:r>
    </w:p>
    <w:p>
      <w:pPr>
        <w:spacing w:after="0" w:line="15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shares depends in part on the research and reports that securities or industry analysts publish about us or our business. If securities or industry analysts do not continue to cover our company, the market price for our common shares would likely be negatively impacted.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one or more of the analysts who cover us downgrade our common shares or publish inaccurate or unfavorable research about our business, our share price may decline. If one or more of these analysts cease coverage of our company or fail to publish reports on us regularly, demand for our shares could decrease, which might cause our share price and trading volume to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in the foreseeable future.</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our future earnings, if any, for the foreseeable future, to fund the development and growth of our business. We do not intend to pay any dividends to holders of our common shares. As a result, capital appreciation in the price of our common shares, if any, will be your only source of gain on an investment in our common shares.</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pay dividends, we may need to withhold tax on such dividends payable to holders of our shares in both Germany and the Netherlands.</w:t>
      </w:r>
    </w:p>
    <w:p>
      <w:pPr>
        <w:spacing w:after="0" w:line="15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do not intend to pay any dividends to holders of our common shares. See “— We do not anticipate paying any cash dividends in the foreseeable future.” However, if we do pay dividends, we may need to withhold tax on such dividends both in Germany and the Netherlands.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an entity incorporated under Dutch law, any dividends distributed by us are subject to Dutch dividend withholding tax on the basis of Dutch domestic law. However, on the basis of the 2012 Convention between the Federal Republic of Germany and the Kingdom of the Netherlands for the avoidance of double taxation with respect to taxes on income, or the “double tax treaty between Germany and the Netherlands,” the Netherlands will be restricted in imposing these taxes if we are also a tax resident of Germany and our effective management is located in Germany, or the “withholding tax restriction.” See also “— We may become taxable in a jurisdiction other than Germany and this may increase the aggregate tax burden on us.” The withholding tax restriction does, however, not apply, and Dutch dividend withholding tax is still required to be withheld from dividends, if and when paid to Dutch resident holders of our common shares (and non-Dutch resident holders of our common shares that have a permanent establishment in the Netherlands to which their shareholding is attributable). As a result, upon a payment of dividends, we will be required to identify our shareholders in order to assess whether there are Dutch residents (or non-Dutch residents with a permanent establishment in the Netherlands to which the common shares are attributable) in respect of which Dutch dividend withholding tax has to be withheld. Such identification may not always be possible in practice. If the identity of our shareholders cannot be determined, withholding of both German and Dutch dividend withholding tax may occur upon a payment of dividends.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Furthermore, the withholding tax restriction referred to above is based on the current reservation made by Germany under the Multilateral Convention to Implement Tax Treaty Related Measures to Prevent Base Erosion and Profit Shifting, or the MLI, with respect to the tie-breaker provision included in Article 4(3) of the double tax treaty between Germany and the Netherlands, or the “MLI tie-breaker reservation.” If Germany changes its MLI tie-breaker reservation, we will not be entitled to any benefits of the double tax treaty between Germany and the Netherlands, including the withholding tax restriction, as long as Germany and the Netherlands do not reach an agreement on our tax residency for purposes of the double tax treaty between Germany and the Netherlands, and, as a result, any dividends distributed by us during the period no such agreement has been reached between Germany and the Netherlands, may be subject to dividend withholding tax both in Germany and the Netherlands.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ability to utilize our net operating losses, or NOLs, is currently limited, and may be limited further, under Section 8c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 Corporation Income Tax Act (</w:t>
      </w:r>
      <w:r>
        <w:rPr>
          <w:rFonts w:ascii="Times New Roman" w:cs="Times New Roman" w:eastAsia="Times New Roman" w:hAnsi="Times New Roman"/>
          <w:sz w:val="18"/>
          <w:szCs w:val="18"/>
          <w:i w:val="1"/>
          <w:iCs w:val="1"/>
          <w:color w:val="auto"/>
        </w:rPr>
        <w:t>Korperschaftsteuergesetz</w:t>
      </w:r>
      <w:r>
        <w:rPr>
          <w:rFonts w:ascii="Times New Roman" w:cs="Times New Roman" w:eastAsia="Times New Roman" w:hAnsi="Times New Roman"/>
          <w:sz w:val="18"/>
          <w:szCs w:val="18"/>
          <w:color w:val="auto"/>
        </w:rPr>
        <w:t>, or KStG) and Section 10a of the German Trade Tax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Gewerbesteuergesetz</w:t>
      </w:r>
      <w:r>
        <w:rPr>
          <w:rFonts w:ascii="Times New Roman" w:cs="Times New Roman" w:eastAsia="Times New Roman" w:hAnsi="Times New Roman"/>
          <w:sz w:val="18"/>
          <w:szCs w:val="18"/>
          <w:color w:val="auto"/>
        </w:rPr>
        <w:t>, or GewStG). These limitations apply if a qualified ownership change, as defined by Section 8c KStG, occurs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exemption is applicable.</w:t>
      </w:r>
    </w:p>
    <w:p>
      <w:pPr>
        <w:spacing w:after="0" w:line="20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Generally, a qualified ownership change occurs if more than 50% of the share capital or the voting rights are directly or indirectly transferred to an acquirer or a party related to the acquirer or a group of acquirers with aligned interests within a period of five years. A qualified ownership change may also occur in case of a transaction comparable to a transfer of shares or voting rights or in case of an increase in capital leading to a respective change in the shareholding.</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case of such a qualified ownership change, current year tax losses, tax loss carryforwards and interest carryforwards (together ‘tax loss carryforwards’) expire in full. To the extent that the tax loss carryforwards do not exceed the built-in gains (</w:t>
      </w:r>
      <w:r>
        <w:rPr>
          <w:rFonts w:ascii="Times New Roman" w:cs="Times New Roman" w:eastAsia="Times New Roman" w:hAnsi="Times New Roman"/>
          <w:sz w:val="18"/>
          <w:szCs w:val="18"/>
          <w:i w:val="1"/>
          <w:iCs w:val="1"/>
          <w:color w:val="auto"/>
        </w:rPr>
        <w:t>stille Reserven</w:t>
      </w:r>
      <w:r>
        <w:rPr>
          <w:rFonts w:ascii="Times New Roman" w:cs="Times New Roman" w:eastAsia="Times New Roman" w:hAnsi="Times New Roman"/>
          <w:sz w:val="18"/>
          <w:szCs w:val="18"/>
          <w:color w:val="auto"/>
        </w:rPr>
        <w:t>) in the qualifying assets and liabilities taxable in Germany, they may be further utilized despite a qualified ownership change. In case of a qualified ownership change within a group, tax loss carryforwards will be preserved if certain conditions are satisfied. In addition, in case of a qualified ownership change due to a share acquisition in order to restructure business operations, tax loss carryforwards are preserved if certain conditions are met. Further, tax loss carry forwards will be preserved (in the form of a “</w:t>
      </w:r>
      <w:r>
        <w:rPr>
          <w:rFonts w:ascii="Times New Roman" w:cs="Times New Roman" w:eastAsia="Times New Roman" w:hAnsi="Times New Roman"/>
          <w:sz w:val="18"/>
          <w:szCs w:val="18"/>
          <w:i w:val="1"/>
          <w:iCs w:val="1"/>
          <w:color w:val="auto"/>
        </w:rPr>
        <w:t>fortfuhrungsgebundener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Verlustvortrag</w:t>
      </w:r>
      <w:r>
        <w:rPr>
          <w:rFonts w:ascii="Times New Roman" w:cs="Times New Roman" w:eastAsia="Times New Roman" w:hAnsi="Times New Roman"/>
          <w:sz w:val="18"/>
          <w:szCs w:val="18"/>
          <w:color w:val="auto"/>
        </w:rPr>
        <w:t>”) in case of a qualified ownership change if the business operations have not been changed and will not be changed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meaning of Section 8d KStG and a corresponding application is filed.</w:t>
      </w:r>
    </w:p>
    <w:p>
      <w:pPr>
        <w:spacing w:after="0" w:line="19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According to an appeal filed by the fiscal court of Hamburg dated August 29, 2017, Section 8c, paragraph 1, sentence 1 KStG is not in line with the German Constitution. The appeal is still pending. It is unclear when the Federal Constitutional Court will decide this case.</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there are NOLs available for the German entities of CureVac for German corporate income tax purposes of € 1,700 million: € 1,242 million for CureVac SE, € 376 million for CureVac Manufacturing GmbH, € 37 million for CureVac N.V., € 44 million for CureVac RNA Printer GmbH and a NOL for CureVac Netherlands B.V. for Dutch Corporate income tax of € 1 million. For German entities there are NOLs for German trade tax purposes of € 1,685 million: € 1,234 million for CureVac SE, € 370 million for CureVac Manufacturing GmbH, € 37 million for CureVac N.V. and € 44 million for CureVac RNA Printer GmbH available as of December 31, 2023.</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Future changes in share ownership may also trigger an ownership change and, consequently, a Section 8c KStG or a Section 10a GewStG limitation. Any limitation may result in the expiration of a portion or the complete tax operating loss carryforwards before they can be utilized. As a result, if we earn net taxable income, our ability to use our pre-change net operating loss carryforwards to reduce German income tax may be subject to limitations, which could potentially result in increased future cash tax liability to us.</w:t>
      </w:r>
    </w:p>
    <w:p>
      <w:pPr>
        <w:spacing w:after="0" w:line="1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may not be able to exercise preemptive rights and, as a result, may experience substantial dilution upon future issuances of common shares.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the event of an issuance of common shares or a grant of rights to subscribe for common shares, subject to certain exceptions, each shareholder will have a pro rata preemptive right in proportion to the aggregate nominal value of the common shares held by such holder. These preemptive rights may be restricted or excluded by a resolution of the general meeting or by another corporate body designated by the general meeting. Our management board, subject to approval of our supervisory board, has been authorized, for a period of five years from our initial public offering,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taxable in a jurisdiction other than Germany and this may increase the aggregate tax burden on us.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Since our incorporation, we have had, on a continuous basis, our place of “effective management” in Germany. We will therefore qualify as a tax resident of Germany on the basis of German domestic law. As an entity incorporated under Dutch law, however, we also qualify as a tax resident of the Netherlands on the basis of Dutch domestic law. However, based on our current management structure and the current tax laws of the United States, Germany and the Netherlands, as well as applicable income tax treaties, and current interpretations thereof, we should qualify solely as a tax resident of Germany for the purposes of the double tax treaty between Germany and the Netherlands due to the “effective management” tie-breaker included in Article 4(3) of the double tax treaty between Germany and the Netherlands and the current MLI tie-breaker reservation.</w:t>
      </w:r>
    </w:p>
    <w:p>
      <w:pPr>
        <w:spacing w:after="0" w:line="18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test of “effective management” is largely a question of fact and degree based on all the circumstances, rather than a question of law. Nevertheless, the relevant case law and OECD guidance suggest that our company is likely to be regarded as having become a German tax resident from incorporation and remaining so if, as our company intends, (i) most meetings of its management board are prepared and held in Germany (and none will be held in the Netherlands) with a majority of managing directors present in Germany for those meetings; (ii) at those meetings there are full discussions of, and decisions are made regarding, the key strategic issues affecting our company and its subsidiaries; (iii) those meetings are properly minuted; (iv) a majority of our managing directors, together with supporting staff, are based in Germany; and (v) our company has permanent staffed office premises in Germany. We may, however, become subject to limited income tax liability in other countries with regard to the income generated in the respective other country, for example, due to the existence of a permanent establishment or a permanent representative in such other country.</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applicable tax laws or interpretations thereof may change, including the MLI tie-breaker reservation. Furthermore, whether we have our place of effective management in Germany and are as such tax resident in Germany is largely a question of fact and degree based on all the circumstances, rather than a question of law, which facts and degree may also change. Changes to applicable laws or interpretations thereof, changes to applicable facts and circumstances (for example, a change of directors or the place where board meetings take place), or changes to applicable income tax treaties, including a change to the MLI tie-breaker reservation, may result in us becoming (also) a tax resident of the Netherlands or another jurisdiction. See “— If we do pay dividends, we may need to withhold tax on such dividends payable to holders of our shares in both Germany and the Netherlands.” As a consequence, our overall effective income tax rate and income tax expense could materially increase, which could have a material adverse effect on our business, results of operations, financial condition and prospects, which could cause our share price and trading volume to decline. In addition, as a consequence, dividends distributed by us, and interest or royalty payments made by us, if any, may become subject to withholding taxes in more than one jurisdiction. The double taxation of income and the double withholding tax on dividends, interest and/or royalties may be reduced or avoided entirely under the double tax treaty between Germany and the Netherlands or under a double tax treaty between the Netherlands and the respective other country.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cs="Times New Roman" w:eastAsia="Times New Roman" w:hAnsi="Times New Roman"/>
          <w:sz w:val="18"/>
          <w:szCs w:val="18"/>
          <w:i w:val="1"/>
          <w:iCs w:val="1"/>
          <w:color w:val="auto"/>
        </w:rPr>
        <w:t>functionarissen</w:t>
      </w:r>
      <w:r>
        <w:rPr>
          <w:rFonts w:ascii="Times New Roman" w:cs="Times New Roman" w:eastAsia="Times New Roman" w:hAnsi="Times New Roman"/>
          <w:sz w:val="18"/>
          <w:szCs w:val="18"/>
          <w:color w:val="auto"/>
        </w:rPr>
        <w:t>) (including our managing directors, supervisory directors and executive officers) are governed in certain respects by the laws of the Netherlands. Our headquarters is located in Germany.</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Also, service of process against non-residents of the United States can in principle (absent, for example, a valid choice of domicile) not be effected in the United States.</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Furthermore, most of our assets are located outside the United States. On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cs="Times New Roman" w:eastAsia="Times New Roman" w:hAnsi="Times New Roman"/>
          <w:sz w:val="18"/>
          <w:szCs w:val="18"/>
          <w:i w:val="1"/>
          <w:iCs w:val="1"/>
          <w:color w:val="auto"/>
        </w:rPr>
        <w:t>behoorlijke rechtspleging</w:t>
      </w:r>
      <w:r>
        <w:rPr>
          <w:rFonts w:ascii="Times New Roman" w:cs="Times New Roman" w:eastAsia="Times New Roman" w:hAnsi="Times New Roman"/>
          <w:sz w:val="18"/>
          <w:szCs w:val="18"/>
          <w:color w:val="auto"/>
        </w:rPr>
        <w:t>), (iii) binding effect of such United States judgment is not contrary to Dutch public order (</w:t>
      </w:r>
      <w:r>
        <w:rPr>
          <w:rFonts w:ascii="Times New Roman" w:cs="Times New Roman" w:eastAsia="Times New Roman" w:hAnsi="Times New Roman"/>
          <w:sz w:val="18"/>
          <w:szCs w:val="18"/>
          <w:i w:val="1"/>
          <w:iCs w:val="1"/>
          <w:color w:val="auto"/>
        </w:rPr>
        <w:t>openbare orde</w:t>
      </w:r>
      <w:r>
        <w:rPr>
          <w:rFonts w:ascii="Times New Roman" w:cs="Times New Roman" w:eastAsia="Times New Roman" w:hAnsi="Times New Roman"/>
          <w:sz w:val="18"/>
          <w:szCs w:val="18"/>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92"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Thus, United States investors may not be able, or experience difficulty, to enforce a judgment obtained in a United States court against us or our officers.</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In addition, actions brought in a German court against us, our managing directors, our supervisory directors,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managing directors, our supervisory directors, our senior management and the experts named in this Annual Report.</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Based on the lack of a treaty as described above, there can be no assurance that U.S. investors will be able to enforce against us or managing directors, supervisory directors, executive officers or certain experts named herein who are residents of or possessing assets in the Netherlands, Germany, or other countries other than the United States any judgments obtained in U.S. courts in civil and commercial matters, including judgments under the U.S. federal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be different from the rights of shareholders in companies governed by the laws of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jurisdictions and may not protect investors in a similar fashion afforded by incorporation in a U.S. jurisdiction.</w:t>
      </w:r>
    </w:p>
    <w:p>
      <w:pPr>
        <w:spacing w:after="0" w:line="20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are a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Our corporate affairs are governed by our articles of association, the rules of our management board and those of our supervisory board and by the laws governing companies incorporated in the Netherlands. However, there can be no assurance that Dutch law will not change in the future or that it will serve to protect investors in a similar fashion afforded under corporate law principles in the United States, which could adversely affect the rights of investors.</w:t>
      </w:r>
    </w:p>
    <w:p>
      <w:pPr>
        <w:spacing w:after="0" w:line="18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rights of shareholders and the responsibilities of managing directors and supervisory directors may be different from the rights and obligations of shareholders and directors in companies governed by the laws of U.S. jurisdictions. In the performance of their duties, our managing directors and supervisory directors are required by Dutch law to consider the interests of our company, its shareholders, its employees and other stakeholders, in all cases with due observation of the principles of reasonableness and fairness. It is possible that some of these parties will have interests that are different from, or in addition to, your interests as a shareholder.</w:t>
      </w:r>
    </w:p>
    <w:p>
      <w:pPr>
        <w:spacing w:after="0" w:line="18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relevant provisions of Dutch corporation law and of our articles of association, see “Item 10. Additional Information — B. Memorandum and Articles of Association.”</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for our shareholders to alter the members of our management board or supervisory board may be limited by the Dutch cooling-off period in face of shareholder activism or hostile take-over</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managing directors or supervisory directors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managing directors and supervisory directors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w:t>
      </w:r>
      <w:r>
        <w:rPr>
          <w:rFonts w:ascii="Times New Roman" w:cs="Times New Roman" w:eastAsia="Times New Roman" w:hAnsi="Times New Roman"/>
          <w:sz w:val="18"/>
          <w:szCs w:val="18"/>
          <w:i w:val="1"/>
          <w:iCs w:val="1"/>
          <w:color w:val="auto"/>
        </w:rPr>
        <w:t>Ondernemingskamer</w:t>
      </w:r>
      <w:r>
        <w:rPr>
          <w:rFonts w:ascii="Times New Roman" w:cs="Times New Roman" w:eastAsia="Times New Roman" w:hAnsi="Times New Roman"/>
          <w:sz w:val="18"/>
          <w:szCs w:val="18"/>
          <w:color w:val="auto"/>
        </w:rPr>
        <w:t>), for early termination of the cooling-off period. The Enterprise Chamber must rule in favor of the request if the shareholders can demonstrate that:</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60" w:hanging="321"/>
        <w:spacing w:after="0" w:line="266"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75"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board cannot reasonably believe that a continuation of the cooling-off period would contribute to careful policy-making; or</w:t>
      </w:r>
    </w:p>
    <w:p>
      <w:pPr>
        <w:spacing w:after="0" w:line="161"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articles of association or Dutch corporate law might deter acquisition bids for us that might be considered favorable and prevent, delay or frustrate any attempt to replace or remove our managing directors or supervisory directors.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Dutch law, various protective measures are possible and permissible within the boundaries set by Dutch law and Dutch case law. In this respect, our general meeting shall authorize our management board, subject to the approval by our supervisory board, to grant a call option to an independent foundation under Dutch law (if and when incorporated), or protective foundation, to acquire preferred shares pursuant to a call option agreement, or the call option agreement, that may be entered into between us and such protective foundation after the later of (a) dievini (or its legal successor or permitted assigns under the KfW dievini Shareholders’ Agreement) and its affiliates as defined by our articles of association and ultimate beneficiaries as defined by our articles of association (individually or collectively) no longer holding at least 25% of our issued share capital (or an earlier change of control over dievini, as defined in our articles of association), which we refer to as the initial period, or (b) the termination or expiry of the KfW dievini Shareholders’ Agreement (see “Item 7. Major Shareholders and Related Party Transactions — B. Related Party Transactions  — Shareholders’ Agreement Among KfW, dievini and Mr. Hopp” for further information on that agreement), which we refer to as the initial approval period.</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This call option, if and when granted, shall be continuous in nature and can be exercised repeatedly on multiple occasions. If the protective foundation, if and when incorporated, would exercise such call option, if and when granted, a number of preferred shares up to 100% of our issued share capital held by others than the protective foundation, minus one share, will be issued to the protective foundation. These preferred shares would then be issued to the protective foundation under the obligation to pay 25% of their nominal value upon issuance. In order for the protective foundation to finance the issue price in relation to the preferred shares, the protective foundation may enter into a finance arrangement with a bank or other financial institution. As an alternative to securing this external financing, subject to applicable restrictions under Dutch law, the call option agreement, if and when entered into, will provide that the protective foundation may request us to provide, or cause our subsidiaries to provide, sufficient funding to the protective foundation to enable it to satisfy the payment obligation (or part thereof) in cash and/or to charge an amount equal to the payment obligation (or part thereof) against our profits and/or reserves in satisfaction of such payment obligation. The articles of association of the protective foundation, if and when incorporated, will provide that it will promote and protect the interests of the company, the business connected with the company and the company’s stakeholders from time to time, and repress possible influences which could threaten the strategy, continuity, independence and/or identity of the company or the business connected with it, to such an extent that it could be considered to be damaging to the aforementioned interests. These influences may include a third-party acquiring a significant percentage of our common shares, the announcement of an unsolicited public offer for our common shares, shareholder activism, other concentration of control over our common shares or any other form of undue pressure on us to alter our strategic policies. The protective foundation, if and when incorporated, shall be structured to operate independently of us.</w:t>
      </w:r>
    </w:p>
    <w:p>
      <w:pPr>
        <w:spacing w:after="0" w:line="19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voting rights of our shares are based on nominal value and, as we expect our common shares to trade substantially in excess of their nominal value, preferred shares issued at 25% of their nominal value can carry significant voting power for a substantially reduced price compared to the price of our common shares and thus can be used as a defensive measure. These preferred shares, if and when issued, will have both a liquidation and dividend preference over our common shares and will accrue cash dividends at a fixed rate calculated over the amount paid-up on those preferred shares </w:t>
      </w:r>
      <w:r>
        <w:rPr>
          <w:rFonts w:ascii="Times New Roman" w:cs="Times New Roman" w:eastAsia="Times New Roman" w:hAnsi="Times New Roman"/>
          <w:sz w:val="18"/>
          <w:szCs w:val="18"/>
          <w:i w:val="1"/>
          <w:iCs w:val="1"/>
          <w:color w:val="auto"/>
        </w:rPr>
        <w:t>pro rata tempore</w:t>
      </w:r>
      <w:r>
        <w:rPr>
          <w:rFonts w:ascii="Times New Roman" w:cs="Times New Roman" w:eastAsia="Times New Roman" w:hAnsi="Times New Roman"/>
          <w:sz w:val="18"/>
          <w:szCs w:val="18"/>
          <w:color w:val="auto"/>
        </w:rPr>
        <w:t xml:space="preserve"> for the period during which they were outstanding. The protective foundation would be expected to require us to cancel its preferred shares, if and when issued to the protective foundation, once the perceived threat to the company and its stakeholders has been removed or sufficiently mitigated or neutralized. However, subject to the same limitations described above, the protective foundation would, in that case, continue to have the right to exercise the call option in the future in response to a new threat to the interests of us, our business and our stakeholders from time to time.</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addition, certain provisions of our articles of association may make it more difficult for a third party to acquire control of us or effect a change in the composition of our management board and supervisory board. These include:</w:t>
      </w:r>
    </w:p>
    <w:p>
      <w:pPr>
        <w:spacing w:after="0" w:line="162" w:lineRule="exact"/>
        <w:rPr>
          <w:sz w:val="20"/>
          <w:szCs w:val="20"/>
          <w:color w:val="auto"/>
        </w:rPr>
      </w:pPr>
    </w:p>
    <w:p>
      <w:pPr>
        <w:ind w:left="680" w:right="260" w:hanging="321"/>
        <w:spacing w:after="0" w:line="266"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managing directors and supervisory directors are appointed on the basis of a binding nomination, the binding nature of which can only be overruled by a simple majority of votes cast representing at least one-third of our issued share capital;</w:t>
      </w:r>
    </w:p>
    <w:p>
      <w:pPr>
        <w:spacing w:after="0" w:line="175" w:lineRule="exact"/>
        <w:rPr>
          <w:rFonts w:ascii="Times New Roman" w:cs="Times New Roman" w:eastAsia="Times New Roman" w:hAnsi="Times New Roman"/>
          <w:sz w:val="18"/>
          <w:szCs w:val="18"/>
          <w:color w:val="auto"/>
        </w:rPr>
      </w:pPr>
    </w:p>
    <w:p>
      <w:pPr>
        <w:ind w:left="680" w:right="20" w:hanging="321"/>
        <w:spacing w:after="0" w:line="256"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managing directors and supervisory directors may only be dismissed by the general meeting by a two-thirds majority of votes cast representing more than 50% of our issued share capital (unless the dismissal is proposed by the supervisory board or, with respect to supervisory directors nominated by dievini or KfW, by dievini (or its legal successor or permitted assigns under the KfW dievini Shareholders’ Agreement) during the nomination period for dievini or by KfW (or its legal successors or permitted assigns under the KfW dievini Shareholders’ Agreement) during the nomination period for KfW, respectively, in which case a simple majority of the votes would be sufficient);</w:t>
      </w:r>
    </w:p>
    <w:p>
      <w:pPr>
        <w:spacing w:after="0" w:line="187" w:lineRule="exact"/>
        <w:rPr>
          <w:rFonts w:ascii="Times New Roman" w:cs="Times New Roman" w:eastAsia="Times New Roman" w:hAnsi="Times New Roman"/>
          <w:sz w:val="18"/>
          <w:szCs w:val="18"/>
          <w:color w:val="auto"/>
        </w:rPr>
      </w:pPr>
    </w:p>
    <w:p>
      <w:pPr>
        <w:ind w:left="680" w:right="120" w:hanging="321"/>
        <w:spacing w:after="0" w:line="261"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certain provisions of our articles of association can only be amended with the affirmative vote of (i) during the nomination period for dievini, dievini (or its legal successors or permitted assigns under the KfW dievini Shareholders’ Agreement) and (ii) during the nomination period for KfW, KfW (or its legal successors or permitted assigns under the KfW dievini Shareholders’ Agreement);</w:t>
      </w:r>
    </w:p>
    <w:p>
      <w:pPr>
        <w:spacing w:after="0" w:line="179" w:lineRule="exact"/>
        <w:rPr>
          <w:rFonts w:ascii="Times New Roman" w:cs="Times New Roman" w:eastAsia="Times New Roman" w:hAnsi="Times New Roman"/>
          <w:sz w:val="18"/>
          <w:szCs w:val="18"/>
          <w:color w:val="auto"/>
        </w:rPr>
      </w:pPr>
    </w:p>
    <w:p>
      <w:pPr>
        <w:ind w:left="680" w:hanging="321"/>
        <w:spacing w:after="0" w:line="255"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if a supervisory director is no longer in office or is unable to act, he or she may be replaced temporarily by a person who the supervisory board has designated for that purpose and, where a supervisory director who has been appointed upon a nomination of dievini or KfW, as applicable, is no longer in office or unable to act, such supervisory director may only be temporarily replaced by a person designated for such purposes by dievini or KfW, as applicable. Such person shall become a full member of the supervisory board with the rights of the relevant supervisory director appointed upon a nomination of dievini or KfW, as applicable, as soon as a written designation to that effect has been received by the chairman or vice-chairman of our supervisory board, subject to limitations, under applicable law regarding dievini’s rights under this provision;</w:t>
      </w:r>
    </w:p>
    <w:p>
      <w:pPr>
        <w:spacing w:after="0" w:line="188" w:lineRule="exact"/>
        <w:rPr>
          <w:rFonts w:ascii="Times New Roman" w:cs="Times New Roman" w:eastAsia="Times New Roman" w:hAnsi="Times New Roman"/>
          <w:sz w:val="18"/>
          <w:szCs w:val="18"/>
          <w:color w:val="auto"/>
        </w:rPr>
      </w:pPr>
    </w:p>
    <w:p>
      <w:pPr>
        <w:ind w:left="680" w:right="40" w:hanging="321"/>
        <w:spacing w:after="0" w:line="256"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allowing, among other matters, a former chairman of our supervisory board, a former nominee of dievini, and a former nominee of KfW to jointly take on the supervisory functions, which persons jointly may designate one or more other persons to be charged with the supervision of our company (instead of or together with the former chairman of our supervisory board), as applicable, to supervise our affairs if all of our supervisory directors are removed from office and to appoint others to be charged with the supervision of our affairs, until new supervisory directors are appointed by the general meeting on the basis of a binding nomination discussed above;</w:t>
      </w:r>
    </w:p>
    <w:p>
      <w:pPr>
        <w:spacing w:after="0" w:line="187"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allowing the management board to temporarily replace a managing director who is no longer in office or unable to act, with another person or persons designated for this purpose by the management board and attributing the management of the company to the supervisory board in case all managing directors are no longer in office or unable to act; and</w:t>
      </w:r>
    </w:p>
    <w:p>
      <w:pPr>
        <w:spacing w:after="0" w:line="175" w:lineRule="exact"/>
        <w:rPr>
          <w:rFonts w:ascii="Times New Roman" w:cs="Times New Roman" w:eastAsia="Times New Roman" w:hAnsi="Times New Roman"/>
          <w:sz w:val="18"/>
          <w:szCs w:val="18"/>
          <w:color w:val="auto"/>
        </w:rPr>
      </w:pPr>
    </w:p>
    <w:p>
      <w:pPr>
        <w:ind w:left="680" w:right="82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certain matters, including an amendment of our articles of association, may only be brought to our shareholders for a vote upon a proposal by our management board with the approval of our supervisory board.</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Dutch law allows for staggered multiyear terms of our managing directors and supervisory directors, as a result of which only part of our managing directors and supervisory directors may be subject to appointment or reappointment in any one year.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not obligated to, and do not, comply with all best practice provisions of the Dutch Corporate Governance Code.</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the Dutch Corporate Governance Code, or the DCGC. The DCGC contains both principles and best practice provisions on corporate governance that regulate 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See “Item 10. Additional Information — B. Memorandum and Articles of Association.” This may affect your rights as a shareholder and you may not have the same level of protection as a shareholder in a Dutch company that fully complies with the DCGC.</w:t>
      </w:r>
    </w:p>
    <w:p>
      <w:pPr>
        <w:spacing w:after="0" w:line="19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related to (i) lack of sufficient accounting and supervisory personnel, (ii) lack of appropriate level of technical accounting training; and (iii) lack of consistent performance of controls over financial reporting which, if not remediated appropriately or timely, could result in loss of investor confidence and adversely impact our stock price. If we are unable to remediate the material weakness, or if other material weaknesses are identified, we may not be able to report our financial results accurately, prevent fraud or file our periodic reports as a public company in a timely manner.</w:t>
      </w:r>
    </w:p>
    <w:p>
      <w:pPr>
        <w:spacing w:after="0" w:line="18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reported in our Annual Report 20-F for the year ended December 31, 2022, a material weakness in internal control over financial reporting primarily related to an IT system’s functionalities that were not configured to support segregation of duties in the recording of manual journal entries as well as in the authorization of purchase orders.</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During 2023, we implemented measures to remediate this material weakness, and even though progress was made to strengthen our control environment, management concluded that at December 31, 2023, there was a material weakness in internal control related to (i) lack of sufficient accounting and supervisory personnel, (ii) lack of appropriate level of technical accounting training; and (iii) lack of consistent performance of controls over financial reporting. As a result, management concluded that our internal control over financial reporting was not effective as of December 31, 2023. While we are working to remediate the weakness as quickly and efficiently as possible, we cannot at this time provide an estimate of the time frame we expect in connection with implementing our plan to remediate this material weakness. These remediation measures may be time consuming, costly and might place significant demands on our financial and operational resources. If we are unable to remediate the material weakness, or are otherwise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result in material misstatements in our financial statements that could require a restatement of financial statements, negatively affect investor confidence in our financial statements and adversely impact our stock price.</w:t>
      </w:r>
    </w:p>
    <w:p>
      <w:pPr>
        <w:spacing w:after="0" w:line="16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 identified as of December 31, 2023, we have concluded that the financial statements and other financial information included in this Annual Report on Form 20-F, fairly present in all material respects our financial condition, results of operations and cash flows as of, and for, the periods presented.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management has and continues to take measures to remediate this material weakness, as discussed in more detail under “Item</w:t>
      </w:r>
    </w:p>
    <w:p>
      <w:pPr>
        <w:spacing w:after="0" w:line="27" w:lineRule="exact"/>
        <w:rPr>
          <w:sz w:val="20"/>
          <w:szCs w:val="20"/>
          <w:color w:val="auto"/>
        </w:rPr>
      </w:pPr>
    </w:p>
    <w:p>
      <w:pPr>
        <w:ind w:right="160" w:firstLine="8"/>
        <w:spacing w:after="0" w:line="253" w:lineRule="auto"/>
        <w:tabs>
          <w:tab w:leader="none" w:pos="2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and Procedures” of this Report and is committed to continue investing significant time and resources and taking actions to remediate the material weakness in training and hiring staff as well as supervisory personnel to further strengthen our internal control over financial reporting. Any failure to maintain or implement required new or improved controls, or any difficulties we encounter in their implementation, could result in additional significant deficiencies or material weaknesses, and result in material misstatements in our financial statements that could result in a restatement of financial statements.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ESG</w:t>
      </w:r>
    </w:p>
    <w:p>
      <w:pPr>
        <w:spacing w:after="0" w:line="18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effectively monitor and respond to the rapid and ongoing developments and expectations relating to environmental, social and governance, or “ESG,” matters, including related social expectations and concerns, may impose unexpected costs or result in reputational or other harm that could have a material adverse effect on our business, financial condition, cash flows and results of operations and could cause the market value of our common shares to decline.</w:t>
      </w:r>
    </w:p>
    <w:p>
      <w:pPr>
        <w:spacing w:after="0" w:line="15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There are rapid and ongoing developments and changing expectations relating to ESG matters and factors such as the impact of our operations on the environment, corporate governance, management of business ethics, human rights diligence in our supply chain, and human resource development, which may result in increased regulatory, social or other scrutiny on us. Regarding climate risks, we are expected to address climate risks due to our own contribution to climate change (inside-out perspective), risks due to physical effects of climate change as well as transition risks (outside-in perspective), and interactions between both perspectives (“dual materiality”). If we are unable to adequately recognize and respond to such developments and governmental, societal, investor and NGO expectations relating to such ESG matters, we may miss corporate opportunities, become subject to additional scrutiny, incur unexpected costs or experience damage to our reputation or our various brands. If any of these events were to occur, there may be a material adverse effect on our business, financial condition, cash flows and results of operations and the market value of our common shares may decline. We have observed that in addition to the importance of their financial performance, companies are increasingly being judged by their performance on ESG matters. A variety of organizations measure the performance of companies on such ESG topics, and the results of these assessments are widely publicized. We may not comply with some or all of the standards or best practices put forth by such organizations or by governmental or regulatory bodies. In addition, investment in funds that specialize in companies that perform well in such assessments are increasingly popular, and major institutional investors have publicly emphasized the importance of such ESG measures to their investment decisions. In light of investors’ increased focus on ESG matters, there can be no certainty that we will manage such issues successfully. Any failure or perceived failure by us in this regard could have a material adverse effect on our reputation and on our business, share price, financial condition, or results of operations, including the sustainability of our business over time. We are committed to taking actions to manage ESG - related risks. Therefore, in 2023, we initiated a project focused on addressing ESG - related matters based on relevant legal requirements.</w:t>
      </w:r>
    </w:p>
    <w:p>
      <w:pPr>
        <w:spacing w:after="0" w:line="14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suppliers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April 7, 2020, CureVac B.V. was incorporated under the laws of the Netherlands and became the holding company of CureVac AG in connection with our initial public offering on August 14, 2020, as part of a corporate reorganization (the “Corporate Reorganization”), in which the legal form of CureVac B.V. was converted from a Dutch private company with limited liability (</w:t>
      </w:r>
      <w:r>
        <w:rPr>
          <w:rFonts w:ascii="Times New Roman" w:cs="Times New Roman" w:eastAsia="Times New Roman" w:hAnsi="Times New Roman"/>
          <w:sz w:val="18"/>
          <w:szCs w:val="18"/>
          <w:i w:val="1"/>
          <w:iCs w:val="1"/>
          <w:color w:val="auto"/>
        </w:rPr>
        <w:t>besloten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vennootschap met beperkte aansprakelijkheid</w:t>
      </w:r>
      <w:r>
        <w:rPr>
          <w:rFonts w:ascii="Times New Roman" w:cs="Times New Roman" w:eastAsia="Times New Roman" w:hAnsi="Times New Roman"/>
          <w:sz w:val="18"/>
          <w:szCs w:val="18"/>
          <w:color w:val="auto"/>
        </w:rPr>
        <w:t>) to a Dutch public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the articles of association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CureVac N.V. became effective. Following the Corporate Reorganization, CureVac N.V. became the holding company of CureVac AG. On September 26, 2022, CureVac AG entered into a plan of merger with CureVac Beteiligungsverwaltungs AG, with CureVac SE as the surviving entity and both CureVac AG and CureVac Beteiligungsverwaltungs AG as disappearing entities. The historical consolidated financial statements of CureVac AG included in this Annual Report became part of the historical consolidated financial statements of CureVac N.V. Our legal and commercial name is CureVac N.V.</w:t>
      </w:r>
    </w:p>
    <w:p>
      <w:pPr>
        <w:spacing w:after="0" w:line="18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Friedrich-Miescher-Strasse 15, 72076 Tübingen, Germany, and our telephone number at this address is +49 7071 9883 0. Our additional offices are in Wiesbaden (Germany), Louvain La Neuve (Belgium), Amsterdam (Netherlands), Basel (Switzerland), and Boston (Massachusetts, United States).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Since August 14, 2020, our common shares are trading on Nasdaq under the symbol “CVAC.” Our agent for service of process in the United States is CureVac Inc., located at 250 Summer St. 3rd Fl., Boston, Massachusetts 02210.</w:t>
      </w:r>
    </w:p>
    <w:p>
      <w:pPr>
        <w:spacing w:after="0" w:line="16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SEC maintains an internet website that contains reports and other information about issuers, like us, that file electronically with the SEC. The address of that website is www.sec.gov. Our website can be found at www.curevac.com. The information on our website is not incorporated by reference into this Annual Report, and you should not consider information contained on our website or any websites mentioned in this Annual Report to be part of this Annual Report.</w:t>
      </w:r>
    </w:p>
    <w:p>
      <w:pPr>
        <w:spacing w:after="0" w:line="176" w:lineRule="exact"/>
        <w:rPr>
          <w:sz w:val="20"/>
          <w:szCs w:val="20"/>
          <w:color w:val="auto"/>
        </w:rPr>
      </w:pPr>
    </w:p>
    <w:p>
      <w:pPr>
        <w:ind w:right="8140" w:firstLine="8"/>
        <w:spacing w:after="0" w:line="503" w:lineRule="auto"/>
        <w:tabs>
          <w:tab w:leader="none" w:pos="32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a global biopharmaceutical company that is developing a new class of transformative medicines based on messenger ribonucleic acid, or mRNA, which has the potential to improve the lives of people. mRNA plays a central role in cellular biology in the production of proteins in every living cell. Our vision is to revolutionize medicine and open new avenues for developing therapies by enabling the body to make its own drugs. We are pioneers in successfully harnessing mRNAs designed to prevent infections and to treat diseases by mimicking human biology to synthesize the desired proteins. Our technology platform is based on a targeted approach to optimize mRNA constructs that encode functional proteins which either induce a desired immune response or replace defective or missing proteins using the cell’s intrinsic translation machinery. Our current product portfolio includes clinical and preclinical candidates across multiple disease indications in prophylactic vaccines, oncology, and molecular therapy.</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Prophylactic Vaccines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prophylactic vaccines, we are advancing our second-generation mRNA backbone against coronavirus (SARS-CoV-2) and a range of infectious diseases, including seasonal influenza, in collaboration with GSK.</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improved second-generation mRNA backbone features targeted optimizations designed to improve intracellular mRNA stability and translation for increased and extended protein expression. These optimizations potentially allow for strong and early immune responses at low doses. This supports the development of multivalent vaccines to target spreading COVID-19 variants or different influenza strains as well as combination vaccines against different viral diseases.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COVID-19 Program in collaboration with GSK (second-generation mRNA backbone)</w:t>
      </w:r>
    </w:p>
    <w:p>
      <w:pPr>
        <w:spacing w:after="0" w:line="20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collaboration on COVID-19 vaccine candidates with GSK, initiated in April 2021, aims to research, develop, and manufacture mRNA vaccines targeting relevant SARS-CoV-2 variants.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January 5, 2024, CureVac announced positive data from a formal interim analysis in the ongoing Phase 2 clinical study assessing monovalent and bivalent modified COVID-19 vaccine candidates in direct comparison to a licensed bivalent mRNA-based COVID-19 comparator vaccine. The monovalent mRNA vaccine candidate, CV0601, encodes the Omicron BA.4-5 variant; the bivalent candidate, CV0701, encodes the Omicron BA.4-5 variant as well as the original SARS-CoV-2 virus. Both vaccine candidates apply CureVac’s proprietary second-generation mRNA backbone.</w:t>
      </w:r>
    </w:p>
    <w:p>
      <w:pPr>
        <w:spacing w:after="0" w:line="143"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Initiation of the Phase 2 study with CV0601 and CV0701 was announced on August 1, 2023. The study is being conducted in Australia and is fully enrolled with 427 healthy adult participants, as announced on November 1, 2023. It assesses the safety and immunogenicity of different single booster doses of CV0601 and CV0701. While the monovalent candidate CV0601 was tested at a single medium dose level, the bivalent candidate CV0701 was tested at low, medium, and high dose levels. All tested dose levels were below those used in mRNA-based COVID-19 vaccines licensed in the U.S. and EU.</w:t>
      </w:r>
    </w:p>
    <w:p>
      <w:pPr>
        <w:spacing w:after="0" w:line="15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Results from the formal interim analysis showed that both candidates exhibited a favorable reactogenicity profile across all tested doses and were generally well tolerated with a lower or similar proportion of participants reporting solicited adverse events when compared to comparator vaccine participants within seven days of dosing.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Both candidates produced meaningful immune responses beginning at the lowest tested dose. Interim immunogenicity data showed meaningful titers of neutralizing antibodies for both candidates, which matched or numerically exceeded the titers induced by the licensed comparator vaccine at all tested doses except for the low dose level of CV0701. At the medium dose level tested for CV0601, neutralizing antibody titers against the Omicron BA.4-5 variant on day 29 following the booster vaccination were 5.0 times the pre-boosting titers, numerically exceeding the 3.6-fold ratio generated by the licensed comparator vaccine. At the low, medium, and high dose levels tested for CV0701, neutralizing antibody titers against BA.4-5 on day 29 following the booster vaccination were 2.7-fold, 3.7-fold, and 4.6-fold the titers before the booster, compared to a 3.6-fold ratio for the comparator vaccine.</w:t>
      </w:r>
    </w:p>
    <w:p>
      <w:pPr>
        <w:spacing w:after="0" w:line="14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Phase 2 study was based on a Phase 1 study with the modified COVID-19 mRNA construct CV0501 also applying our second-generation backbone and encoding the Omicron BA.1 variant. CV0501 was the first vaccine candidate in the COVID-19 program to apply modified mRNA. Vaccination of the first participant in the Phase 1 study with CV0501 was announced on August 18, 2022. The study was conducted at clinical sites in the United States, Australia, and the Philippines to evaluate the safety, reactogenicity, and immunogenicity of a booster vaccination of CV0501 in 180 participants. Positive preliminary data from the Phase 1 study were reported in January and April 2023 and led to the selection of modified mRNA as the preferred technology for further clinical development in the COVID-19 program. The study was completed in August 2023.</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first representative of our joint COVID-19 vaccine program with GSK based on our second-generation backbone was CV2CoV, an unmodified mRNA construct, encoding the original SARS-CoV-2 virus. A Phase 1 clinical study with CV2CoV was announced on March 30, 2022, to evaluate the safety, reactogenicity, and immunogenicity of a booster vaccination of CV2CoV in 98 participants at clinical sites in the United States. The study was completed in March, 2023.</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Seasonal Flu Program in collaboration with GSK (second-generation mRNA backbone)</w:t>
      </w:r>
    </w:p>
    <w:p>
      <w:pPr>
        <w:spacing w:after="0" w:line="18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Seasonal flu was disclosed as the first indication from the initial collaboration we started with GSK in July 2020. The collaboration focuses on the development of new products for different targets in the field of infectious diseases, excluding COVID-19.</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April 4, 2024, we announced promising interim data from an ongoing Phase 2 part of the combined Phase 1/2 study of a seasonal influenza vaccine candidate. The multivalent candidate was designed for broad antigen coverage, encoding antigens matched to all four WHO-recommended flu strains. Results from the planned interim analysis showed that the multivalent vaccine candidate boosted antibody titers against all encoded flu strains and across all age groups and tested dose levels, including the lowest tested dose. The vaccine candidate was shown to have an acceptable safety and tolerability profile, with the majority of solicited adverse events reported as either mild or moderate. Among younger and older adults, geometric mean titers generated by the vaccine candidate against influenza A strains numerically exceeded the geometric mean titers of the licensed comparator vaccines consistently across all tested dose levels. For influenza B strains geometric mean titers were lower than those elicited by the licensed comparator vaccines across both age groups and tested dose levels, in line with expectations and other initial mRNA-based clinical flu development programs. Further optimizations to enhance immune responses against influenza B strains will be tested in an additional Phase 2 study.</w:t>
      </w:r>
    </w:p>
    <w:p>
      <w:pPr>
        <w:spacing w:after="0" w:line="19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Initiation of the combined Phase 1/2 for seasonal flu was announced on May 8, 2023. The initial Phase 1 part compared a comprehensive series of multivalent, modified mRNA seasonal flu vaccine candidates with up to eight separate mRNA constructs per candidate, addressing all four WHO-recommended flu strains. Candidates were tested at different dose levels in 270 healthy younger adults (age 18-50). Positive data from an interim analysis of the Phase 1 part was reported on September 12, 2023. Interim safety data showed no safety concerns across all tested dose levels for the multivalent candidates. Immunogenicity of all candidates was assessed in parallel with a licensed seasonal flu vaccine comparator vaccine. The humoral responses observed supported the selection of the preferred vaccine candidate, which is currently being tested in the Phase 2 part of the study.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combined Phase 1/2 study is based on a Phase 1 study with a modified, monovalent influenza vaccine candidate, Flu-SV-mRNA, announced on August 18, 2022. The vaccine candidate expresses an H1N1 hemagglutinin antigen (subtype of influenza A). The Phase 1 dose-escalation study is being conducted in Canada, Spain, and Belgium to evaluate the safety, reactogenicity, and immunogenicity of Flu-SV-mRNA in younger adults aged 18-45 and older adults aged 60-80. Preliminary safety and reactogenicity data in younger adults showed that the monovalent Flu-SV-mRNA candidate was generally well tolerated with no safety concerns observed to date across all tested dose levels. For older adults, a single dose of Flu-SV-mRNA (dose level undisclosed) was assessed for safety and reactogenicity and was also observed to be safe and well tolerated with no grade 3 adverse events in the 32 subjects who were administered the mRNA construct. Immunogenicity of Flu-SV-mRNA was assessed in parallel with a licensed seasonal flu vaccine comparator in both age groups. In younger adults, adjusted geometric mean hemagglutinin inhibition antibody titers elicited by Flu-SV-mRNA increased up to approximately 3.3 times those elicited by the licensed flu vaccine comparator in younger adults. In older adults, adjusted geometric mean hemagglutinin inhibition antibody titers elicited by Flu-SV-mRNA were approximately 2.3 times those elicited by the licensed flu vaccine comparator. In the same age group, the percentage of subjects achieving seroconversion was 89.7% for Flu-SV-mRNA and 56.2% for the licensed flu vaccine comparator.</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first vaccine candidate within the broader infectious disease program applying our second-generation backbone we tested in collaboration with GSK was the flu candidate, CVSQIV, a multivalent vaccine candidate featuring multiple unmodified mRNA constructs to induce immune responses against relevant targets of four different influenza strains. On February 10, 2022, we announced the start of a Phase 1 dose-escalation study in Panama evaluating the safety, reactogenicity, and immunogenicity of CVSQIV. Preliminary safety data reported on April 28, 2022, showed a benign reactogenicity profile across the tested dose groups. The study was completed in September 2022.</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Avian Influenza in collaboration with GSK (second-generation mRNA backbone)</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Avian influenza was disclosed as the latest program progressing to clinical trials under the initial collaboration we started with GSK in July 2020. The collaboration focuses on the development of new products for different targets in the field of infectious diseases, excluding COVID-19.</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April 24, 2024, the start of the Phase 1 part of a combined Phase 1/2 study of an investigational influenza A (H5N1) pre-pandemic vaccine candidate was announced. The study assesses a monovalent vaccine candidate encoding an influenza A H5-antigen. The H5N1 avian flu virus is considered a potential future pandemic threat, able to sporadically cross species from its original bird host to other animal hosts to humans.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Oncology</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oncology, we plan to build a meaningful portfolio and create long-term value to accelerate growth beyond the recent progress in prophylactic vaccines. Within our oncology strategy, we follow two approaches: (1) the development of off-the-shelf cancer vaccines based on tumor antigens shared across different cancer indications and (2) the development of fully personalized cancer vaccines based on a patient’s individual tumor genomic profile. Developing new cancer vaccine candidates is characterized by similar medical challenges as in infectious diseases, including selection and accessibility of disease-relevant antigens, enhancing antigen-induced immune activation, and triggering immune responses led by a strong induction of tumor-killing T cells.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key component to deliver on the development of new cancer vaccines is the build-up of a powerful antigen discovery engine. To complement existing in-house expertise to identify and validate promising antigens for mRNA cancer vaccine candidates and gain access to state-of-the-art antigen discovery technologies, we announced a partnership with Belgium-based company myNEO Therapeutics (“myNEO”) on May 25, 2022, and the acquisition of Netherlands-based Frame Cancer Therapeutics (“Frame”) on June 8, 2022.</w:t>
      </w:r>
    </w:p>
    <w:p>
      <w:pPr>
        <w:spacing w:after="0" w:line="180"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Together with immunotherapy company myNEO, we aim to identify specific antigens found on the surface of tumors for the development of novel mRNA immunotherapies. myNEO utilizes a broad range of underlying genomic alterations to identify constantly emerging, novel classes of antigens of defined tumor types. Incorporating new ranking methodologies based on tumor cell antigen processing and presentation is expected to allow for selection of antigens with the highest confidence of success for potential clinical testing. On November 22, 2023, both companies announced that CureVac exercised two exclusive options on selected sets of potential cancer vaccine shared antigen targets. The shared antigen targets identified by my NEO within the collaboration demonstrated strong immunogenicity in undisclosed preclinical studies. The most promising targets will be considered for validation for the design of potential mRNA cancer vaccine candidates.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With the acquisition of Frame, a private company focused on advanced genomics and bioinformatics, we added sophisticated methods to identify unique neoantigens across different cancer types. The former Frame site was inaugurated as CureVac Netherlands and will further develop the proprietary technology platform, which has the potential to identify a broad panel of neoantigens and tumor-associated antigens that go beyond conventional approaches. This could strongly increase the likelihood of developing highly effective cancer vaccines that activate the human immune system against cancer.</w:t>
      </w:r>
    </w:p>
    <w:p>
      <w:pPr>
        <w:spacing w:after="0" w:line="183" w:lineRule="exact"/>
        <w:rPr>
          <w:sz w:val="20"/>
          <w:szCs w:val="20"/>
          <w:color w:val="auto"/>
        </w:rPr>
      </w:pPr>
    </w:p>
    <w:p>
      <w:pPr>
        <w:jc w:val="both"/>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field of immunotherapy has advanced with the progression of available technologies, such as next-generation sequencing, to extract data from patient samples. Conventional approaches have so far focused on the exome, the protein-coding part of the genome, which represents only about 1.5% of the total genetic information. More recently, breakthrough developments in sequencing capacity have enabled the extraction of vastly larger amounts of data that allows us to utilize the remaining 98.5% of genetic information.</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technologies brought in house with the acquisition of Frame are based on whole-genome-sequencing for every patient sample combined with short as well as long-range RNA sequencing to map the full inventory of genomic changes. More specifically, downstream of the sequencing, a software package integrates all the data to retrieve the exact changes in the DNA of the tumor cells compared to healthy cells. Correlation of this data with changes in the RNA transcription of the tumor results in entirely new and potentially antigenic tumor antigens that we plan to test as targets for a portfolio of new cancer vaccine candidates. These new antigens are not only entirely foreign to the body but are also uniquely expressed in the tumor and not in healthy tissue. In their foreignness, these constructs are expected to raise stronger immune responses than antigens derived from exome-based conventional approaches.</w:t>
      </w:r>
    </w:p>
    <w:p>
      <w:pPr>
        <w:spacing w:after="0" w:line="189" w:lineRule="exact"/>
        <w:rPr>
          <w:sz w:val="20"/>
          <w:szCs w:val="20"/>
          <w:color w:val="auto"/>
        </w:rPr>
      </w:pPr>
    </w:p>
    <w:p>
      <w:pPr>
        <w:ind w:firstLine="321"/>
        <w:spacing w:after="0" w:line="254" w:lineRule="auto"/>
        <w:rPr>
          <w:sz w:val="20"/>
          <w:szCs w:val="20"/>
          <w:color w:val="auto"/>
        </w:rPr>
      </w:pPr>
      <w:r>
        <w:rPr>
          <w:rFonts w:ascii="Times New Roman" w:cs="Times New Roman" w:eastAsia="Times New Roman" w:hAnsi="Times New Roman"/>
          <w:sz w:val="18"/>
          <w:szCs w:val="18"/>
          <w:color w:val="auto"/>
        </w:rPr>
        <w:t>We recently extended our capabilities in oncology with a co-development and licensing agreement with The University of Texas MD Anderson (“M.D. Anderson”) Cancer Center, announced on April 16, 2024. The collaboration creates strong synergies between CureVac’s unique end-to-end capabilities for cancer antigen discovery, mRNA design, and manufacturing and M.D. Anderson’s expertise in cancer antigen discovery and validation, translational drug development, and clinical research. The focus of the collaboration is on the development of differentiated cancer vaccine candidates in selected hematological and solid tumor indications with high unmet medical need. Identification of differentiated cancer antigens via whole genome sequencing, combined with long- and short-read RNA-sequencing and cutting-edge bioinformatics will be followed by joint preclinical validation of the highest-quality cancer antigens and selection of the most promising clinical-lead candidates for conducting initial Phase 1/2 studies in appropriate clinical indications.</w:t>
      </w:r>
    </w:p>
    <w:p>
      <w:pPr>
        <w:spacing w:after="0" w:line="192"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Under the collaboration agreement with M.D. Anderson, we are granted an exclusive, fee-bearing, sublicensable license under certain intellectual property to develop, manufacture and commercialize (i) products containing certain RNA-based cancer vaccine candidate(s) developed under the agreement, or M.D. Anderson Cancer Center (MDACC) Program Products, for any and all uses for cancer in humans throughout the world and (ii) certain other products that target one or more antigens identified under the agreement throughout the world and M.D. Anderson is granted an exclusive, fee-bearing, sublicensable license under certain intellectual property jointly created under the agreement to develop, manufacture and commercialize certain non-MDACC Program Products that target one or more antigens identified under the agreement throughout the world.</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Further, we are solely responsible for the commercialization and commercial manufacturing of the MDACC Program Products for any and all uses related to cancer in humans worldwide. On a program-by-program basis upon completion of the first Phase I/II or Phase I clinical trial, as applicable, for a program, the parties agree to decide on a commercialization strategy through the joint steering committee, including whether such commercialization will be done by us or a third party via a partnership. On a program-by-program basis, each party will fund a specific percentage of all development costs incurred under the agreement. On a program-by-program basis, we will initially receive a percentage of the commercialization proceeds which is equal to our percentage of development costs, subject to certain assumptions and adjustments.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Investigational cancer vaccine CVGBM for surgically resected glioblastoma</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To assess the safety and immunogenicity of our second-generation backbone in an oncology setting, we initiated a proof-of-principle Phase 1 study in patients with newly diagnosed surgically resected MGMT-unmethylated glioblastoma or astrocytoma with a molecular signature of glioblastoma on June 20, 2023. The open-label study evaluates the safety and tolerability of CVGBM, a cancer vaccine candidate featuring a single unmodified mRNA encoding eight epitopes derived from known tumor-associated antigens with demonstrated immunogenicity in glioblastoma. On April 24, 2024, we announced that the dose-escalation Part A of the study completed recruitment of all four dose levels. Following review of the safety data, the Data Safety Monitoring Board (DSMB) confirmed no dose limiting toxicities and gave a dose recommendation for 100 µg for the dose-confirmation Part B of the study. Part B is expected to start enrollment mid-2024. A first study data readout is expected in the second half of 2024.</w:t>
      </w:r>
    </w:p>
    <w:p>
      <w:pPr>
        <w:spacing w:after="0" w:line="192" w:lineRule="exact"/>
        <w:rPr>
          <w:sz w:val="20"/>
          <w:szCs w:val="20"/>
          <w:color w:val="auto"/>
        </w:rPr>
      </w:pPr>
    </w:p>
    <w:p>
      <w:pPr>
        <w:ind w:right="340" w:firstLine="321"/>
        <w:spacing w:after="0" w:line="266" w:lineRule="auto"/>
        <w:rPr>
          <w:sz w:val="20"/>
          <w:szCs w:val="20"/>
          <w:color w:val="auto"/>
        </w:rPr>
      </w:pPr>
      <w:r>
        <w:rPr>
          <w:rFonts w:ascii="Times New Roman" w:cs="Times New Roman" w:eastAsia="Times New Roman" w:hAnsi="Times New Roman"/>
          <w:sz w:val="18"/>
          <w:szCs w:val="18"/>
          <w:color w:val="auto"/>
        </w:rPr>
        <w:t>The multiepitope design of CVGBM was supported by preclinical studies assessing the potency of a multiepitope mRNA cancer vaccine construct targeting tumors in a murine melanoma model. The data was presented at the 11th International mRNA Health Conference, hosted by CureVac from October 31 to November 2, 2023, in Berlin, Germany.</w:t>
      </w:r>
    </w:p>
    <w:p>
      <w:pPr>
        <w:spacing w:after="0" w:line="176" w:lineRule="exact"/>
        <w:rPr>
          <w:sz w:val="20"/>
          <w:szCs w:val="20"/>
          <w:color w:val="auto"/>
        </w:rPr>
      </w:pPr>
    </w:p>
    <w:p>
      <w:pPr>
        <w:ind w:right="100" w:firstLine="321"/>
        <w:spacing w:after="0" w:line="258" w:lineRule="auto"/>
        <w:rPr>
          <w:sz w:val="20"/>
          <w:szCs w:val="20"/>
          <w:color w:val="auto"/>
        </w:rPr>
      </w:pPr>
      <w:r>
        <w:rPr>
          <w:rFonts w:ascii="Times New Roman" w:cs="Times New Roman" w:eastAsia="Times New Roman" w:hAnsi="Times New Roman"/>
          <w:sz w:val="18"/>
          <w:szCs w:val="18"/>
          <w:color w:val="auto"/>
        </w:rPr>
        <w:t>The preclinical mRNA construct encoding ten epitopes derived from the murine B.16.F10 melanoma cell line was tested in mice. The study applied three 5 µg doses of LNP-formulated B.16 mRNA, administered intramuscularly at weekly intervals. Data obtained on day 21 confirmed prominent induction of CD8+ and CD4+ T cell responses recognizing epitopes across the full multiepitope construct. Median survival of the animals increased to 30.9 days for treated mice compared to 23.2 days for a group vaccinated with formulated control mRNA.</w:t>
      </w:r>
    </w:p>
    <w:p>
      <w:pPr>
        <w:spacing w:after="0" w:line="183" w:lineRule="exact"/>
        <w:rPr>
          <w:sz w:val="20"/>
          <w:szCs w:val="20"/>
          <w:color w:val="auto"/>
        </w:rPr>
      </w:pPr>
    </w:p>
    <w:p>
      <w:pPr>
        <w:ind w:firstLine="321"/>
        <w:spacing w:after="0" w:line="261" w:lineRule="auto"/>
        <w:rPr>
          <w:sz w:val="20"/>
          <w:szCs w:val="20"/>
          <w:color w:val="auto"/>
        </w:rPr>
      </w:pPr>
      <w:r>
        <w:rPr>
          <w:rFonts w:ascii="Times New Roman" w:cs="Times New Roman" w:eastAsia="Times New Roman" w:hAnsi="Times New Roman"/>
          <w:sz w:val="18"/>
          <w:szCs w:val="18"/>
          <w:color w:val="auto"/>
        </w:rPr>
        <w:t>Strong T cell activation is particularly encouraging and relevant, as the B16-F10 tumor model is characterized as a cytokine deficient “cold” tumor model that exhibits very little immune cell infiltration and resistance to check-point inhibitors. The data suggest that single-agent application of the multiepitope B.16 mRNA construct generated robust T cell activation in the tumor microenvironment, thereby inhibiting tumor growth and extending survival in the applied preclinical model.</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The RNA Printer</w:t>
      </w:r>
      <w:r>
        <w:rPr>
          <w:rFonts w:ascii="Times New Roman" w:cs="Times New Roman" w:eastAsia="Times New Roman" w:hAnsi="Times New Roman"/>
          <w:sz w:val="26"/>
          <w:szCs w:val="26"/>
          <w:i w:val="1"/>
          <w:iCs w:val="1"/>
          <w:color w:val="auto"/>
          <w:vertAlign w:val="superscript"/>
        </w:rPr>
        <w:t>®</w:t>
      </w:r>
    </w:p>
    <w:p>
      <w:pPr>
        <w:spacing w:after="0" w:line="143" w:lineRule="exact"/>
        <w:rPr>
          <w:sz w:val="20"/>
          <w:szCs w:val="20"/>
          <w:color w:val="auto"/>
        </w:rPr>
      </w:pPr>
    </w:p>
    <w:p>
      <w:pPr>
        <w:ind w:right="100" w:firstLine="321"/>
        <w:spacing w:after="0" w:line="234" w:lineRule="auto"/>
        <w:rPr>
          <w:sz w:val="20"/>
          <w:szCs w:val="20"/>
          <w:color w:val="auto"/>
        </w:rPr>
      </w:pPr>
      <w:r>
        <w:rPr>
          <w:rFonts w:ascii="Times New Roman" w:cs="Times New Roman" w:eastAsia="Times New Roman" w:hAnsi="Times New Roman"/>
          <w:sz w:val="17"/>
          <w:szCs w:val="17"/>
          <w:color w:val="auto"/>
        </w:rPr>
        <w:t>In addition to our GMP manufacturing facilities, we are developing a novel downsized, integrated, and automated process for manufacturing of mRNA vaccines and therapeutics, which we refer to as The RNA Printer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The RNA Printer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is CureVac’s automated end-to-end manufacturing solution for GMP-grade mRNA vaccines and therapeutics and an integral part of our oncology strategy. The highly standardized system is expected to allow for rapid and highly flexible availability of mRNA to screen new targets and transition promising mRNA product candidates more efficiently into the clinic. Designed for small-scale quantities, the automated GMP-grade output of The RNA Printer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is designed to open avenues for personalized mRNA-based cancer therapies. On November 14, 2023, we announced that the system has successfully achieved the first regulatory milestone by obtaining a manufacturing license from the regional authority in Baden-Württemberg for an mRNA in our cancer vaccine development program to support CureVac’s oncology strategy. The second regulatory milestone was achieved on December 12, 2023, when The RNA Printer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received a drug substance framework manufacturing license from the regional authority in Baden-Württemberg. The regulatory review process is ongoing.</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Molecular Therapies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development efforts for molecular therapy are based on delivering optimized mRNAs to trigger production of antibodies or therapeutic proteins. Using our technology, we can instruct human cells to produce or secrete specific proteins in the nucleus, cytoplasm, cellular organelles, cell membrane. Based on this “healthy” information delivered by mRNA, our cells can produce proteins, which are required to treat the disease caused by missing or inactive proteins.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mRNA optimization process, which is a core pillar of our RNA optimizer platform, is designed to increase protein expression with the aim to reach therapeutic levels. In preclinical studies in non-human primates, we have demonstrated that antibodies encoded by mRNA can be produced in hepatocytes very rapidly and can reach therapeutic levels in the blood stream. We are currently advancing undisclosed programs in preclinical studies across eye disorders as well as delivering therapeutic antibodies. Our work in eye disorders is carried out in collaboration with the Schepens Eye Research Institute. We expect to publish data from our collaboration in 2024.</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approach seeks to mitigate clinical and developmental risk across multiple levels to advance and expand our broad product portfolio. We have made advances in utilizing the potential of our technology platform through rational disease selection. We consider a number of factors in our disease selection process including unmet medical need, immune response, duration of expression, dosing requirements, delivery, and targeted tissue types, among other factors. Our programs target the underlying modes of action of the disease that play a critical role in the pathology of the disease. We are initially targeting diseases that require an active immune response (such as prophylactic vaccines and cancer vaccines) and require transient expression of mRNA in tissue types that are more easily accessible. We believe these indications are amenable to localized delivery using a lipid nanoparticle, or LNP, delivery system. Following the encouraging results from our current prophylactic vaccines program in clinical studies and based on our advanced understanding of mRNA biology and immune stimulation control, we have expanded our product portfolio to also target indications that require an immune silent approach (such as protein delivery), given the need for higher doses, repeated dosing and longer expression of the protein. These initial indications are using LNP delivery systems.</w:t>
      </w:r>
    </w:p>
    <w:p>
      <w:pPr>
        <w:spacing w:after="0" w:line="192" w:lineRule="exact"/>
        <w:rPr>
          <w:sz w:val="20"/>
          <w:szCs w:val="20"/>
          <w:color w:val="auto"/>
        </w:rPr>
      </w:pPr>
    </w:p>
    <w:p>
      <w:pPr>
        <w:ind w:right="100" w:firstLine="321"/>
        <w:spacing w:after="0" w:line="258" w:lineRule="auto"/>
        <w:rPr>
          <w:sz w:val="20"/>
          <w:szCs w:val="20"/>
          <w:color w:val="auto"/>
        </w:rPr>
      </w:pPr>
      <w:r>
        <w:rPr>
          <w:rFonts w:ascii="Times New Roman" w:cs="Times New Roman" w:eastAsia="Times New Roman" w:hAnsi="Times New Roman"/>
          <w:sz w:val="18"/>
          <w:szCs w:val="18"/>
          <w:color w:val="auto"/>
        </w:rPr>
        <w:t>We consider our manufacturing process an important part of our strategy that allows us to match our flexible and versatile technology platform with equally flexible and versatile manufacturing setups. In house, we currently operate three GMP-certified suites, with the capacity to supply our clinical programs and support potential early commercialization activities. We are in the process of building a fourth GMP large-scale production facility at CureVac’s headquarters in Tübingen, which is being designed to cover all manufacturing steps from starting material to formulation.</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Financial Position</w:t>
      </w:r>
    </w:p>
    <w:p>
      <w:pPr>
        <w:spacing w:after="0" w:line="229" w:lineRule="exact"/>
        <w:rPr>
          <w:sz w:val="20"/>
          <w:szCs w:val="20"/>
          <w:color w:val="auto"/>
        </w:rPr>
      </w:pPr>
    </w:p>
    <w:p>
      <w:pPr>
        <w:ind w:right="320" w:firstLine="321"/>
        <w:spacing w:after="0" w:line="266" w:lineRule="auto"/>
        <w:rPr>
          <w:sz w:val="20"/>
          <w:szCs w:val="20"/>
          <w:color w:val="auto"/>
        </w:rPr>
      </w:pPr>
      <w:r>
        <w:rPr>
          <w:rFonts w:ascii="Times New Roman" w:cs="Times New Roman" w:eastAsia="Times New Roman" w:hAnsi="Times New Roman"/>
          <w:sz w:val="18"/>
          <w:szCs w:val="18"/>
          <w:color w:val="auto"/>
        </w:rPr>
        <w:t>Our capital expenditures for 2023, 2022, and 2021 amounted to € 57.8 million, € 101.6 million, and €135.4 million, respectively. These expenditures were primarily for equipment and intangibles used in our research and development activities, as well as for the development of a GMP production process on a large scale (GMP IV).</w:t>
      </w:r>
    </w:p>
    <w:p>
      <w:pPr>
        <w:spacing w:after="0" w:line="176" w:lineRule="exact"/>
        <w:rPr>
          <w:sz w:val="20"/>
          <w:szCs w:val="20"/>
          <w:color w:val="auto"/>
        </w:rPr>
      </w:pPr>
    </w:p>
    <w:p>
      <w:pPr>
        <w:ind w:right="140" w:firstLine="321"/>
        <w:spacing w:after="0" w:line="281" w:lineRule="auto"/>
        <w:rPr>
          <w:sz w:val="20"/>
          <w:szCs w:val="20"/>
          <w:color w:val="auto"/>
        </w:rPr>
      </w:pPr>
      <w:r>
        <w:rPr>
          <w:rFonts w:ascii="Times New Roman" w:cs="Times New Roman" w:eastAsia="Times New Roman" w:hAnsi="Times New Roman"/>
          <w:sz w:val="17"/>
          <w:szCs w:val="17"/>
          <w:color w:val="auto"/>
        </w:rPr>
        <w:t>To date, our revenues have consisted of upfront licensing payments, product sales, and compensation for research and development services, the majority of which relate to our license and collaboration agreements. For the years ended December 31, 2021, 2022, and 2023, €103.0 million, €67.4 million, and €53.8 million, respectively, or 100%, of our total revenue, in each respective year, was derived through our collaborations. Since our founding in 2000, we have raised €1.94 billion in gross proceeds from equity financings.</w:t>
      </w:r>
    </w:p>
    <w:p>
      <w:pPr>
        <w:spacing w:after="0" w:line="164"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revenue by geographic area. Revenue is attributed to geographic region based on the location of our license and collaboration partner: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built an intellectual property portfolio in the United States, Europe, and other major geographies. As of March 19, 2024, we own approximately 624 issued patents worldwide, including 103 issued U.S. patents, 43 issued European patents (which have been validated in various European countries resulting in a total of approximately 395 national patents in European countries) and including two European patents with unitary effect, one German national patent, and 126 issued patents in other foreign countries, 116 pending U.S. patent applications, 74 pending European patent applications, 311 pending patent applications in other foreign countries, and 18 pending PCT patent applications. Our patent portfolio includes claims relating to our RNA technology platform, our proprietary LNP technology, and our Influenza and SARS-CoV-2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led by a team of experts with extensive experience in the biopharmaceutical industry, including in nucleic acid therapy, oncology, rare and infectious diseases, and antibodies. Our management team as well as our supervisory board members have broad expertise in the clinical, regulatory, and commercialization aspects of prophylactic vaccines, oncology and molecular therapy, as well as in drug development, process development, and manufacturing for mRNA therapies. As the result of our organic growth, our workforce has increased from an approximate average workforce of 440 in fiscal 2019 to 1,126 as of December 31, 2023, including 301 employees with advanced scientific degrees.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Portfolio</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differentiated mRNA technology platform is designed to address a broad range of diseases across multiple therapeutic areas. Given the strengths of our platform, the broad potential of mRNA-based medicines and our rational approach to disease selection, we have chosen to leverage our platform to initially focus on advancing our product candidates in the areas of prophylactic vaccines, oncology and molecular therapy.</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 disease indication may require an approach that triggers an immune response (immune active) or that does not require immune activation (immune silent). Each of the disease indications that we are targeting require different levels of immune activation for the mRNA-based medicines to be effective. For the immune active side of our technology, we focus on mRNA-based medicines in prophylactic vaccines and oncology. For the immune silent side of our technology, we have expanded our preclinical product portfolio to include mRNA therapies based on the expression of therapeutic proteins (including ocular, liver and lung applications).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lead programs include:</w:t>
      </w:r>
    </w:p>
    <w:p>
      <w:pPr>
        <w:spacing w:after="0" w:line="225" w:lineRule="exact"/>
        <w:rPr>
          <w:sz w:val="20"/>
          <w:szCs w:val="20"/>
          <w:color w:val="auto"/>
        </w:rPr>
      </w:pPr>
    </w:p>
    <w:p>
      <w:pPr>
        <w:ind w:left="680" w:right="20" w:hanging="321"/>
        <w:spacing w:after="0" w:line="266"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vaccine candidates CV0601 (monovalent) and CV0701 (bivalent) against SARS-CoV-2, applying our second-generation mRNA backbone and modified mRNA, are being developed in collaboration with GSK. We initiated a Phase 2 study in August 2023, which provided positive interim results in January 2024.</w:t>
      </w:r>
    </w:p>
    <w:p>
      <w:pPr>
        <w:spacing w:after="0" w:line="175" w:lineRule="exact"/>
        <w:rPr>
          <w:rFonts w:ascii="Times New Roman" w:cs="Times New Roman" w:eastAsia="Times New Roman" w:hAnsi="Times New Roman"/>
          <w:sz w:val="18"/>
          <w:szCs w:val="18"/>
          <w:color w:val="auto"/>
        </w:rPr>
      </w:pPr>
    </w:p>
    <w:p>
      <w:pPr>
        <w:ind w:left="680" w:right="20" w:hanging="321"/>
        <w:spacing w:after="0" w:line="261"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multivalent vaccine candidate against influenza, applying our second-generation mRNA backbone and modified mRNA, is being developed in collaboration with GSK. We initiated a combined Phase 1/2 study in May 2023 testing a comprehensive series of multivalent vaccine candidates. The preferred candidate selected from the Phase 1 part was advanced to the Phase 2 part in November 2023. The Phase 2 part provided interim results in April 2024.</w:t>
      </w:r>
    </w:p>
    <w:p>
      <w:pPr>
        <w:spacing w:after="0" w:line="179"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cancer vaccine candidate CVGBM is tested in patients with surgically resected Glioblastoma Multiforme. It applies our second-generation mRNA backbone and unmodified mRNA. It encodes eight epitopes derived from known tumor-associated antigens with demonstrated immunogenicity in glioblastoma. A Phase 1 study initiated in June 2023 is expected to provide data in the second half of 2024.</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key partnered programs include:</w:t>
      </w:r>
    </w:p>
    <w:p>
      <w:pPr>
        <w:spacing w:after="0" w:line="225" w:lineRule="exact"/>
        <w:rPr>
          <w:sz w:val="20"/>
          <w:szCs w:val="20"/>
          <w:color w:val="auto"/>
        </w:rPr>
      </w:pPr>
    </w:p>
    <w:p>
      <w:pPr>
        <w:ind w:left="680" w:right="240" w:hanging="321"/>
        <w:spacing w:after="0" w:line="266"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partnered with GSK for the development of COVID-19 vaccine candidates based on our second-generation mRNA backbone and vaccine candidates against other infectious diseases, including seasonal influenza, also based on our second-generation mRNA backbone.</w:t>
      </w:r>
    </w:p>
    <w:p>
      <w:pPr>
        <w:spacing w:after="0" w:line="175" w:lineRule="exact"/>
        <w:rPr>
          <w:rFonts w:ascii="Times New Roman" w:cs="Times New Roman" w:eastAsia="Times New Roman" w:hAnsi="Times New Roman"/>
          <w:sz w:val="18"/>
          <w:szCs w:val="18"/>
          <w:color w:val="auto"/>
        </w:rPr>
      </w:pPr>
    </w:p>
    <w:p>
      <w:pPr>
        <w:jc w:val="both"/>
        <w:ind w:left="680" w:right="260" w:hanging="321"/>
        <w:spacing w:after="0" w:line="261"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partnered with the immunotherapy company myNEO to identify specific antigens on the surface of tumors for the development of novel mRNA-based cancer vaccine candidates. The partnership leverages myNEO’s biological datasets and integrated machine learning and bioinformatics platform to identify and validate specific tumor antigens predicted to elicit a strong immune response.</w:t>
      </w:r>
    </w:p>
    <w:p>
      <w:pPr>
        <w:spacing w:after="0" w:line="179"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partnered with CRISPR Therapeutics for the development of novel Cas9 mRNA constructs for use in gene editing therapeutics, with improved properties such as increased potency, decreased duration of expression and reduced potential for immunogenicity. CRISPR Therapeutics has an exclusive license to the improved constructs in three of their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programs.</w:t>
      </w:r>
    </w:p>
    <w:p>
      <w:pPr>
        <w:sectPr>
          <w:pgSz w:w="11900" w:h="16838" w:orient="portrait"/>
          <w:cols w:equalWidth="0" w:num="1">
            <w:col w:w="9880"/>
          </w:cols>
          <w:pgMar w:left="980" w:top="661" w:right="1039" w:bottom="1440" w:gutter="0" w:footer="0" w:header="0"/>
        </w:sect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100" w:hanging="321"/>
        <w:spacing w:after="0" w:line="266"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broad strategic partnership with Genmab to leverage our mRNA technology platform to develop up to four mRNA-based novel therapeutic antibodies. This represents the first publicly announced strategic partnership focused on differentiated mRNA-based antibodies.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have several academic collaborations, including with SERI for target discovery research in mRNA-based eye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5966460" cy="27260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Unidentified indication.</w:t>
      </w:r>
    </w:p>
    <w:p>
      <w:pPr>
        <w:spacing w:after="0" w:line="225" w:lineRule="exact"/>
        <w:rPr>
          <w:sz w:val="20"/>
          <w:szCs w:val="20"/>
          <w:color w:val="auto"/>
        </w:rPr>
      </w:pPr>
    </w:p>
    <w:p>
      <w:pPr>
        <w:ind w:left="340" w:right="100" w:hanging="332"/>
        <w:spacing w:after="0" w:line="282" w:lineRule="auto"/>
        <w:tabs>
          <w:tab w:leader="none" w:pos="3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 further details on our collaboration agreements, see “Business — Collaborations” and “Management’s Discussion and Analysis of Financial Condition and Results of Operations — Our Collaborations and Related License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are developing a broad portfolio of product candidates currently in preclinical or clinical development stages that we believe position us at the forefront of targeted immune active and immune silent mRNA medicines. Our key strengths include:</w:t>
      </w:r>
    </w:p>
    <w:p>
      <w:pPr>
        <w:spacing w:after="0" w:line="144" w:lineRule="exact"/>
        <w:rPr>
          <w:sz w:val="20"/>
          <w:szCs w:val="20"/>
          <w:color w:val="auto"/>
        </w:rPr>
      </w:pPr>
    </w:p>
    <w:p>
      <w:pPr>
        <w:ind w:left="680" w:hanging="321"/>
        <w:spacing w:after="0" w:line="236"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have a differentiated mRNA technology platform that has the potential to address a wide range of diseases. </w:t>
      </w:r>
      <w:r>
        <w:rPr>
          <w:rFonts w:ascii="Times New Roman" w:cs="Times New Roman" w:eastAsia="Times New Roman" w:hAnsi="Times New Roman"/>
          <w:sz w:val="18"/>
          <w:szCs w:val="18"/>
          <w:color w:val="auto"/>
        </w:rPr>
        <w:t>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pioneers in the field of mRNA-based medicines, we have a deep understanding of mRNA biology, its interaction with the cellular translation machinery as well as the immune system. We have built our differentiated RNA optimizer platform to incorporate these insights over the past 23 years. We optimize mRNA to preserve critical protein-RNA interactions. Given the potential advantages of the mRNA-based medicines over existing treatment modalities, such as potential for broad application, wide range of activity, flexibility, design versatility, transient expression and a single manufacturing process, we believe that we have the potential to address a broad range of diseases across multiple therapeutic areas. Our technology platform has been validated in clinical and preclinical studies in selected disease indications.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80" w:right="60" w:hanging="321"/>
        <w:spacing w:after="0" w:line="233"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an optimized second-generation mRNA backbone, which catalyzes the expansion of our clinical development pipeline in prophylactic vaccines as well as oncology</w:t>
      </w:r>
      <w:r>
        <w:rPr>
          <w:rFonts w:ascii="Times New Roman" w:cs="Times New Roman" w:eastAsia="Times New Roman" w:hAnsi="Times New Roman"/>
          <w:sz w:val="18"/>
          <w:szCs w:val="18"/>
          <w:color w:val="auto"/>
        </w:rPr>
        <w:t>. Our proprietary second-generation mRNA backbone targets improved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intracellular mRNA translation for increased and extended protein expression, resulting in early and strong immune responses. The second-generation mRNA backbone broadly spans unmodified and modified mRNA, as well as monovalent and multivalent vaccine formats to diversify and advance our product development pipeline. We aim to be at the forefront of delivering mRNA-based vaccines against a range of relevant infectious diseases and are executing on a broad mRNA vaccine program in collaboration with GSK. Second-generation backbone-based vaccines are expected to allow for flexible protection against one or more emerging COVID-19 variants and to enable new mRNA vaccines against other infectious diseases, such as influenza, as well as potential combination vaccines against different viruses. Alongside our recent progress in COVID-19 and flu we are also broadening our foundation in oncology and aim to build a meaningful portfolio of cancer vaccine candidates based on the second-generation mRNA backbone in combination with promising new tumor antigens predicted to elicit strong immune responses.</w:t>
      </w:r>
    </w:p>
    <w:p>
      <w:pPr>
        <w:spacing w:after="0" w:line="180" w:lineRule="exact"/>
        <w:rPr>
          <w:rFonts w:ascii="Times New Roman" w:cs="Times New Roman" w:eastAsia="Times New Roman" w:hAnsi="Times New Roman"/>
          <w:sz w:val="18"/>
          <w:szCs w:val="18"/>
          <w:color w:val="auto"/>
        </w:rPr>
      </w:pPr>
    </w:p>
    <w:p>
      <w:pPr>
        <w:ind w:left="680" w:right="60" w:hanging="321"/>
        <w:spacing w:after="0" w:line="234"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have a broad portfolio of mRNA-based medicines in preclinical and clinical development stages being designed for efficacy, safety and protein expression at relatively low doses. </w:t>
      </w:r>
      <w:r>
        <w:rPr>
          <w:rFonts w:ascii="Times New Roman" w:cs="Times New Roman" w:eastAsia="Times New Roman" w:hAnsi="Times New Roman"/>
          <w:sz w:val="18"/>
          <w:szCs w:val="18"/>
          <w:color w:val="auto"/>
        </w:rPr>
        <w:t>The potential of our technology optimized for immune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activation in prophylactic vaccines and oncology has been observed in multiple clinical studies. We are developing our product candidates, have conducted preclinical studies and initiated Phase 1 and Phase 2 trials of vaccine candidates based on our second-generation mRNA backbone for COVID-19 and influenza. In oncology, we plan to build a meaningful portfolio of novel cancer vaccines based on our second-generation mRNA backbone to create long-term value and accelerate growth beyond the recent progress in prophylactic vaccines. A key component to deliver on this strategy is the buildup of a powerful antigen discovery engine. In the immune silent area molecular therapy, our approaches optimized for protein therapies have been evaluated in multiple preclinical disease models.</w:t>
      </w:r>
    </w:p>
    <w:p>
      <w:pPr>
        <w:spacing w:after="0" w:line="195" w:lineRule="exact"/>
        <w:rPr>
          <w:rFonts w:ascii="Times New Roman" w:cs="Times New Roman" w:eastAsia="Times New Roman" w:hAnsi="Times New Roman"/>
          <w:sz w:val="18"/>
          <w:szCs w:val="18"/>
          <w:color w:val="auto"/>
        </w:rPr>
      </w:pPr>
    </w:p>
    <w:p>
      <w:pPr>
        <w:ind w:left="680" w:right="120" w:hanging="321"/>
        <w:spacing w:after="0" w:line="252"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have a strong clinical development pipeline driven by the technological advantages of our versatile second-generation mRNA backbone. </w:t>
      </w:r>
      <w:r>
        <w:rPr>
          <w:rFonts w:ascii="Times New Roman" w:cs="Times New Roman" w:eastAsia="Times New Roman" w:hAnsi="Times New Roman"/>
          <w:sz w:val="18"/>
          <w:szCs w:val="18"/>
          <w:color w:val="auto"/>
        </w:rPr>
        <w:t>Our development focus in the immune activation area is on our second-generation mRNA backbone.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infectious diseases, we leverage this backbone to advance COVID-19 and flu vaccine candidates jointly developed with GSK. On January 5, 2024, we announced positive data from a formal interim analysis in the ongoing COVID-19 Phase 2 clinical study assessing the monovalent mRNA vaccine candidate, CV0601, encoding the Omicron BA.4-5 variant and the bivalent mRNA candidate, CV0701, encoding the Omicron BA.4-5 variant as well as the original SARS-CoV-2 virus. All tested dose levels were below those used in mRNA-based COVID-19 vaccines licensed in the U.S. and EU. Results from the formal interim analysis showed that both candidates exhibited a favorable reactogenicity profile across all tested doses and were generally well tolerated with a lower or similar proportion of participants reporting solicited adverse events compared to a licensed comparator. Both candidates produced meaningful immune responses beginning at the lowest tested dose with neutralizing antibody titers matching or numerically exceeding the titers induced by the licensed comparator vaccine at all tested doses except for the low dose level of CV0701. In seasonal influenza, we announced promising interim data on April 4, 2024 from the Phase 2 part of the combined Phase 1/2 study of a multivalent candidate, encoding antigens matched to all four WHO-recommended flu strains. Results showed that the multivalent vaccine candidate boosted antibody titers against all encoded flu strains and across all age groups and tested dose levels, and exhibited an acceptable safety and tolerability profile, with the majority of solicited adverse events reported as either mild or moderate. Among younger and older adults, geometric mean titers generated by the vaccine candidate against influenza A strains numerically exceeded the geometric mean titers of the licensed comparator vaccines consistently across all tested dose levels. For influenza B strains geometric mean titers were lower than those elicited by the licensed comparator vaccines across both age groups and tested dose levels. Further optimizations to enhance immune responses against influenza B strains will be tested in an additional Phase 2 study. On April 24, 2024, we announced the start of a combined Phase 1/2 study in avian influenza (H5N1).</w:t>
      </w:r>
    </w:p>
    <w:p>
      <w:pPr>
        <w:spacing w:after="0" w:line="192"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In oncology, we leverage our second-generation mRNA backbone in a Phase 1 study in patients with newly diagnosed resected glioblastoma, initiated in June 2023. The study evaluates the safety and tolerability of CVGBM, a cancer vaccine candidate featuring a single unmodified mRNA encoding eight epitopes derived from known tumor-associated antigens with demonstrated immunogenicity in glioblastoma. On April 24, 2024, we announced that the dose-escalation Part A of the study completed recruitment of all four dose levels. Following review of the safety data, the Data Safety Monitoring Board (DSMB) confirmed no dose limiting toxicities and gave a dose recommendation for 100 µg for the dose-confirmation Part B of the study. Part B is expected to start enrollment toward mid-2024.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right="20" w:hanging="321"/>
        <w:spacing w:after="0" w:line="254"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have the ability to target different tissue types based on our delivery systems. </w:t>
      </w:r>
      <w:r>
        <w:rPr>
          <w:rFonts w:ascii="Times New Roman" w:cs="Times New Roman" w:eastAsia="Times New Roman" w:hAnsi="Times New Roman"/>
          <w:sz w:val="18"/>
          <w:szCs w:val="18"/>
          <w:color w:val="auto"/>
        </w:rPr>
        <w:t>We have access to a number of mRNA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systems, including third-party and our proprietary systems, which allow us to target distinct tissues in an optimal way. Our current clinical prophylactic vaccine and cancer vaccine programs rely on LNP-based delivery systems administered intramuscularly and providing access to the immune cells. Moreover, LNP-based systems deliver mRNA efficiently to the hepatocytes in the liver, if administered intravenously. Protein expressed in the liver may either restore a specific function in the liver itself or produce secreted proteins for release into circulation. We rely on third-party state-of-the-art LNP delivery systems for our current clinical programs, but we are also developing our own proprietary LNP delivery system. In our proprietary LNP programs, we demonstrated that changes to the ratio and/or composition of the LNP constituents can be applied to fine tune LNP physico-chemical properties and steer immune responses as well as overall biological activity.</w:t>
      </w:r>
    </w:p>
    <w:p>
      <w:pPr>
        <w:spacing w:after="0" w:line="188" w:lineRule="exact"/>
        <w:rPr>
          <w:rFonts w:ascii="Times New Roman" w:cs="Times New Roman" w:eastAsia="Times New Roman" w:hAnsi="Times New Roman"/>
          <w:sz w:val="18"/>
          <w:szCs w:val="18"/>
          <w:color w:val="auto"/>
        </w:rPr>
      </w:pPr>
    </w:p>
    <w:p>
      <w:pPr>
        <w:ind w:left="680" w:hanging="321"/>
        <w:spacing w:after="0" w:line="254"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have invested in building our in-house manufacturing infrastructure, capabilities and expertise to rapidly, efficiently and cost-effectively produce mRNA-based medicines. </w:t>
      </w:r>
      <w:r>
        <w:rPr>
          <w:rFonts w:ascii="Times New Roman" w:cs="Times New Roman" w:eastAsia="Times New Roman" w:hAnsi="Times New Roman"/>
          <w:sz w:val="18"/>
          <w:szCs w:val="18"/>
          <w:color w:val="auto"/>
        </w:rPr>
        <w:t>We have continued to invest in our manufacturing platform since 2000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manufactured thousands of mRNAs. We consider our manufacturing process an important part of our strategy that allows us to continuously improve our technology platform and maintain flexibility in clinical development. Our manufacturing setup allows us to drive innovation and to maintain flexibility as well as to pivot quickly in clinical development and potential commercialization. In house, we currently operate three GMP-certified suites, with the capacity to supply our clinical programs and support potential early commercialization activities. We are in the process of building a fourth GMP large-scale production facility at CureVac’s headquarters in Tübingen, which is being designed to cover all manufacturing steps from starting material to formulation. All our mRNA-based active ingredients for various fields of application originate from a common technology platform and are based on standardized source materials, which enables us to produce mRNA-based medicines using a platform process concept.</w:t>
      </w:r>
    </w:p>
    <w:p>
      <w:pPr>
        <w:spacing w:after="0" w:line="182" w:lineRule="exact"/>
        <w:rPr>
          <w:rFonts w:ascii="Times New Roman" w:cs="Times New Roman" w:eastAsia="Times New Roman" w:hAnsi="Times New Roman"/>
          <w:sz w:val="18"/>
          <w:szCs w:val="18"/>
          <w:color w:val="auto"/>
        </w:rPr>
      </w:pPr>
    </w:p>
    <w:p>
      <w:pPr>
        <w:ind w:left="680" w:right="60" w:hanging="321"/>
        <w:spacing w:after="0" w:line="255"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have entered into strategic partnerships with leading biopharmaceutical companies and research and nonprofit institutions to expand the applications of our technology platform. </w:t>
      </w:r>
      <w:r>
        <w:rPr>
          <w:rFonts w:ascii="Times New Roman" w:cs="Times New Roman" w:eastAsia="Times New Roman" w:hAnsi="Times New Roman"/>
          <w:sz w:val="18"/>
          <w:szCs w:val="18"/>
          <w:color w:val="auto"/>
        </w:rPr>
        <w:t>We have a history of partnering with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biopharmaceutical companies such as GSK, myNEO, CRISPR Therapeutics, Genmab, and Bayer. We also have received research grants from the Bill &amp; Melinda Gates Foundation and CEPI for the development of several prophylactic vaccines. Our academic collaborations are focused on identifying and evaluating novel targets in selected therapeutics areas such as our collaboration with the M.D. Anderson Cancer Centre in selected hematological and solid tumor indications with high unmet medical need. These partnerships and collaborations allow us to expand the application of our platform and bring in external expertise and capabilities.</w:t>
      </w:r>
    </w:p>
    <w:p>
      <w:pPr>
        <w:spacing w:after="0" w:line="184" w:lineRule="exact"/>
        <w:rPr>
          <w:rFonts w:ascii="Times New Roman" w:cs="Times New Roman" w:eastAsia="Times New Roman" w:hAnsi="Times New Roman"/>
          <w:sz w:val="18"/>
          <w:szCs w:val="18"/>
          <w:color w:val="auto"/>
        </w:rPr>
      </w:pPr>
    </w:p>
    <w:p>
      <w:pPr>
        <w:ind w:left="680" w:right="20" w:hanging="321"/>
        <w:spacing w:after="0" w:line="254"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have built an intellectual property portfolio in a variety of markets for our platform and product candidates. </w:t>
      </w:r>
      <w:r>
        <w:rPr>
          <w:rFonts w:ascii="Times New Roman" w:cs="Times New Roman" w:eastAsia="Times New Roman" w:hAnsi="Times New Roman"/>
          <w:sz w:val="18"/>
          <w:szCs w:val="18"/>
          <w:color w:val="auto"/>
        </w:rPr>
        <w:t>As pioneers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field of mRNA therapies, we have built an intellectual property portfolio in the United States and other major geographies, which is one of the broadest and most diverse intellectual property portfolios in the field. As of March 19, 2024, we own approximately 624 issued patents worldwide, including 103 issued U.S. patents, 43 issued European patents (which have been validated in various European countries resulting in a total of approximately 395 national patents in European countries) and including two European patents with unitary effect, and 126 issued patents in other foreign countries, 116 pending U.S. patent applications, 74 pending European patent applications and 311 pending patent applications in other foreign countries and 18 pending PCT patent applications. These patents include claims relating to our mRNA technology platform, our proprietary LNP technology and other product candidates. We believe our patent applications and other patents are the most cited among mRNA companies’ intellectual property.</w:t>
      </w:r>
    </w:p>
    <w:p>
      <w:pPr>
        <w:spacing w:after="0" w:line="185" w:lineRule="exact"/>
        <w:rPr>
          <w:rFonts w:ascii="Times New Roman" w:cs="Times New Roman" w:eastAsia="Times New Roman" w:hAnsi="Times New Roman"/>
          <w:sz w:val="18"/>
          <w:szCs w:val="18"/>
          <w:color w:val="auto"/>
        </w:rPr>
      </w:pPr>
    </w:p>
    <w:p>
      <w:pPr>
        <w:ind w:left="680" w:right="60" w:hanging="321"/>
        <w:spacing w:after="0" w:line="255"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have a long history of mRNA research and development and are led by an experienced management team. </w:t>
      </w:r>
      <w:r>
        <w:rPr>
          <w:rFonts w:ascii="Times New Roman" w:cs="Times New Roman" w:eastAsia="Times New Roman" w:hAnsi="Times New Roman"/>
          <w:sz w:val="18"/>
          <w:szCs w:val="18"/>
          <w:color w:val="auto"/>
        </w:rPr>
        <w:t>We are led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veterans of the biopharmaceutical industry with extensive experience in nucleic acid therapy, oncology, rare and infectious diseases and antibodies. Our management team as well as our supervisory board members have broad expertise in the clinical, regulatory and commercialization aspects of oncology, prophylactic vaccines and rare diseases as well as in drug development, process development and manufacturing for mRNA-based medicines. Members of our management team have held senior positions at Novartis, Ipsen, Sanofi, Roche, Roche/Genentech, Merck KGaA, Schering Plough, Pixium Vision and other companies. As of December 31, 2023, our broader team included 294 individuals with advanced scientific degrees working on advancing our mRNA platform.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Our goal is to build a leading, fully integrated mRNA-based medicines company that can transform the lives of people. The key components of our strategy include:</w:t>
      </w:r>
    </w:p>
    <w:p>
      <w:pPr>
        <w:spacing w:after="0" w:line="158" w:lineRule="exact"/>
        <w:rPr>
          <w:sz w:val="20"/>
          <w:szCs w:val="20"/>
          <w:color w:val="auto"/>
        </w:rPr>
      </w:pPr>
    </w:p>
    <w:p>
      <w:pPr>
        <w:ind w:left="680" w:right="80" w:hanging="321"/>
        <w:spacing w:after="0" w:line="256"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invest in our proprietary technology platform to be the leading mRNA platform company. </w:t>
      </w:r>
      <w:r>
        <w:rPr>
          <w:rFonts w:ascii="Times New Roman" w:cs="Times New Roman" w:eastAsia="Times New Roman" w:hAnsi="Times New Roman"/>
          <w:sz w:val="18"/>
          <w:szCs w:val="18"/>
          <w:color w:val="auto"/>
        </w:rPr>
        <w:t>We intend to invest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proprietary technology platform to broaden its potential across therapeutic areas, in addition to broadening our pipeline in existing therapeutic areas. We believe our continued investment will enable us to further optimize the three core pillars of our technology platform — protein design, mRNA optimization and mRNA delivery — and to further enhance our treatment approaches by offering higher selectivity, greater protein expression, potential combination therapies and reduced or flexible dosing. We are continuing to build on our deep expertise in mRNA-based medicines based on what we have learned from our current programs to apply to our future programs.</w:t>
      </w:r>
    </w:p>
    <w:p>
      <w:pPr>
        <w:spacing w:after="0" w:line="182" w:lineRule="exact"/>
        <w:rPr>
          <w:rFonts w:ascii="Times New Roman" w:cs="Times New Roman" w:eastAsia="Times New Roman" w:hAnsi="Times New Roman"/>
          <w:sz w:val="18"/>
          <w:szCs w:val="18"/>
          <w:color w:val="auto"/>
        </w:rPr>
      </w:pPr>
    </w:p>
    <w:p>
      <w:pPr>
        <w:ind w:left="680" w:right="60" w:hanging="321"/>
        <w:spacing w:after="0" w:line="259"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Utilize a rational disease selection approach to minimize clinical and commercial risk for our programs and broader platform. </w:t>
      </w:r>
      <w:r>
        <w:rPr>
          <w:rFonts w:ascii="Times New Roman" w:cs="Times New Roman" w:eastAsia="Times New Roman" w:hAnsi="Times New Roman"/>
          <w:sz w:val="18"/>
          <w:szCs w:val="18"/>
          <w:color w:val="auto"/>
        </w:rPr>
        <w:t>Our strategy is to maximize the potential of our technology platform through our rational disease selection approach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clinical development. We are initially targeting diseases that require an active immune response (such as prophylactic vaccines and cancer vaccines) and require transient expression of mRNA in tissue types that are more easily accessible. We are also developing a product portfolio targeting diseases that require an immune silent approach (such as molecular therapy).</w:t>
      </w:r>
    </w:p>
    <w:p>
      <w:pPr>
        <w:spacing w:after="0" w:line="179" w:lineRule="exact"/>
        <w:rPr>
          <w:rFonts w:ascii="Times New Roman" w:cs="Times New Roman" w:eastAsia="Times New Roman" w:hAnsi="Times New Roman"/>
          <w:sz w:val="18"/>
          <w:szCs w:val="18"/>
          <w:color w:val="auto"/>
        </w:rPr>
      </w:pPr>
    </w:p>
    <w:p>
      <w:pPr>
        <w:ind w:left="680" w:right="20" w:hanging="321"/>
        <w:spacing w:after="0" w:line="268" w:lineRule="auto"/>
        <w:tabs>
          <w:tab w:leader="none" w:pos="6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Rapidly advance our lead product candidates through clinical development and regulatory approval. </w:t>
      </w:r>
      <w:r>
        <w:rPr>
          <w:rFonts w:ascii="Times New Roman" w:cs="Times New Roman" w:eastAsia="Times New Roman" w:hAnsi="Times New Roman"/>
          <w:sz w:val="17"/>
          <w:szCs w:val="17"/>
          <w:color w:val="auto"/>
        </w:rPr>
        <w:t>Our product candidates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are currently in preclinical or clinical development stages. In COVID-19, we are currently conducting a Phase 2 clinical study assessing the monovalent mRNA vaccine candidate, CV0601, which encodes the Omicron BA.4-5 variant and the bivalent mRNA candidate, CV0701, which encodes the Omicron BA.4-5 variant as well as the original SARS-CoV-2 virus. The candidates are tested in direct comparison to a licensed bivalent mRNA-based COVID-19 comparator vaccine. Results from a formal interim analysis were announced on January 5, 2024, and showed that both candidates exhibited a favorable reactogenicity profile across all tested doses and were generally well tolerated. Both candidates produced meaningful immune responses beginning at the lowest tested dose. Interim immunogenicity data showed titers of neutralizing antibodies for both candidates, which matched or numerically exceeded the titers induced by the licensed comparator vaccine at all tested doses except for the low dose level of CV0701. In seasonal influenza, within the broader second-generation infectious disease program we are developing in collaboration with GSK, we are conducting a combined Phase 1/2 study. The currently ongoing Phase 2 part of the study assesses a multivalent candidate, which was designed for broad antigen coverage, encoding antigens matched to all four WHO-recommended flu strains. In oncology, we are conducting a Phase 1 study in patients with newly diagnosed surgically resected glioblastoma, initiated in June 2023. The study evaluates the safety and tolerability of CVGBM, a cancer vaccine candidate featuring a single unmodified mRNA encoding eight epitopes derived from known tumor-associated antigens with demonstrated immunogenicity in glioblastoma. A first data readout is expected in the second half of 2024.</w:t>
      </w:r>
    </w:p>
    <w:p>
      <w:pPr>
        <w:spacing w:after="0" w:line="183" w:lineRule="exact"/>
        <w:rPr>
          <w:sz w:val="20"/>
          <w:szCs w:val="20"/>
          <w:color w:val="auto"/>
        </w:rPr>
      </w:pPr>
    </w:p>
    <w:p>
      <w:pPr>
        <w:ind w:left="660" w:right="200"/>
        <w:spacing w:after="0" w:line="266" w:lineRule="auto"/>
        <w:rPr>
          <w:sz w:val="20"/>
          <w:szCs w:val="20"/>
          <w:color w:val="auto"/>
        </w:rPr>
      </w:pPr>
      <w:r>
        <w:rPr>
          <w:rFonts w:ascii="Times New Roman" w:cs="Times New Roman" w:eastAsia="Times New Roman" w:hAnsi="Times New Roman"/>
          <w:sz w:val="18"/>
          <w:szCs w:val="18"/>
          <w:color w:val="auto"/>
        </w:rPr>
        <w:t>We believe that by initially targeting diseases with high unmet medical need, we will be able to rapidly advance our programs through clinical development. We intend to pursue the appropriate regulatory pathways available to further accelerate our development efforts.</w:t>
      </w:r>
    </w:p>
    <w:p>
      <w:pPr>
        <w:spacing w:after="0" w:line="131" w:lineRule="exact"/>
        <w:rPr>
          <w:sz w:val="20"/>
          <w:szCs w:val="20"/>
          <w:color w:val="auto"/>
        </w:rPr>
      </w:pPr>
    </w:p>
    <w:p>
      <w:pPr>
        <w:ind w:left="680" w:hanging="321"/>
        <w:spacing w:after="0" w:line="254"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invest in our manufacturing capabilities across all manufacturing steps from starting material to formulation to further add scale and flexibility. </w:t>
      </w:r>
      <w:r>
        <w:rPr>
          <w:rFonts w:ascii="Times New Roman" w:cs="Times New Roman" w:eastAsia="Times New Roman" w:hAnsi="Times New Roman"/>
          <w:sz w:val="18"/>
          <w:szCs w:val="18"/>
          <w:color w:val="auto"/>
        </w:rPr>
        <w:t>We believe that our manufacturing capabilities are a key strategic advantage that offer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flexibility, scalability, versatility and reliability in discovery and development. We are currently building our GMP IV facility, which is being designed to cover all manufacturing steps from starting material to formulation. In addition, we are developing a new integrated and automated process for manufacturing of mRNA vaccines and therapeutics, The RNA Printer®. The RNA Printer® is CureVac’s end-to-end solution for integrated and automated manufacturing of small-scale quantities of GMP-grade mRNA vaccines and therapeutics. On April 24, 2024, we announced that the system achieved an important milestone in an ongoing regulatory review process. The system was granted a framework license that significantly broadens its regulatory freedom and flexibility to manufacture different mRNA vaccine candidates in support CureVac’s oncology strategy. The framework license represents an extension of the initial manufacturing license CureVac announced on November 14, 2023.</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right="120" w:hanging="321"/>
        <w:spacing w:after="0" w:line="255"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Selectively seek strategic partners to develop and commercialize product candidates in certain therapeutic areas and geographies. </w:t>
      </w:r>
      <w:r>
        <w:rPr>
          <w:rFonts w:ascii="Times New Roman" w:cs="Times New Roman" w:eastAsia="Times New Roman" w:hAnsi="Times New Roman"/>
          <w:sz w:val="18"/>
          <w:szCs w:val="18"/>
          <w:color w:val="auto"/>
        </w:rPr>
        <w:t>We plan to continue to seek additional partnerships with other leading biopharmaceutical companies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specialized capabilities, including development and commercialization expertise in selected therapeutic areas and geographies. We may pursue partnerships that allow us to expedite the discovery and development of product candidates, complement our internal development expertise, broaden the breadth of our technology platform, and provide us with non-dilutive financing, while allowing us to retain economic rights to our product candidates that we view as strategically important. Our approach of partnering with biopharmaceutical companies allows us to execute on a broad range of programs simultaneously, while mitigating our drug development risk.</w:t>
      </w:r>
    </w:p>
    <w:p>
      <w:pPr>
        <w:spacing w:after="0" w:line="184" w:lineRule="exact"/>
        <w:rPr>
          <w:rFonts w:ascii="Times New Roman" w:cs="Times New Roman" w:eastAsia="Times New Roman" w:hAnsi="Times New Roman"/>
          <w:sz w:val="18"/>
          <w:szCs w:val="18"/>
          <w:color w:val="auto"/>
        </w:rPr>
      </w:pPr>
    </w:p>
    <w:p>
      <w:pPr>
        <w:ind w:left="680" w:right="20" w:hanging="321"/>
        <w:spacing w:after="0" w:line="254"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Seek strategic acquisitions or in-licenses of technology or assets that are complementary to our programs and technology platform. </w:t>
      </w:r>
      <w:r>
        <w:rPr>
          <w:rFonts w:ascii="Times New Roman" w:cs="Times New Roman" w:eastAsia="Times New Roman" w:hAnsi="Times New Roman"/>
          <w:sz w:val="18"/>
          <w:szCs w:val="18"/>
          <w:color w:val="auto"/>
        </w:rPr>
        <w:t>mRNA-based medicines is an emerging field with ongoing advancements and discoveries. As the pioneers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field, we have made significant strides in advancing and optimizing our technology platform over the past 23 years. We may seek acquisitions and in-licensing opportunities that can augment our internal expertise, expand our competitive differentiation and further enhance our mRNA technology platform. In June 2022, we announced the acquisition of Frame Cancer Therapeutics, a private company focused on advanced genomics and bioinformatics, to identify both shared and unique neoantigens across different cancer types. The acquisition complements existing in-house expertise to identify and validate promising antigens for mRNA cancer vaccine candidates. The acquired technologies will support the development of a strong antigen discovery engine, which has the potential to identify a broad panel of neoantigens and tumor-associated antigens that go beyond conventional approaches and could strongly increase the likelihood of developing highly effective cancer vaccines that activate the human immune system against cancer.</w:t>
      </w:r>
    </w:p>
    <w:p>
      <w:pPr>
        <w:spacing w:after="0" w:line="182" w:lineRule="exact"/>
        <w:rPr>
          <w:rFonts w:ascii="Times New Roman" w:cs="Times New Roman" w:eastAsia="Times New Roman" w:hAnsi="Times New Roman"/>
          <w:sz w:val="18"/>
          <w:szCs w:val="18"/>
          <w:color w:val="auto"/>
        </w:rPr>
      </w:pPr>
    </w:p>
    <w:p>
      <w:pPr>
        <w:ind w:left="680" w:right="40" w:hanging="321"/>
        <w:spacing w:after="0" w:line="259"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Strengthen and expand our intellectual property portfolio to protect our scientific and technical know-how. </w:t>
      </w:r>
      <w:r>
        <w:rPr>
          <w:rFonts w:ascii="Times New Roman" w:cs="Times New Roman" w:eastAsia="Times New Roman" w:hAnsi="Times New Roman"/>
          <w:sz w:val="18"/>
          <w:szCs w:val="18"/>
          <w:color w:val="auto"/>
        </w:rPr>
        <w:t>We intend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strengthen and expand our intellectual property to protect our advances in scientific and technical know-how. Our intellectual property strategy is focused on covering advancements in our technology platform, manufacturing processes, and product candidates. In addition to patent protection, we also rely on trade secrets and confidentiality agreements to protect other proprietary information that is not patentable or that we elect not to patent.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mRNA Therapeutics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Role of mRNA</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mRNA-based medicines represent a novel class of medicine that have the potential to address limitations of conventional treatment modalities. We believe the modular nature of mRNA has the potential for higher efficacy, greater speed and lower cost of production as compared to conventional treatment modalities. mRNA delivery enables direct production of any protein (secreted, membrane and intracellular) in the body and has shown a wide range of activity. The flexible chemical structure of mRNA, utilizing only four nucleotide buildings blocks, allows us to encode for a broad range of proteins with simple sequence changes, offering design versatility, specificity and limited off-target effects. Transient expression of mRNA limits the risk of irreversible changes to the cells’ DNA and allows for flexible dosing based on a patient’s needs as well as the opportunity for repeat dosing. We are leveraging these inherent advantages of mRNA-based medicines in the development of our mRNA technology platform.</w:t>
      </w:r>
    </w:p>
    <w:p>
      <w:pPr>
        <w:spacing w:after="0" w:line="19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We have built an extensive expertise in the fields of mRNA biology, optimization and production. We have continued to invest in developing our technology platform, which we refer to as the RNAoptimizer, over the past 23 years. Our differentiated technology platform is designed to optimize each component of the mRNA-based medicine. Our RNAoptimizer platform is built on three core pillars:</w:t>
      </w:r>
    </w:p>
    <w:p>
      <w:pPr>
        <w:spacing w:after="0" w:line="176" w:lineRule="exact"/>
        <w:rPr>
          <w:sz w:val="20"/>
          <w:szCs w:val="20"/>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Protein design: </w:t>
      </w:r>
      <w:r>
        <w:rPr>
          <w:rFonts w:ascii="Times New Roman" w:cs="Times New Roman" w:eastAsia="Times New Roman" w:hAnsi="Times New Roman"/>
          <w:sz w:val="18"/>
          <w:szCs w:val="18"/>
          <w:color w:val="auto"/>
        </w:rPr>
        <w:t>optimizing the specific properties of encoded protein;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mRNA optimization: </w:t>
      </w:r>
      <w:r>
        <w:rPr>
          <w:rFonts w:ascii="Times New Roman" w:cs="Times New Roman" w:eastAsia="Times New Roman" w:hAnsi="Times New Roman"/>
          <w:sz w:val="18"/>
          <w:szCs w:val="18"/>
          <w:color w:val="auto"/>
        </w:rPr>
        <w:t>optimizing characteristics such as half-life and translation efficacy of the mRNA molecule; and</w:t>
      </w:r>
    </w:p>
    <w:p>
      <w:pPr>
        <w:spacing w:after="0" w:line="225" w:lineRule="exact"/>
        <w:rPr>
          <w:rFonts w:ascii="Times New Roman" w:cs="Times New Roman" w:eastAsia="Times New Roman" w:hAnsi="Times New Roman"/>
          <w:sz w:val="18"/>
          <w:szCs w:val="18"/>
          <w:color w:val="auto"/>
        </w:rPr>
      </w:pPr>
    </w:p>
    <w:p>
      <w:pPr>
        <w:ind w:left="680" w:right="380" w:hanging="321"/>
        <w:spacing w:after="0" w:line="286"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mRNA delivery: </w:t>
      </w:r>
      <w:r>
        <w:rPr>
          <w:rFonts w:ascii="Times New Roman" w:cs="Times New Roman" w:eastAsia="Times New Roman" w:hAnsi="Times New Roman"/>
          <w:sz w:val="18"/>
          <w:szCs w:val="18"/>
          <w:color w:val="auto"/>
        </w:rPr>
        <w:t>selecting the best-suited delivery system from our diverse portfolio of proprietary and third-party delivery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mRNA is a molecule instructing the translation of genetic information encoded in DNA by cells into proteins, which carry out essential cellular functions. As depicted in the figure below, genetic information stored in DNA is transferred to mRNA in a process called transcription in the cell nucleus. In transcription, double-stranded DNA is temporarily unwound and copied into single-stranded mRNA by the enzyme RNA polymerase. mRNA is then transported to the cytoplasm where it instructs synthesis of proteins through a process called translation. In translation, cellular structures called ribosomes decode mRNA bases in groups of three (called codons) as amino acids. Each codon specifies a particular amino acid, and amino acids are the building blocks of protein molecules which perform distinct functions within the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131445</wp:posOffset>
            </wp:positionV>
            <wp:extent cx="4954905" cy="2057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5490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Existing Treatment Modalities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There are several existing treatment modalities that seek to address the underlying cause of absent or defective proteins associated with diseases, including protein replacement therapy, gene therapy, gene editing, RNA interference and small molecule therapies. Other treatment modalities seek to harness the immune system, including antibody therapies and traditional prophylactic vaccines. Each of these treatment modalities have certain limitations as discussed below:</w:t>
      </w:r>
    </w:p>
    <w:p>
      <w:pPr>
        <w:spacing w:after="0" w:line="178" w:lineRule="exact"/>
        <w:rPr>
          <w:sz w:val="20"/>
          <w:szCs w:val="20"/>
          <w:color w:val="auto"/>
        </w:rPr>
      </w:pPr>
    </w:p>
    <w:p>
      <w:pPr>
        <w:ind w:left="680" w:right="20" w:hanging="321"/>
        <w:spacing w:after="0" w:line="284"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Protein Replacement Therapy: </w:t>
      </w:r>
      <w:r>
        <w:rPr>
          <w:rFonts w:ascii="Times New Roman" w:cs="Times New Roman" w:eastAsia="Times New Roman" w:hAnsi="Times New Roman"/>
          <w:sz w:val="18"/>
          <w:szCs w:val="18"/>
          <w:color w:val="auto"/>
        </w:rPr>
        <w:t>While this approach has been successfully used to treat a subset of protein-based disorders,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mostly limited to proteins that function outside of the cell.</w:t>
      </w:r>
    </w:p>
    <w:p>
      <w:pPr>
        <w:spacing w:after="0" w:line="158" w:lineRule="exact"/>
        <w:rPr>
          <w:rFonts w:ascii="Times New Roman" w:cs="Times New Roman" w:eastAsia="Times New Roman" w:hAnsi="Times New Roman"/>
          <w:sz w:val="18"/>
          <w:szCs w:val="18"/>
          <w:color w:val="auto"/>
        </w:rPr>
      </w:pPr>
    </w:p>
    <w:p>
      <w:pPr>
        <w:ind w:left="680" w:right="220" w:hanging="321"/>
        <w:spacing w:after="0" w:line="261"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Antibody Therapy: </w:t>
      </w:r>
      <w:r>
        <w:rPr>
          <w:rFonts w:ascii="Times New Roman" w:cs="Times New Roman" w:eastAsia="Times New Roman" w:hAnsi="Times New Roman"/>
          <w:sz w:val="18"/>
          <w:szCs w:val="18"/>
          <w:color w:val="auto"/>
        </w:rPr>
        <w:t>Antibody therapeutics are largely administered intravenously and, being proteins themselves,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largely limited to surface molecules. In addition, antibodies have historically faced challenges due to their relatively large size, inadequate pharmacokinetics and tissue accessibility as well as unwanted interactions with the immune system.</w:t>
      </w:r>
    </w:p>
    <w:p>
      <w:pPr>
        <w:spacing w:after="0" w:line="179" w:lineRule="exact"/>
        <w:rPr>
          <w:rFonts w:ascii="Times New Roman" w:cs="Times New Roman" w:eastAsia="Times New Roman" w:hAnsi="Times New Roman"/>
          <w:sz w:val="18"/>
          <w:szCs w:val="18"/>
          <w:color w:val="auto"/>
        </w:rPr>
      </w:pPr>
    </w:p>
    <w:p>
      <w:pPr>
        <w:ind w:left="680" w:right="120" w:hanging="321"/>
        <w:spacing w:after="0" w:line="261"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 Therapy: </w:t>
      </w:r>
      <w:r>
        <w:rPr>
          <w:rFonts w:ascii="Times New Roman" w:cs="Times New Roman" w:eastAsia="Times New Roman" w:hAnsi="Times New Roman"/>
          <w:sz w:val="18"/>
          <w:szCs w:val="18"/>
          <w:color w:val="auto"/>
        </w:rPr>
        <w:t>Gene therapy is usually a one-time intervention meant to provide lasting levels of therapeutic protein.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a one-time treatment, the duration of treatment efficacy is still largely unknown and it may not be amenable to repeat dosing due to neutralizing antibodies against the gene therapy vehicle. In addition, large-scale manufacturing is costly, time consuming and complex.</w:t>
      </w:r>
    </w:p>
    <w:p>
      <w:pPr>
        <w:spacing w:after="0" w:line="179" w:lineRule="exact"/>
        <w:rPr>
          <w:rFonts w:ascii="Times New Roman" w:cs="Times New Roman" w:eastAsia="Times New Roman" w:hAnsi="Times New Roman"/>
          <w:sz w:val="18"/>
          <w:szCs w:val="18"/>
          <w:color w:val="auto"/>
        </w:rPr>
      </w:pPr>
    </w:p>
    <w:p>
      <w:pPr>
        <w:ind w:left="680" w:hanging="321"/>
        <w:spacing w:after="0" w:line="267"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 Editing: </w:t>
      </w:r>
      <w:r>
        <w:rPr>
          <w:rFonts w:ascii="Times New Roman" w:cs="Times New Roman" w:eastAsia="Times New Roman" w:hAnsi="Times New Roman"/>
          <w:sz w:val="18"/>
          <w:szCs w:val="18"/>
          <w:color w:val="auto"/>
        </w:rPr>
        <w:t>Despite its promise, gene editing is still in the early-stages of development and has potential risks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unwanted on and off-target DNA modifications, incomplete targeting or mosaicism that hinder intended modifications. Similar to gene therapies, manufacturing complexities and costs for gene editing are also challenging.</w:t>
      </w:r>
    </w:p>
    <w:p>
      <w:pPr>
        <w:spacing w:after="0" w:line="173" w:lineRule="exact"/>
        <w:rPr>
          <w:rFonts w:ascii="Times New Roman" w:cs="Times New Roman" w:eastAsia="Times New Roman" w:hAnsi="Times New Roman"/>
          <w:sz w:val="18"/>
          <w:szCs w:val="18"/>
          <w:color w:val="auto"/>
        </w:rPr>
      </w:pPr>
    </w:p>
    <w:p>
      <w:pPr>
        <w:ind w:left="680" w:right="300" w:hanging="321"/>
        <w:spacing w:after="0" w:line="267"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RNA Interference: </w:t>
      </w:r>
      <w:r>
        <w:rPr>
          <w:rFonts w:ascii="Times New Roman" w:cs="Times New Roman" w:eastAsia="Times New Roman" w:hAnsi="Times New Roman"/>
          <w:sz w:val="18"/>
          <w:szCs w:val="18"/>
          <w:color w:val="auto"/>
        </w:rPr>
        <w:t>RNA interference has potential in silencing certain genes but has limitations in replacing defective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missing proteins, as well as highly expressed proteins. Most of the current efforts in this treatment modality are focused on genes expressed in the liver, with limited evidence of applications in extra-hepatic tissues.</w:t>
      </w:r>
    </w:p>
    <w:p>
      <w:pPr>
        <w:spacing w:after="0" w:line="173" w:lineRule="exact"/>
        <w:rPr>
          <w:rFonts w:ascii="Times New Roman" w:cs="Times New Roman" w:eastAsia="Times New Roman" w:hAnsi="Times New Roman"/>
          <w:sz w:val="18"/>
          <w:szCs w:val="18"/>
          <w:color w:val="auto"/>
        </w:rPr>
      </w:pPr>
    </w:p>
    <w:p>
      <w:pPr>
        <w:ind w:left="680" w:right="560" w:hanging="321"/>
        <w:spacing w:after="0" w:line="267"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Small Molecule: </w:t>
      </w:r>
      <w:r>
        <w:rPr>
          <w:rFonts w:ascii="Times New Roman" w:cs="Times New Roman" w:eastAsia="Times New Roman" w:hAnsi="Times New Roman"/>
          <w:sz w:val="18"/>
          <w:szCs w:val="18"/>
          <w:color w:val="auto"/>
        </w:rPr>
        <w:t>While small molecules offer advantages over other treatment modalities in terms of biodistribution,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tolerability, and delivery, they do not directly address specific gene defects and have a high potential to cause off-target toxicities.</w:t>
      </w:r>
    </w:p>
    <w:p>
      <w:pPr>
        <w:sectPr>
          <w:pgSz w:w="11900" w:h="16838" w:orient="portrait"/>
          <w:cols w:equalWidth="0" w:num="1">
            <w:col w:w="9820"/>
          </w:cols>
          <w:pgMar w:left="980" w:top="661" w:right="1099" w:bottom="1440" w:gutter="0" w:footer="0" w:header="0"/>
        </w:sectPr>
      </w:pP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80" w:right="240" w:hanging="321"/>
        <w:spacing w:after="0" w:line="267"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Traditional Prophylactic Vaccines: </w:t>
      </w:r>
      <w:r>
        <w:rPr>
          <w:rFonts w:ascii="Times New Roman" w:cs="Times New Roman" w:eastAsia="Times New Roman" w:hAnsi="Times New Roman"/>
          <w:sz w:val="18"/>
          <w:szCs w:val="18"/>
          <w:color w:val="auto"/>
        </w:rPr>
        <w:t>While traditional prophylactic vaccines are one of the most successful and cost-effective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health interventions, their complex development and costly production processes create a high barrier to entry, long development cycle and limitation in developing vaccines with high serotype coverage.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mRNA as a Novel Treatment Modality</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mRNA, as the universal template for protein synthesis, can direct the synthesis of any protein in the body. To treat a medical condition, we identify a target protein and encode the information required to synthesize this protein on the mRNA. The mRNA, optimized using our platform, carries this code to give a patient’s body the information to produce its own, custom-tailored protein as medicine.</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mRNAs are typically characterized by their rate of translation into protein and their short and predictable, yet steerable half-life. We optimize these mRNA properties for specific therapeutic needs to provide the most efficacious mRNA-based medicine. mRNAs provide the flexibility to deliver medicines that are required for a limited time as well as the opportunity to deliver repeated doses that can be adjusted to patient needs. The development and manufacturing of mRNA-based medicines can also proceed much more quickly than traditional protein-based therapies, including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128270</wp:posOffset>
            </wp:positionV>
            <wp:extent cx="5349240" cy="23399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potential advantages of mRNA therapies that could position it as a novel treatment modality include:</w:t>
      </w:r>
    </w:p>
    <w:p>
      <w:pPr>
        <w:spacing w:after="0" w:line="223" w:lineRule="exact"/>
        <w:rPr>
          <w:sz w:val="20"/>
          <w:szCs w:val="20"/>
          <w:color w:val="auto"/>
        </w:rPr>
      </w:pPr>
    </w:p>
    <w:p>
      <w:pPr>
        <w:ind w:left="680" w:right="420" w:hanging="321"/>
        <w:spacing w:after="0" w:line="284" w:lineRule="auto"/>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 application: </w:t>
      </w:r>
      <w:r>
        <w:rPr>
          <w:rFonts w:ascii="Times New Roman" w:cs="Times New Roman" w:eastAsia="Times New Roman" w:hAnsi="Times New Roman"/>
          <w:sz w:val="18"/>
          <w:szCs w:val="18"/>
          <w:color w:val="auto"/>
        </w:rPr>
        <w:t>mRNA has the ability to produce all types of proteins, including secreted, membrane and intracellular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proteins. This enables broad applicability across a variety of diseases.</w:t>
      </w:r>
    </w:p>
    <w:p>
      <w:pPr>
        <w:spacing w:after="0" w:line="158" w:lineRule="exact"/>
        <w:rPr>
          <w:rFonts w:ascii="Times New Roman" w:cs="Times New Roman" w:eastAsia="Times New Roman" w:hAnsi="Times New Roman"/>
          <w:sz w:val="18"/>
          <w:szCs w:val="18"/>
          <w:color w:val="auto"/>
        </w:rPr>
      </w:pPr>
    </w:p>
    <w:p>
      <w:pPr>
        <w:ind w:left="680" w:right="260" w:hanging="321"/>
        <w:spacing w:after="0" w:line="284" w:lineRule="auto"/>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Natural biology: </w:t>
      </w:r>
      <w:r>
        <w:rPr>
          <w:rFonts w:ascii="Times New Roman" w:cs="Times New Roman" w:eastAsia="Times New Roman" w:hAnsi="Times New Roman"/>
          <w:sz w:val="18"/>
          <w:szCs w:val="18"/>
          <w:color w:val="auto"/>
        </w:rPr>
        <w:t>mRNAs mimic human biology to produce proteins in the body in contrast to recombinant proteins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manufactured using processes that are foreign to the body.</w:t>
      </w:r>
    </w:p>
    <w:p>
      <w:pPr>
        <w:spacing w:after="0" w:line="15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Wide range of activity: </w:t>
      </w:r>
      <w:r>
        <w:rPr>
          <w:rFonts w:ascii="Times New Roman" w:cs="Times New Roman" w:eastAsia="Times New Roman" w:hAnsi="Times New Roman"/>
          <w:sz w:val="18"/>
          <w:szCs w:val="18"/>
          <w:color w:val="auto"/>
        </w:rPr>
        <w:t>mRNAs can be used to create therapies that can be applied as an agonist, an antagonist or for vaccines.</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4" w:lineRule="auto"/>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Flexibility: </w:t>
      </w:r>
      <w:r>
        <w:rPr>
          <w:rFonts w:ascii="Times New Roman" w:cs="Times New Roman" w:eastAsia="Times New Roman" w:hAnsi="Times New Roman"/>
          <w:sz w:val="18"/>
          <w:szCs w:val="18"/>
          <w:color w:val="auto"/>
        </w:rPr>
        <w:t>A large number of alternative mRNA candidates can be generated in a short time and tested to optimize both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mRNA and protein format.</w:t>
      </w:r>
    </w:p>
    <w:p>
      <w:pPr>
        <w:spacing w:after="0" w:line="158"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Design versatility: </w:t>
      </w:r>
      <w:r>
        <w:rPr>
          <w:rFonts w:ascii="Times New Roman" w:cs="Times New Roman" w:eastAsia="Times New Roman" w:hAnsi="Times New Roman"/>
          <w:sz w:val="18"/>
          <w:szCs w:val="18"/>
          <w:color w:val="auto"/>
        </w:rPr>
        <w:t>Therapeutic protein expressed from mRNA</w:t>
      </w:r>
      <w:r>
        <w:rPr>
          <w:rFonts w:ascii="Times New Roman" w:cs="Times New Roman" w:eastAsia="Times New Roman" w:hAnsi="Times New Roman"/>
          <w:sz w:val="18"/>
          <w:szCs w:val="18"/>
          <w:i w:val="1"/>
          <w:iCs w:val="1"/>
          <w:color w:val="auto"/>
        </w:rPr>
        <w:t xml:space="preserve"> in situ </w:t>
      </w:r>
      <w:r>
        <w:rPr>
          <w:rFonts w:ascii="Times New Roman" w:cs="Times New Roman" w:eastAsia="Times New Roman" w:hAnsi="Times New Roman"/>
          <w:sz w:val="18"/>
          <w:szCs w:val="18"/>
          <w:color w:val="auto"/>
        </w:rPr>
        <w:t>can be designed for efficacy without being limited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constraints which recombinant proteins are subject to.</w:t>
      </w:r>
    </w:p>
    <w:p>
      <w:pPr>
        <w:spacing w:after="0" w:line="158" w:lineRule="exact"/>
        <w:rPr>
          <w:rFonts w:ascii="Times New Roman" w:cs="Times New Roman" w:eastAsia="Times New Roman" w:hAnsi="Times New Roman"/>
          <w:sz w:val="18"/>
          <w:szCs w:val="18"/>
          <w:color w:val="auto"/>
        </w:rPr>
      </w:pPr>
    </w:p>
    <w:p>
      <w:pPr>
        <w:ind w:left="680" w:right="280" w:hanging="321"/>
        <w:spacing w:after="0" w:line="284" w:lineRule="auto"/>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Specificity: </w:t>
      </w:r>
      <w:r>
        <w:rPr>
          <w:rFonts w:ascii="Times New Roman" w:cs="Times New Roman" w:eastAsia="Times New Roman" w:hAnsi="Times New Roman"/>
          <w:sz w:val="18"/>
          <w:szCs w:val="18"/>
          <w:color w:val="auto"/>
        </w:rPr>
        <w:t>mRNA-based medicines encode proteins which offer much higher specificity of interactions compared to small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molecule drugs, which limits any potential off-target effects.</w:t>
      </w: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Repeat dosing: </w:t>
      </w:r>
      <w:r>
        <w:rPr>
          <w:rFonts w:ascii="Times New Roman" w:cs="Times New Roman" w:eastAsia="Times New Roman" w:hAnsi="Times New Roman"/>
          <w:sz w:val="18"/>
          <w:szCs w:val="18"/>
          <w:color w:val="auto"/>
        </w:rPr>
        <w:t>mRNA-based medicines can be dosed repeatedly given their low immunogenicity.</w:t>
      </w:r>
    </w:p>
    <w:p>
      <w:pPr>
        <w:spacing w:after="0" w:line="225" w:lineRule="exact"/>
        <w:rPr>
          <w:rFonts w:ascii="Times New Roman" w:cs="Times New Roman" w:eastAsia="Times New Roman" w:hAnsi="Times New Roman"/>
          <w:sz w:val="18"/>
          <w:szCs w:val="18"/>
          <w:color w:val="auto"/>
        </w:rPr>
      </w:pPr>
    </w:p>
    <w:p>
      <w:pPr>
        <w:ind w:left="680" w:right="220" w:hanging="321"/>
        <w:spacing w:after="0" w:line="267" w:lineRule="auto"/>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Transient expression: </w:t>
      </w:r>
      <w:r>
        <w:rPr>
          <w:rFonts w:ascii="Times New Roman" w:cs="Times New Roman" w:eastAsia="Times New Roman" w:hAnsi="Times New Roman"/>
          <w:sz w:val="18"/>
          <w:szCs w:val="18"/>
          <w:color w:val="auto"/>
        </w:rPr>
        <w:t>Short-lived expression of mRNA limits the risk of unforeseen adverse effects of lasting protein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expression (as seen in gene therapy and gene editing) and allows for modified dosing schedules adjusted based on a patient’s needs.</w:t>
      </w:r>
    </w:p>
    <w:p>
      <w:pPr>
        <w:spacing w:after="0" w:line="173" w:lineRule="exact"/>
        <w:rPr>
          <w:rFonts w:ascii="Times New Roman" w:cs="Times New Roman" w:eastAsia="Times New Roman" w:hAnsi="Times New Roman"/>
          <w:sz w:val="18"/>
          <w:szCs w:val="18"/>
          <w:color w:val="auto"/>
        </w:rPr>
      </w:pPr>
    </w:p>
    <w:p>
      <w:pPr>
        <w:ind w:left="680" w:right="40" w:hanging="321"/>
        <w:spacing w:after="0" w:line="284" w:lineRule="auto"/>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Manufacturing: </w:t>
      </w:r>
      <w:r>
        <w:rPr>
          <w:rFonts w:ascii="Times New Roman" w:cs="Times New Roman" w:eastAsia="Times New Roman" w:hAnsi="Times New Roman"/>
          <w:sz w:val="18"/>
          <w:szCs w:val="18"/>
          <w:color w:val="auto"/>
        </w:rPr>
        <w:t>mRNA production process is largely independent of the encoded protein as changes to the mRNA sequence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affect its chemical and physical properties, allowing for higher efficiency, greater speed and lower cost of production.</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Historical Challenges with Developing mRNA Treatments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Using mRNA as a treatment has long been of interest given its potential to address limitations of existing treatment modalities.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mRNA has historically been limited by the following theoretical and practical hurdles:</w:t>
      </w:r>
    </w:p>
    <w:p>
      <w:pPr>
        <w:spacing w:after="0" w:line="205" w:lineRule="exact"/>
        <w:rPr>
          <w:sz w:val="20"/>
          <w:szCs w:val="20"/>
          <w:color w:val="auto"/>
        </w:rPr>
      </w:pPr>
    </w:p>
    <w:p>
      <w:pPr>
        <w:ind w:left="680" w:right="280" w:hanging="321"/>
        <w:spacing w:after="0" w:line="284"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Stability: </w:t>
      </w:r>
      <w:r>
        <w:rPr>
          <w:rFonts w:ascii="Times New Roman" w:cs="Times New Roman" w:eastAsia="Times New Roman" w:hAnsi="Times New Roman"/>
          <w:sz w:val="18"/>
          <w:szCs w:val="18"/>
          <w:color w:val="auto"/>
        </w:rPr>
        <w:t>Naked mRNA is rapidly degraded by RNase enzymes present throughout the body which limits the duration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 effect. An effective mRNA would need to be masked from these enzymes.</w:t>
      </w:r>
    </w:p>
    <w:p>
      <w:pPr>
        <w:spacing w:after="0" w:line="158" w:lineRule="exact"/>
        <w:rPr>
          <w:rFonts w:ascii="Times New Roman" w:cs="Times New Roman" w:eastAsia="Times New Roman" w:hAnsi="Times New Roman"/>
          <w:sz w:val="18"/>
          <w:szCs w:val="18"/>
          <w:color w:val="auto"/>
        </w:rPr>
      </w:pPr>
    </w:p>
    <w:p>
      <w:pPr>
        <w:ind w:left="680" w:right="320" w:hanging="321"/>
        <w:spacing w:after="0" w:line="284"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Uptake by cells: </w:t>
      </w:r>
      <w:r>
        <w:rPr>
          <w:rFonts w:ascii="Times New Roman" w:cs="Times New Roman" w:eastAsia="Times New Roman" w:hAnsi="Times New Roman"/>
          <w:sz w:val="18"/>
          <w:szCs w:val="18"/>
          <w:color w:val="auto"/>
        </w:rPr>
        <w:t>Uptake of naked mRNA into cells is relatively inefficient. A more effective mRNA-based medicine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a delivery system that delivers mRNA efficiently into cells.</w:t>
      </w:r>
    </w:p>
    <w:p>
      <w:pPr>
        <w:spacing w:after="0" w:line="158"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Expression level: </w:t>
      </w:r>
      <w:r>
        <w:rPr>
          <w:rFonts w:ascii="Times New Roman" w:cs="Times New Roman" w:eastAsia="Times New Roman" w:hAnsi="Times New Roman"/>
          <w:sz w:val="18"/>
          <w:szCs w:val="18"/>
          <w:color w:val="auto"/>
        </w:rPr>
        <w:t>Protein expression levels from synthetic mRNA obtained by</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production have been considered too 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for therapeutic purposes, which underlines the need for an optimized mRNA construct.</w:t>
      </w:r>
    </w:p>
    <w:p>
      <w:pPr>
        <w:spacing w:after="0" w:line="158" w:lineRule="exact"/>
        <w:rPr>
          <w:rFonts w:ascii="Times New Roman" w:cs="Times New Roman" w:eastAsia="Times New Roman" w:hAnsi="Times New Roman"/>
          <w:sz w:val="18"/>
          <w:szCs w:val="18"/>
          <w:color w:val="auto"/>
        </w:rPr>
      </w:pPr>
    </w:p>
    <w:p>
      <w:pPr>
        <w:ind w:left="680" w:right="420" w:hanging="321"/>
        <w:spacing w:after="0" w:line="267"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Immunogenicity: </w:t>
      </w:r>
      <w:r>
        <w:rPr>
          <w:rFonts w:ascii="Times New Roman" w:cs="Times New Roman" w:eastAsia="Times New Roman" w:hAnsi="Times New Roman"/>
          <w:sz w:val="18"/>
          <w:szCs w:val="18"/>
          <w:color w:val="auto"/>
        </w:rPr>
        <w:t>Non-optimized mRNA in the body rapidly activates receptors on immune cells which triggers the innate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immune response and can lead to shut down of protein translation in cells. An effective mRNA-based medicine needs to modulate the immune system according to the disease indication being targeted.</w:t>
      </w:r>
    </w:p>
    <w:p>
      <w:pPr>
        <w:spacing w:after="0" w:line="173" w:lineRule="exact"/>
        <w:rPr>
          <w:rFonts w:ascii="Times New Roman" w:cs="Times New Roman" w:eastAsia="Times New Roman" w:hAnsi="Times New Roman"/>
          <w:sz w:val="18"/>
          <w:szCs w:val="18"/>
          <w:color w:val="auto"/>
        </w:rPr>
      </w:pPr>
    </w:p>
    <w:p>
      <w:pPr>
        <w:ind w:left="680" w:right="460" w:hanging="321"/>
        <w:spacing w:after="0" w:line="284"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Tissue targeting: </w:t>
      </w:r>
      <w:r>
        <w:rPr>
          <w:rFonts w:ascii="Times New Roman" w:cs="Times New Roman" w:eastAsia="Times New Roman" w:hAnsi="Times New Roman"/>
          <w:sz w:val="18"/>
          <w:szCs w:val="18"/>
          <w:color w:val="auto"/>
        </w:rPr>
        <w:t>Each indication requires delivery to a specific tissue. An effective mRNA-based medicine would need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system that efficiently delivers mRNA to a specific target tissue with low off-target delivery and toxicity.</w:t>
      </w:r>
    </w:p>
    <w:p>
      <w:pPr>
        <w:spacing w:after="0" w:line="158" w:lineRule="exact"/>
        <w:rPr>
          <w:rFonts w:ascii="Times New Roman" w:cs="Times New Roman" w:eastAsia="Times New Roman" w:hAnsi="Times New Roman"/>
          <w:sz w:val="18"/>
          <w:szCs w:val="18"/>
          <w:color w:val="auto"/>
        </w:rPr>
      </w:pPr>
    </w:p>
    <w:p>
      <w:pPr>
        <w:ind w:left="680" w:right="160" w:hanging="321"/>
        <w:spacing w:after="0" w:line="284"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Manufacturing: </w:t>
      </w:r>
      <w:r>
        <w:rPr>
          <w:rFonts w:ascii="Times New Roman" w:cs="Times New Roman" w:eastAsia="Times New Roman" w:hAnsi="Times New Roman"/>
          <w:sz w:val="18"/>
          <w:szCs w:val="18"/>
          <w:color w:val="auto"/>
        </w:rPr>
        <w:t>mRNA manufacturing technology must be scalable and cost-effective to enable large production for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trials and commercialization.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Platform</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therapeutic potential of mRNAs was discovered by our co-founders in 2000. As the pioneers in the field of mRNA, we have built extensive expertise in mRNA biology, optimization and production. We have developed our technology platform, called RNAoptimizer, through continued investments over the past 23 years. We believe that we have created the broadest and most versatile platform to develop optimized mRNA-based medicines that has potential to offer differentiated profile in terms of safety, stability and expression.</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optimization approach covers three pillars: protein design, mRNA optimization and mRNA delivery. Our approach is based on the extensive data libraries we have generated to date. To improve protein expression from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produced mRNA, we isolated high numbers of human natural mRNAs from different cells and identified elements which stabilize mRNA and improve their interaction with the cellular translation machinery. Our technology platform broadly spans unmodified and modified mRNA, as well as monovalent and multivalent formats. We continue to invest in all levels of optimization to improve the methods we currently employ and continue advancing mRNA-based medicines.</w:t>
      </w:r>
    </w:p>
    <w:p>
      <w:pPr>
        <w:spacing w:after="0" w:line="187"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We have a long track record of performing clinical trials with multiple product candidates since 2008. The data generated in these clinical trials has allowed us to better understand the biology of mRNA and to further accelerate development in new therapeutic areas and approaches. We were the first company to demonstrate that mRNA vaccines can induce protective antibody titers in naïve human subjects with a previous version of our current rabies vaccine product candidate.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product candidates consist of two major components: the protein-coding mRNA and a delivery vehicle. Once we have established delivery capability to a target tissue, we can design new product candidates that vary only in the mRNA component, which we expect will allow for rapid target and development candidate identification. We believe that this will enable our platform to be flexible and scalable as we develop additional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125730</wp:posOffset>
            </wp:positionV>
            <wp:extent cx="5040630" cy="2211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4063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process for creating novel mRNA therapies comprises the following three pillars:</w:t>
      </w:r>
    </w:p>
    <w:p>
      <w:pPr>
        <w:spacing w:after="0" w:line="221" w:lineRule="exact"/>
        <w:rPr>
          <w:sz w:val="20"/>
          <w:szCs w:val="20"/>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Protein Design: </w:t>
      </w:r>
      <w:r>
        <w:rPr>
          <w:rFonts w:ascii="Times New Roman" w:cs="Times New Roman" w:eastAsia="Times New Roman" w:hAnsi="Times New Roman"/>
          <w:sz w:val="18"/>
          <w:szCs w:val="18"/>
          <w:color w:val="auto"/>
        </w:rPr>
        <w:t>Our goal is to define the amino acid sequence to optimize specific properties of the encoded protein.</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6"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mRNA Optimization: </w:t>
      </w:r>
      <w:r>
        <w:rPr>
          <w:rFonts w:ascii="Times New Roman" w:cs="Times New Roman" w:eastAsia="Times New Roman" w:hAnsi="Times New Roman"/>
          <w:sz w:val="18"/>
          <w:szCs w:val="18"/>
          <w:color w:val="auto"/>
        </w:rPr>
        <w:t>Our goal is to define the nucleotide sequence of the mRNA encoding the optimized protein to improve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properties of the mRNA molecule.</w:t>
      </w:r>
    </w:p>
    <w:p>
      <w:pPr>
        <w:spacing w:after="0" w:line="154" w:lineRule="exact"/>
        <w:rPr>
          <w:rFonts w:ascii="Times New Roman" w:cs="Times New Roman" w:eastAsia="Times New Roman" w:hAnsi="Times New Roman"/>
          <w:sz w:val="18"/>
          <w:szCs w:val="18"/>
          <w:color w:val="auto"/>
        </w:rPr>
      </w:pPr>
    </w:p>
    <w:p>
      <w:pPr>
        <w:ind w:left="680" w:right="300" w:hanging="321"/>
        <w:spacing w:after="0" w:line="286"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mRNA Delivery: </w:t>
      </w:r>
      <w:r>
        <w:rPr>
          <w:rFonts w:ascii="Times New Roman" w:cs="Times New Roman" w:eastAsia="Times New Roman" w:hAnsi="Times New Roman"/>
          <w:sz w:val="18"/>
          <w:szCs w:val="18"/>
          <w:color w:val="auto"/>
        </w:rPr>
        <w:t>Our goal is to define mRNA encapsulation and delivery to select the optimal formulation for each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indication and tissue.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Pillar: Protein Design</w:t>
      </w:r>
    </w:p>
    <w:p>
      <w:pPr>
        <w:spacing w:after="0" w:line="229"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Proteins play a central role in biology, including formation of the structural framework of the body, aiding in intra- and extracellular transport, biological catalysts (such as enzymes), controlling the activity of cells, and enabling signal transduction throughout the body. Accordingly, mutations that alter the function of a protein that plays a critical role inside the body can disrupt normal development and cause disease. Diseases could be caused by low expression, over expression, or abnormal structures for specific proteins.</w:t>
      </w:r>
    </w:p>
    <w:p>
      <w:pPr>
        <w:spacing w:after="0" w:line="164"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target diseases that are caused by these abnormal or missing proteins. Once our team identifies the protein of interest for a specific vaccine or therapeutic target with a defined target product profile, protein design further improves the potential efficacy by adaptation of the amino acid sequence. Protein design is based on modulation of beneficial protein characteristics that are not present in the naturally occurring protein. We have a library of validated protein domains that can be leveraged using a combinatorial approach to optimize the properties of the target protein.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protein design process considers multiple factors before the protein is encoded in the mRNA, including half-life, stabilization of tertiary structure, oligomerization, secretion, and immunogenicity. We have the ability to modify each of these parameters while ensuring that these modifications work in harmony with the required function of the target protein.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Protein design always depends on the function of the individual protein of interest. The protein can serve as a therapeutic protein without any activation of the immune system or the protein can serve as an antigen with the goal of inducing strong immune responses against it. We employ different optimization strategies to support these distinct functions and requirements. For example, we can enhance certain parameters to extend the half-life or localization of a protein in the case of therapeutic proteins while making sure that RNA sensors remain muted to avoid activation of the immune system. For vaccines, our goal is to induce an optimal immune response mimicking response induced by bacterial or viral infections. Therefore, protein design is always bespoke and multi-factorial to support distinct functions and requirements of the specific target protein.</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Below are several specific examples of protein modifications by which we designed a protein’s properties relative to the wild-type protein: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Extended Half-Life of Secreted Protein</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This approach relies on the addition of supplementary short domains to the coding sequence of the protein of interest. Although this fusion increases protein size, the additional domains recruit binding proteins already present in blood which promote stabilization of the target protein by preventing proteolytic degradation. To support the efficient persistence of a secreted protein in the bloodstream, we can improve the half-life of this protein by adding specific, endogenous domains. By tailoring the pharmacokinetic profile of secreted proteins, we have the ability to reduce the frequency of dosing, generating a better therapeutic window, and using less material.</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For example, wild-type erythropoietin (Epo) is a protein that has a very short half-life of three to four hours in the bloodstream. In a preclinical model, mice were dosed with mouse Epo and protein engineered mouse Epo, both encoded with our optimized mRNA. Dosing with the engineered mouse Epo protein showed an increase in serum titers and pharmacokinetic profile. We were able to increase the half-life and availability of functional Epo in blood from four days to two weeks by fusing endogenous Epo to a selected domain. Notably, both mRNA-encoded Epo proteins showed significantly higher protein expression levels than the injected recombinant Epo, which was cleared from the bloodstream after a single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4946015" cy="24174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4601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Mice received a single injection in the tail vein of recombinant protein (control) or mRNA encoding proteins. Mice received 2.8 μg of recombinant mouse Epo protein. Wild-type Epo encoded by our optimized mRNA and engineered Epo protein encoded by our optimized mRNA were administered at a dose of 0.4 mg/kg giving rise to relevant serum titers of functional Epo and different pharmacokinetic profiles.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Extended Half-Life of Intracellular Protein</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Similar approaches can also be applied to intracellular proteins, promoting the half-life of functional target proteins. In the example below, protein variant 1 represents the fusion of a protein of interest with a selected protein domain, while variant 2 represents a construct with a single point mutation within the protein of interest. In contrast to the wild-type protein, both engineered protein variants enabled the detection of protein even one week after mRNA delivery to hepatocyte cells in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125730</wp:posOffset>
            </wp:positionV>
            <wp:extent cx="4680585" cy="2691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8058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Intracellular abundance of engineered protein variants in comparison to unmodified wild-type protein. Protein levels were determined by whole cell Western Blot analysis in human hepatocytes, followed by normalization to signals from a cytosolic loading control and relative to the wild-type protein. Same doses used in wild-type and engineered protein variants.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Increased Oligomerization</w:t>
      </w:r>
    </w:p>
    <w:p>
      <w:pPr>
        <w:spacing w:after="0" w:line="227"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Protein oligomerization is a process that converts monomers to macromolecular complexes through polymerization. We can engineer protein oligomerization by adding domains capable to perform this process to the target protein. As antigens need to be secreted and build clusters to form virus-like particles, or VLPs, this oligomerization process is beneficial in boosting the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111760</wp:posOffset>
            </wp:positionV>
            <wp:extent cx="5280660" cy="28460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8066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Protein sequence of viral antigen was optimized (design 2) by adding an element promoting secretion and clustering of antigen. In the left-hand side of the graphic, secretion of antigen in form of clusters was confirmed by Western Blot analysis of supernatants from transfected human cells. In the right-hand side of the graphic, vaccination of mice with an mRNA vaccine based on this improved protein design resulted in higher immunogenicity, measured by induction of virus neutralizing antibodies.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Improved Secretion</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potency of secreted target proteins can be improved by using alternative, more powerful signal peptides. These signal peptides are responsible for transporting the target protein from the cytoplasm to the outside of the cell, where the secreted protein fulfills its primary function. We screen large libraries of signal peptides to optimize secretion of any given target protein and in any cell type of choice.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example, we selected a set of 87 verified signal peptides to maximize secretion. These were combined with the novel target protein via automated cloning to enable facile screening and selection of the most potent product candidate. In the figure below, the top hit from this screen increased the secreted protein levels in primary human muscle cells by three-fold relative to the native signal peptide.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123190</wp:posOffset>
            </wp:positionV>
            <wp:extent cx="4732020" cy="25292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3202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Modified Immunogenicity</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the target protein serves as a therapeutic agent, it is important to curb the protein’s natural immunogenicity. Our protein design process analyzes and replaces immunogenic epitopes, masking immunogenic epitopes and thereby rendering the target protein more immunosilent. In contrast, we also have the ability to improve immunogenicity for certain applications (for example in a cancer vaccine) by protein design. These protein sequence adaptations promote immunogenicity and suppress tumor growth in mouse models, as shown in the below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128270</wp:posOffset>
            </wp:positionV>
            <wp:extent cx="4954905" cy="2211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5490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Therapeutic vaccination with mRNA vaccine encoding optimized Trp2 cell antigen inhibited tumor growth in murine melanoma model. Syngeneic mice were challenged subcutaneously with melanoma cells. When tumors were palpable, mice were vaccinated intradermally twice a week with LNP-formulated mRNA encoding either wild-type murine antigen Trp2 or Trp2 designed to improve antigen presentation. Mice vaccinated with LNP-formulated irrelevant mRNA (PpLuc) served as control.</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240"/>
        <w:spacing w:after="0"/>
        <w:rPr>
          <w:sz w:val="20"/>
          <w:szCs w:val="20"/>
          <w:color w:val="auto"/>
        </w:rPr>
      </w:pPr>
      <w:r>
        <w:rPr>
          <w:rFonts w:ascii="Times New Roman" w:cs="Times New Roman" w:eastAsia="Times New Roman" w:hAnsi="Times New Roman"/>
          <w:sz w:val="18"/>
          <w:szCs w:val="18"/>
          <w:b w:val="1"/>
          <w:bCs w:val="1"/>
          <w:i w:val="1"/>
          <w:iCs w:val="1"/>
          <w:color w:val="auto"/>
        </w:rPr>
        <w:t>Second Pillar: mRNA Optimization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Overview of mRNA Biology</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mRNA is a linear polymer comprising four monomers called nucleotides: adenosine (A), guanosine (G), cytidine (C), and uridine (U). The sequence at any mRNA’s center instructing the synthesis of the protein encoded by it is the open reading frame (ORF, also known as coding sequence). The ORF is a continuous stretch of groups of three nucleotides (called codons) that is decoded and translated into protein by the ribosome. The process of translation begins at the first codon of the ORF, always an AUG (the start codon). The start codon signals to the ribosome where to start protein synthesis. The ribosome then progresses along the ORF one codon at a time, adding the amino acid to the protein chain fitting to the codon. A stop codon at the end of the ORF (UAA, UAG, or UGA) signals to the ribosome to terminate protein synthesis. In every cell, hundreds of thousands of mRNAs are translated into hundreds of millions of proteins every day. A typical protein contains 200-600 amino acids; therefore, a typical mRNA coding region ranges from 600-1,800 nucleotides.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131445</wp:posOffset>
            </wp:positionV>
            <wp:extent cx="5126355" cy="15005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2635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the coding sequence, mRNAs contain the following elements:</w:t>
      </w:r>
    </w:p>
    <w:p>
      <w:pPr>
        <w:spacing w:after="0" w:line="225" w:lineRule="exact"/>
        <w:rPr>
          <w:sz w:val="20"/>
          <w:szCs w:val="20"/>
          <w:color w:val="auto"/>
        </w:rPr>
      </w:pPr>
    </w:p>
    <w:p>
      <w:pPr>
        <w:ind w:left="680" w:hanging="321"/>
        <w:spacing w:after="0" w:line="261"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Untranslated regions, or UTRs — UTRs are sequences that are not translated into protein. The 5’ UTR precedes the start codon, the 3’ UTR follows the stop codon. These regions play important roles in gene expression, including mRNA stability, mRNA localization and translational efficiency via protein-RNA interactions. Some of the elements in the UTRs form characteristic secondary structures that are involved in mRNA regulation.</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cap — The cap structure is required to recruit ribosomes and additional proteins involved in translation to the mRNA.</w:t>
      </w:r>
    </w:p>
    <w:p>
      <w:pPr>
        <w:spacing w:after="0" w:line="225"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polyadenosine, or poly-A, tail — The 3’ poly-A tail is a long sequence of adenosine nucleotides (often several hundred) at the 3’ end of mRNA. This tail promotes mRNA export from the nucleus and translation and protects mRNA from degradation. In addition, the 3’ end of the mRNA can include a stretch or sequence of nucleotides following the 3’ poly-A tail.</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Approach</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mRNA optimization process is designed to generate the most efficacious mRNA for any particular target and indication by optimizing translation, stability and immunogenicity. Each of these parameters can be modified by changing individual mRNA elements and their interplay guided by the envisaged application. Our mRNA molecule contains six elements that can be optimized to improve the potential efficacy of the mRNA construct. These elements include 5’ cap, 5’ UTR, ORF, 3’ UTR, and 3’ poly-A tail and 3’ end.</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Depending on the target and indication, the required pharmacokinetics of protein expression might be different. Some applications may require the highest possible protein expression but only for a limited time, as is the case for gene editing approaches. For other applications, for example some protein replacement therapies, long-lasting protein expression might be key. Peak level and duration of protein expression can be adjusted by the choice or design of enhancer and stabilizing elements in untranslated regions of mRNA. Each of the mRNA elements together in combination with the overall sequence influence the degree of activation of the immune system by any particular mRNA. Therefore, our approach to RNA optimization always considers multiple factors as well as the whole construct to generate the optimal mRNA.</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UTRs contribute decisively to the potential efficacy of therapeutic mRNAs. Natural mRNAs contain several different 5’ and 3’ UTRs, setting the individual level of translation and stability for each message. We have tapped this natural wealth of regulatory sequences and identified a large set of UTRs that confer translation or mRNA stability via diverse protein-RNA interactions.</w:t>
      </w:r>
    </w:p>
    <w:p>
      <w:pPr>
        <w:spacing w:after="0" w:line="17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Historically, one factor limiting the use of mRNA as a treatment has been the observation that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produced synthetic mRNA activated the innate immune system, resulting in a fast shutdown of protein translation in cells. An effective mRNA therapy would need to evade recognition by the immune system to avoid shut down of protein translation. We have accumulated significant knowledge about the signatures recognized by the innate immune system over the past few years. With the insights we have gained, we are able to avoid signatures activating the immune system in elements at our disposal or eliminate them from mRNA constructs. This is demonstrated by the following example where formulated mRNA was injected intradermally in mice and both B cells and T cells were activated in the draining lymph node. In contrast, unformulated mRNA injected intradermally had limited immunostimulatory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5820410" cy="2323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20410" cy="232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10 μg of mRNA, either free or formulated, was administered intradermally to the back of mice. Twenty-four hours post treatment, draining lymph nodes were isolated, and the activation status of immune cells was analyzed by flow cytometry. A higher CD69 signal indicates activation of the respective immune cells.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 Structure</w:t>
      </w:r>
    </w:p>
    <w:p>
      <w:pPr>
        <w:spacing w:after="0" w:line="22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cap structure influences translation as it recruits the translational machinery, including initiation factors and the ribosome. The cap structure also affects mRNA stability due to its influence on the various proteins recruited to mRNA. Further, the cap structure is a determinant of activation of the innate immune system as different cap structures are differentially recognized by several innate immune sensors. In addition, different cap structures are incorporated during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production of mRNA with different capping efficiency, resulting in varying proportion of mRNA lacking a cap, which is an mRNA species which is recognized by yet other sensors of the innate immune system. Accordingly, there is great potential to improve protein expression and immunosilence in mRNA by optimizing the cap structure. We have access to several cap structures, including those we have developed and commercially available ones.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5’ and 3’ UTRs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identified high numbers of naturally occurring 5’ and 3’ UTRs. Using bioinformatics analysis to identify patterns of increased expression, duration of expression, and reduced immunogenicity, we have catalogued more than one million 5’ and 3’ UTRs. From these, we selected a large set of potential enhancer elements (improving the rate of protein expression) and stabilizer elements (improving half-life of protein expression). By running a high throughput combinatorial approach, we identify and create optimized UTR combinations for a specific construct. Further, we have created UTR sub-libraries because we discovered that different UTRs perform differently in various tissue types.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Below is an example of the effectiveness of our UTR library to optimize protein expression as part of our collaboration with CRISPR Therapeutics. An open reading frame coding for an optimized Cas9 protein was combined with 83 UTR combinations via automated cloning. This target-specific UTR screening increased Cas9 protein levels in HepG2 cells five-fold compared to an already optimized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125730</wp:posOffset>
            </wp:positionV>
            <wp:extent cx="5168900" cy="32061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6890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To maximize expression of the target protein a set of 83 combinations of untranslated regions (UTR) was selected from screens identifying stable or highly translated endogenous transcripts. These UTR combinations were combined with the target open reading frame (ORF) via automated cloning to enable facile screening and selection of the most potent product candidates. Target-specific UTR screening led to a five-fold increase in protein levels in HepG2 cells compared to an already optimized construct.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Open reading frame (ORF)</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ORF instructs the synthesis of the protein it encodes by the ribosome. The ORF is a continuous stretch of groups of three nucleotides called codons. Ribosomes decode each codon as an amino acid to be added to the nascent protein. Each codon specifies a particular amino acid, however, many amino acids are specified by more than one codon. Due to this multiplicity of codons that specify an amino acid, any protein can be encoded by a myriad of coding sequences differing in their codon composition. These various ORFs differ largely in their properties and for any particular protein a top-performing ORF needs to be identified or designed to make an efficacious mRNA-based medicine. We currently optimize the ORF in a broad, holistic approach that includes multiple parameters taking into account codon optimality. Our algorithms also take into account that, similar to UTRs, different codons are optimal for different tissues. Furthermore, these algorithms also analyze and consider secondary structure. For example, as certain elements are known to drive immune stimulation by secondary structure, our algorithms avoid generation of sequences that may give rise to such immune stimulations.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the following example, protein expressed from our mRNA containing a wild-type coding sequence was abundant in the livers of mice injected intravenously with LNP-encapsulated mRNA. However, protein levels were higher from our mRNA containing a coding sequence engineered for maximal protein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4543425" cy="33693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43425" cy="336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i w:val="1"/>
          <w:iCs w:val="1"/>
          <w:color w:val="auto"/>
        </w:rPr>
        <w:t>Abundance of a therapeutic protein in mouse liver expressed from an engineered open reading frame (ORF) in comparison to the wild ORF. mRNAs containing ORF variants were formulated in LNPs and injected intravenously into mice (called engineered ORF). Protein levels were determined by Western Blot analysis of liver lysates, followed by normalization to the signal from a loading control.</w:t>
      </w:r>
    </w:p>
    <w:p>
      <w:pPr>
        <w:spacing w:after="0" w:line="3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980" w:top="661" w:right="11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Poly(A) tail and 3’ end</w:t>
      </w:r>
    </w:p>
    <w:p>
      <w:pPr>
        <w:spacing w:after="0" w:line="22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3’ end of the mRNA molecule, prone to degradation by nucleases, is another form of optimization. The 3’ end can be sealed using different stabilizing elements, including secondary structure or specific nucleotide sequences, to inhibit RNA nucleases degrading RNA from the 3’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2986405</wp:posOffset>
            </wp:positionV>
            <wp:extent cx="15684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Impact of different mRNA 3’ end on serum levels of a therapeutic protein. mRNAs containing different vector-encoded 3’ end variants were formulated in LNPs and injected intravenously at a dose of 20 μg into female Balb/c mice. Six hours after injection, serum levels of secreted protein were determined by an enzyme-linked immunosorbent assay test, also referred to as ELISA, to measure antibodies in blood.</w:t>
      </w:r>
    </w:p>
    <w:p>
      <w:pPr>
        <w:spacing w:after="0" w:line="18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Finally, we analyze the structure of the optimized mRNA as a whole, including ORF and UTRs, to predict its recognition by RNA sensors and immune activating potential and modify any inappropriate elements.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Third Pillar: mRNA Delivery</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potency of the administered mRNA drug product is the combination of the potential efficacy of the mRNA that encodes the protein and the delivery system that transports the mRNA to the cells. Protein levels are highly correlated with the number of transfected cells which requires optimized delivery systems. While it is possible to deliver mRNA directly into the target tissue without delivery systems in certain cases, the presence of RNA degrading enzymes in blood and interstitial fluids rapidly regrade any extracellular mRNA. Additionally, cell membranes act as a significant barrier to entry of large molecules such as mRNA. These delivery technologies enable us to deliver large quantities of mRNA to the target cells.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access to a diverse portfolio of third-party and proprietary delivery systems that allow us to target a range of diseases. Access to this broad range of delivery technologies allows us to select the best-suited technology for development of each of our product candidates. We choose the most suited delivery system based on a number of factors, including immunogenicity, duration of treatment, dose levels, mode of administration and targeted tissue type.</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key delivery systems that we currently employ include lipid-based delivery systems. We employ lipid nanoparticles, or LNPs, to deliver our mRNA-based prophylactic and cancer vaccines locally. For protein and antibody therapeutic candidates, we apply LNP-formulated mRNA systemically. We have relied on third-party state-of-the-art LNP delivery systems for our initial clinical programs, and we are developing our proprietary LNP delivery systems for our future clinical programs. With these delivery modalities at hand, we are currently expanding our development pipeline and plan to bring new mRNA therapies to different organs and applications.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Lipid Nanoparticles (LNPs)</w:t>
      </w:r>
    </w:p>
    <w:p>
      <w:pPr>
        <w:spacing w:after="0" w:line="22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 variety of nanoparticles have been developed over the years for use in drug delivery. LNPs represent the most clinically advanced non-viral delivery systems. Encapsulation of the mRNA within LNPs enables delivery to the site of action within the cell. LNPs protect the mRNA from degradation, rapid excretion and liver clearance, enabling higher bioavailability and longer half-life.</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LNPs consist of different lipids that form together a lipid nanoparticle with a solid core. The four primary LNP components include cationic lipids, pegylated lipids, phospholipids, and cholesterols. LNPs mimic low-density lipoproteins, which allows them to be taken up by an endogenous cellular transport pathway to deliver the mRNA cargo to cells. When LNPs are injected into biological systems, they attach to natural transport proteins, apolipoproteins, to facilitate the transport of lipids within the bloodstream and throughout the body. Following intravenous administration, the apolipoprotein binding enables efficient transport of the mRNA cargo to the liver. Once internalized in endosomes within cells, the LNPs are designed to escape the endosome and release their mRNA cargo into the cytoplasm, where the mRNA can be translated. Any mRNA and LNP components that do not escape the endosome are typically delivered to lysosomes where they are degraded by the natural process of cellular digestion.</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properties of each LNP system can be customized based on altering each component or overall composition. All of the LNPs we employ in our projects are designed to be biodegradable. We have extensively tested over 40 different delivery solutions and have selected the ones we use based on comparative data for the most efficient LNPs available from third parties for licensure. Having access to these technologies enables us to develop fast powerful solutions for vaccines and protein therapy.</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Besides the licensed LNP technology from our partners, we are also developing our own LNP technology. We have established two ionizable lipid families and are developing those LNPs for application in local vaccination and systemic delivery to the liver. We conducted a systematic screening of LNP components and compositions for local vaccination in skin and muscle. Those optimized LNP formulations incorporating our own lipids helped to raise significant levels of immune response comparable with those of approved vaccine formulations.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graphs below demonstrate comparable immunogenicity of CV LNP against a commercial PEG LNP in a vaccination trial with the rabies antigen in mice at same mRNA dose. On the left panel, the virus neutralization titer seven days post the second vaccination is shown, whereas on the right panel the induced T cell response is assessed by EliSpot of peptide library stimulated spleenocytes.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123190</wp:posOffset>
            </wp:positionV>
            <wp:extent cx="4029075" cy="21005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02907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Disease Selection</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approach seeks to mitigate risk across multiple levels to advance and expand our broad product portfolio. While mRNA is still an emerging treatment modality, we believe that we have made advances towards utilizing the potential of our technology platform through rational disease selection. Our approach for selecting new programs is based on the following key factors:</w:t>
      </w:r>
    </w:p>
    <w:p>
      <w:pPr>
        <w:spacing w:after="0" w:line="176" w:lineRule="exact"/>
        <w:rPr>
          <w:sz w:val="20"/>
          <w:szCs w:val="20"/>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diseases with high unmet medical needs that are not effectively addressed using the current standard of care.</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areas where the underlying mode of action of the disease is understood or hypothesized which allows us to identify the required protein(s) or antigen(s).</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areas where mRNA therapies have potential to have differentiated profiles compared to the conventional treatment modalities.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likelihood of being able to address the disease using our technology platform and seek to continuously improve and expand the capabilities of our platform to address an even broader range of diseases.</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build on our deep understanding of mRNA biology, data derived from our technology platform and previous clinical and preclinical studies to apply to new indications.</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building our product portfolio, we have considered a number of factors including immune response, duration of expression, dosing requirements, delivery technology, target tissue type, potential for responsiveness to mRNA-based medicine and target disease profile, among other factors. A disease indication may require an mRNA-based medicine that triggers an immune response, or that is immune active, or an mRNA-based medicine that requires no immune activation, or that is immune silent. Each of the disease indications that we are targeting require different levels of immune activation for the mRNA-based medicine to be effective. Our approach is to initially target indications that require an immune active approach (such as prophylactic vaccines or cancer vaccines), given the need for lower doses and transient expression of the antigen. These initial indications are amenable to localized delivery using an LNP delivery system. Based on the clinical validation of our prophylactic vaccines program and our advanced understanding of mRNA biology and immune stimulation modulation, we are also further expanding our product portfolio to target indications that require an immune silent approach (such as protein delivery). Targeting diseases amenable to the immune silent approach requires higher doses and longer expression of the protein, with potential for long-term repeat dosing for chronic diseases.</w:t>
      </w:r>
    </w:p>
    <w:p>
      <w:pPr>
        <w:spacing w:after="0" w:line="188" w:lineRule="exact"/>
        <w:rPr>
          <w:sz w:val="20"/>
          <w:szCs w:val="20"/>
          <w:color w:val="auto"/>
        </w:rPr>
      </w:pPr>
    </w:p>
    <w:p>
      <w:pPr>
        <w:ind w:left="680" w:right="100" w:hanging="321"/>
        <w:spacing w:after="0" w:line="256"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Immune active. </w:t>
      </w:r>
      <w:r>
        <w:rPr>
          <w:rFonts w:ascii="Times New Roman" w:cs="Times New Roman" w:eastAsia="Times New Roman" w:hAnsi="Times New Roman"/>
          <w:sz w:val="18"/>
          <w:szCs w:val="18"/>
          <w:color w:val="auto"/>
        </w:rPr>
        <w:t>For indications that require immune stimulation such as prophylactic and therapeutic vaccines, our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optimizes the combination of mRNA molecules encoding specific antigens and selected delivery modalities to provide the desired immunostimulatory capacity. This allows us to design vaccines with high immunogenic effect. The goal is to induce an immune response against the encoded antigen. The mRNA is taken up by cells, including dendritic cells, at the injection site. Expressed antigens are then presented to the adaptive immune system leading to selective activation of T cells and B cells that recognize these antigens. These activated adaptive immune cells can then recognize and attack similar antigens that are found on tumors or pathogens.</w:t>
      </w:r>
    </w:p>
    <w:p>
      <w:pPr>
        <w:spacing w:after="0" w:line="182" w:lineRule="exact"/>
        <w:rPr>
          <w:rFonts w:ascii="Times New Roman" w:cs="Times New Roman" w:eastAsia="Times New Roman" w:hAnsi="Times New Roman"/>
          <w:sz w:val="18"/>
          <w:szCs w:val="18"/>
          <w:color w:val="auto"/>
        </w:rPr>
      </w:pPr>
    </w:p>
    <w:p>
      <w:pPr>
        <w:ind w:left="680" w:right="220" w:hanging="321"/>
        <w:spacing w:after="0" w:line="26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Immune silent. </w:t>
      </w:r>
      <w:r>
        <w:rPr>
          <w:rFonts w:ascii="Times New Roman" w:cs="Times New Roman" w:eastAsia="Times New Roman" w:hAnsi="Times New Roman"/>
          <w:sz w:val="18"/>
          <w:szCs w:val="18"/>
          <w:color w:val="auto"/>
        </w:rPr>
        <w:t>For indications that require no immune stimulation such as protein delivery, our technology can also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candidates to be immunosilent and to express encoded proteins over an extended period of time. These product candidates can be expressed either locally (eye, liver or lung) or systemically, using the liver as a bioreactor for production of the therapeutic proteins (enzymes and antibodies).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Prophylactic Vaccines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Infectious disease-related proteins, such as viral surface proteins, specific targets for the body’s immune defense system, can be expressed by injected mRNA and then presented to B and differentiated T cells, activating a specific immune response. We believe that our mRNA technology offers a platform for the development and production of prophylactic vaccines against infectious diseases. We believe our mRNA vaccines offer many potential advantages over existing vaccine technologies, including:</w:t>
      </w:r>
    </w:p>
    <w:p>
      <w:pPr>
        <w:spacing w:after="0" w:line="180" w:lineRule="exact"/>
        <w:rPr>
          <w:sz w:val="20"/>
          <w:szCs w:val="20"/>
          <w:color w:val="auto"/>
        </w:rPr>
      </w:pPr>
    </w:p>
    <w:p>
      <w:pPr>
        <w:ind w:left="680" w:right="4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 vaccines mimic several aspects of a natural viral infection and has the potential to offer improved and balanced immune response.</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mRNAs allow us to encode for specific protein antigens of choice, offering potential for the development against known and yet unidentified pathogenic threats.</w:t>
      </w:r>
    </w:p>
    <w:p>
      <w:pPr>
        <w:spacing w:after="0" w:line="161"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mRNAs allow production of multivalent vaccines with the potential to either demonstrate a broader efficacy by including additional target pathogens, or to strengthen potential efficacy by better targeting a specific pathogen, for example by adding of immunogenic epitopes, or by addressing different pathogen variants, or both.</w:t>
      </w:r>
    </w:p>
    <w:p>
      <w:pPr>
        <w:spacing w:after="0" w:line="17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 vaccines are generally expected to be safer than live or attenuated vaccines since no living virus is injected. As they do not interact with the host-cell DNA, they avoid the potential risk of genomic integration posed by DNA-based vaccines.</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 binds to pattern recognition receptors and mRNA vaccines are thereby self-adjuvanting, a property which peptide- and protein-based vaccines lack.</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speed of development from knowing the sequence of the virus to progressing programs in clinical development given our ability to produce antigens without dedicated cell cultures and fermentation-based manufacturing processes.</w:t>
      </w:r>
    </w:p>
    <w:p>
      <w:pPr>
        <w:spacing w:after="0" w:line="161"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Commercial-scale production of mRNA is fast, cost-effective and, in contrast to traditional vaccine approaches, does not require cell culture or the use of live pathogens, and as a result, multiple vaccines can be produced in the same plant.</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approach to the development of potential prophylactic vaccines is focused on:</w:t>
      </w:r>
    </w:p>
    <w:p>
      <w:pPr>
        <w:spacing w:after="0" w:line="221" w:lineRule="exact"/>
        <w:rPr>
          <w:sz w:val="20"/>
          <w:szCs w:val="20"/>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CV0601/CV0701 for SARS-CoV-2</w:t>
      </w:r>
      <w:r>
        <w:rPr>
          <w:rFonts w:ascii="Times New Roman" w:cs="Times New Roman" w:eastAsia="Times New Roman" w:hAnsi="Times New Roman"/>
          <w:sz w:val="18"/>
          <w:szCs w:val="18"/>
          <w:color w:val="auto"/>
        </w:rPr>
        <w:t>: A Phase 2 clinical study was initiated on August 1, 2023, with two modified mRNA</w:t>
      </w:r>
    </w:p>
    <w:p>
      <w:pPr>
        <w:spacing w:after="0" w:line="31" w:lineRule="exact"/>
        <w:rPr>
          <w:rFonts w:ascii="Times New Roman" w:cs="Times New Roman" w:eastAsia="Times New Roman" w:hAnsi="Times New Roman"/>
          <w:sz w:val="18"/>
          <w:szCs w:val="18"/>
          <w:color w:val="auto"/>
        </w:rPr>
      </w:pPr>
    </w:p>
    <w:p>
      <w:pPr>
        <w:ind w:left="68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vaccine candidates: the monovalent candidate, CV0601, encoding the spike protein of the omicron BA.4-5 variant and the bivalent candidate, CV0701, encoding the spike protein of the omicron BA.4-5 variant as well as the original SARS-CoV-2 strain. The study is being conducted in Australia and fully enrolled with 427 participants. Interim Phase 2 data was announced on January 5, 2024. The data showed that both candidates exhibited a favorable reactogenicity profile across all tested doses and were generally well tolerated with a lower or similar proportion of participants reporting solicited adverse events when compared to comparator vaccine participants. Both candidates produced meaningful immune responses beginning at the lowest tested dose. Interim immunogenicity data showed meaningful titers of neutralizing antibodies for both candidates, which matched or numerically exceeded the titers induced by the licensed comparator vaccine at all tested doses except for the low dose level of CV0701.</w:t>
      </w:r>
    </w:p>
    <w:p>
      <w:pPr>
        <w:spacing w:after="0" w:line="189" w:lineRule="exact"/>
        <w:rPr>
          <w:rFonts w:ascii="Times New Roman" w:cs="Times New Roman" w:eastAsia="Times New Roman" w:hAnsi="Times New Roman"/>
          <w:sz w:val="18"/>
          <w:szCs w:val="18"/>
          <w:color w:val="auto"/>
        </w:rPr>
      </w:pPr>
    </w:p>
    <w:p>
      <w:pPr>
        <w:ind w:left="680" w:right="20" w:hanging="321"/>
        <w:spacing w:after="0" w:line="254"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Multivalent candidate for seasonal influenza</w:t>
      </w:r>
      <w:r>
        <w:rPr>
          <w:rFonts w:ascii="Times New Roman" w:cs="Times New Roman" w:eastAsia="Times New Roman" w:hAnsi="Times New Roman"/>
          <w:sz w:val="18"/>
          <w:szCs w:val="18"/>
          <w:color w:val="auto"/>
        </w:rPr>
        <w:t>: A combined Phase 1/2 clinical study was initiated on May 8, 2023, comparing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comprehensive series of multivalent, modified mRNA seasonal influenza vaccine candidates with up to eight separate mRNA constructs per candidate addressing all four WHO-recommended flu strains. Positive data from an interim analysis of the Phase 1 part was reported on September 12, 2023, and enabled selection of a preferred candidate to be advanced to the Phase 2 part. Promising interim data from the Phase 2 part was announced on April 4, 2024, confirming an acceptable safety profile and boosted antibody titers against all encoded flu strains across age groups and tested dose levels. Geometric mean titers generated by the vaccine candidate against influenza A strains numerically exceeded the geometric mean titers of the licensed comparator vaccines consistently across tested dose levels and age groups. For influenza B strains geometric mean titers were lower than those elicited by the licensed comparator vaccines across age groups and tested dose levels. Targeted optimizations to further improve immune responses against influenza B strains will be tested in an additional Phase 2 study.</w:t>
      </w:r>
    </w:p>
    <w:p>
      <w:pPr>
        <w:spacing w:after="0" w:line="185" w:lineRule="exact"/>
        <w:rPr>
          <w:rFonts w:ascii="Times New Roman" w:cs="Times New Roman" w:eastAsia="Times New Roman" w:hAnsi="Times New Roman"/>
          <w:sz w:val="18"/>
          <w:szCs w:val="18"/>
          <w:color w:val="auto"/>
        </w:rPr>
      </w:pPr>
    </w:p>
    <w:p>
      <w:pPr>
        <w:ind w:left="680" w:right="60" w:hanging="321"/>
        <w:spacing w:after="0" w:line="26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Monovalent candidate for avian influenza (H5N1): </w:t>
      </w:r>
      <w:r>
        <w:rPr>
          <w:rFonts w:ascii="Times New Roman" w:cs="Times New Roman" w:eastAsia="Times New Roman" w:hAnsi="Times New Roman"/>
          <w:sz w:val="18"/>
          <w:szCs w:val="18"/>
          <w:color w:val="auto"/>
        </w:rPr>
        <w:t>A combined Phase 1/2 clinical study was initiated on April 24, 2024,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monovalent, modified mRNA vaccine candidate, encoding an influenza A H5 antigen. The Phase 1 part of the study will assess the safety, reactogenicity and immunogenicity of the vaccine candidate in healthy younger and older adults against a placebo control.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Oncology</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mRNA is a versatile platform for cancer vaccine development allowing to encode a wide range of antigens from full length tumor associated antigens to neoepitopes. We are taking multiple approaches in oncology to induce tumor-specific immune responses in patients:</w:t>
      </w:r>
    </w:p>
    <w:p>
      <w:pPr>
        <w:spacing w:after="0" w:line="172" w:lineRule="exact"/>
        <w:rPr>
          <w:sz w:val="20"/>
          <w:szCs w:val="20"/>
          <w:color w:val="auto"/>
        </w:rPr>
      </w:pPr>
    </w:p>
    <w:p>
      <w:pPr>
        <w:ind w:left="680" w:hanging="321"/>
        <w:spacing w:after="0" w:line="259"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Novel cancer vaccines: </w:t>
      </w:r>
      <w:r>
        <w:rPr>
          <w:rFonts w:ascii="Times New Roman" w:cs="Times New Roman" w:eastAsia="Times New Roman" w:hAnsi="Times New Roman"/>
          <w:sz w:val="18"/>
          <w:szCs w:val="18"/>
          <w:color w:val="auto"/>
        </w:rPr>
        <w:t>We focus on building a meaningful portfolio of novel cancer vaccine candidates based on differentiated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antigen discovery technologies and bioinformatics to target antigens that are overexpressed in tumor tissues with no or little expression on healthy tissues, using our LNP formulations. Within this strategy, we follow two approaches. (1) the development of off-the-shelf cancer vaccines based on tumor antigens shared across different cancer indications and (2) the development of fully personalized cancer vaccines based on a patient’s individual tumor genomic profile.</w:t>
      </w:r>
    </w:p>
    <w:p>
      <w:pPr>
        <w:spacing w:after="0" w:line="138" w:lineRule="exact"/>
        <w:rPr>
          <w:rFonts w:ascii="Times New Roman" w:cs="Times New Roman" w:eastAsia="Times New Roman" w:hAnsi="Times New Roman"/>
          <w:sz w:val="18"/>
          <w:szCs w:val="18"/>
          <w:color w:val="auto"/>
        </w:rPr>
      </w:pPr>
    </w:p>
    <w:p>
      <w:pPr>
        <w:ind w:left="680" w:hanging="321"/>
        <w:spacing w:after="0" w:line="255"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Multi-epitope cancer vaccine candidate CVGBM: </w:t>
      </w:r>
      <w:r>
        <w:rPr>
          <w:rFonts w:ascii="Times New Roman" w:cs="Times New Roman" w:eastAsia="Times New Roman" w:hAnsi="Times New Roman"/>
          <w:sz w:val="18"/>
          <w:szCs w:val="18"/>
          <w:color w:val="auto"/>
        </w:rPr>
        <w:t>A proof-of-principle Phase 1 study was initiated on June 20, 2023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CVGBM in patients with newly diagnosed surgically resected MGMT-unmethylated glioblastoma or astrocytoma with a molecular signature of glioblastoma. The study evaluates the safety and tolerability of CVGBM, a cancer vaccine candidate featuring a single unmodified mRNA encoding eight epitopes derived from known tumor-associated antigens with demonstrated immunogenicity in glioblastoma. On April 24, 2024, we announced that the dose-escalation Part A of the study completed recruitment of all four dose levels. Following review of the safety data, the Data Safety Monitoring Board (DSMB) confirmed no dose limiting toxicities and gave a dose recommendation for 100 µg for the dose-confirmation Part B of the study. Part B is expected to start enrollment mid-2024. A first study data readout is expected in the second half of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Molecular Therapy: Deliver mRNA to express the right protein wherever needed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seeking to optimize mRNA molecules to trigger production of antibodies. Our antibody work has potential to protect against viruses, bacteria, and toxins and can be applied to many disease indications including </w:t>
      </w:r>
      <w:r>
        <w:rPr>
          <w:rFonts w:ascii="Times New Roman" w:cs="Times New Roman" w:eastAsia="Times New Roman" w:hAnsi="Times New Roman"/>
          <w:sz w:val="16"/>
          <w:szCs w:val="16"/>
          <w:color w:val="auto"/>
        </w:rPr>
        <w:t>cancer,</w:t>
      </w:r>
      <w:r>
        <w:rPr>
          <w:rFonts w:ascii="Times New Roman" w:cs="Times New Roman" w:eastAsia="Times New Roman" w:hAnsi="Times New Roman"/>
          <w:sz w:val="18"/>
          <w:szCs w:val="18"/>
          <w:color w:val="auto"/>
        </w:rPr>
        <w:t xml:space="preserve"> cardiovascular diseases, infectious diseases and autoimmune diseases. In preclinical studies in non-human primates, we have demonstrated that antibodies encoded by mRNA can be produced in hepatocytes very rapidly and can reach the blood stream at relevant therapeutic levels.</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With our technology, we can instruct human cells to produce or secrete specific proteins in the nucleus, cytoplasm, cellular organelles or cell membrane. Based on this “healthy” information delivered by mRNA, our cells are designed to produce proteins, which are required to treat the disease caused by missing or inactive proteins.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there are several advantages of our technology applied to development of molecular therapy, including:</w:t>
      </w:r>
    </w:p>
    <w:p>
      <w:pPr>
        <w:spacing w:after="0" w:line="225" w:lineRule="exact"/>
        <w:rPr>
          <w:sz w:val="20"/>
          <w:szCs w:val="20"/>
          <w:color w:val="auto"/>
        </w:rPr>
      </w:pPr>
    </w:p>
    <w:p>
      <w:pPr>
        <w:ind w:left="680" w:right="56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 encoded proteins can function within or outside of cells as well as inside cell membranes, allowing us to address intracellular protein deficiencies that are not addressed by recombinant proteins.</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mRNAs can enable production of complex proteins that are challenging to make using recombinant technologies due to their folding requirements and complexity.</w:t>
      </w:r>
    </w:p>
    <w:p>
      <w:pPr>
        <w:spacing w:after="0" w:line="161" w:lineRule="exact"/>
        <w:rPr>
          <w:rFonts w:ascii="Times New Roman" w:cs="Times New Roman" w:eastAsia="Times New Roman" w:hAnsi="Times New Roman"/>
          <w:sz w:val="18"/>
          <w:szCs w:val="18"/>
          <w:color w:val="auto"/>
        </w:rPr>
      </w:pPr>
    </w:p>
    <w:p>
      <w:pPr>
        <w:ind w:left="680" w:right="740" w:hanging="321"/>
        <w:spacing w:after="0" w:line="266"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Administered mRNAs encode proteins using natural pathways allowing for post-translational modifications such as glycosylation whereas recombinant proteins use non-human post-translational modifications which may lead to lower effectiveness and increased immunogenicity.</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 constructs can be optimized to produce proteins that offer desirable pharmacology relative to the wild-type protein, such as increased half-life.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 allows for dosing flexibility to meet patient needs without causing irreversible changes to the genome.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mRNA can be delivered repeatedly, creating the opportunity to provide long-term benefit for treatment of chronic diseases.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have collaborations focused on:</w:t>
      </w:r>
    </w:p>
    <w:p>
      <w:pPr>
        <w:spacing w:after="0" w:line="221" w:lineRule="exact"/>
        <w:rPr>
          <w:sz w:val="20"/>
          <w:szCs w:val="20"/>
          <w:color w:val="auto"/>
        </w:rPr>
      </w:pPr>
    </w:p>
    <w:p>
      <w:pPr>
        <w:ind w:left="680" w:right="220" w:hanging="321"/>
        <w:spacing w:after="0" w:line="259"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Therapeutic antibodies: </w:t>
      </w:r>
      <w:r>
        <w:rPr>
          <w:rFonts w:ascii="Times New Roman" w:cs="Times New Roman" w:eastAsia="Times New Roman" w:hAnsi="Times New Roman"/>
          <w:sz w:val="18"/>
          <w:szCs w:val="18"/>
          <w:color w:val="auto"/>
        </w:rPr>
        <w:t>We are also developing mRNA therapies to produce antibodies systemically using the liver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bioreactor for subsequent secretion and systemic distribution of the antibodies to primary organs affected by a disease. Our collaboration with Genmab, a global leader in antibody discovery and design, will allow us to work with novel antibodies produced using our mRNA technology. This partnership represents the first-ever publicly disclosed mRNA antibody-focused deal and will allow us to optimize and manufacture mRNA-encoded antibodies for Genmab.</w:t>
      </w:r>
    </w:p>
    <w:p>
      <w:pPr>
        <w:spacing w:after="0" w:line="179" w:lineRule="exact"/>
        <w:rPr>
          <w:rFonts w:ascii="Times New Roman" w:cs="Times New Roman" w:eastAsia="Times New Roman" w:hAnsi="Times New Roman"/>
          <w:sz w:val="18"/>
          <w:szCs w:val="18"/>
          <w:color w:val="auto"/>
        </w:rPr>
      </w:pPr>
    </w:p>
    <w:p>
      <w:pPr>
        <w:ind w:left="680" w:right="240" w:hanging="321"/>
        <w:spacing w:after="0" w:line="268"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Liver diseases: </w:t>
      </w:r>
      <w:r>
        <w:rPr>
          <w:rFonts w:ascii="Times New Roman" w:cs="Times New Roman" w:eastAsia="Times New Roman" w:hAnsi="Times New Roman"/>
          <w:sz w:val="18"/>
          <w:szCs w:val="18"/>
          <w:color w:val="auto"/>
        </w:rPr>
        <w:t>We are working on mRNA therapies targeted for the liver, including designing and producing intracellular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targets such as transcription factors. Our collaboration with the Hannover Medical School aims to design treatments for liver diseases such as NAFLD, NASH and liver cirrhosis, with the potential to treat or reverse liver fibrosis.</w:t>
      </w:r>
    </w:p>
    <w:p>
      <w:pPr>
        <w:spacing w:after="0" w:line="170" w:lineRule="exact"/>
        <w:rPr>
          <w:rFonts w:ascii="Times New Roman" w:cs="Times New Roman" w:eastAsia="Times New Roman" w:hAnsi="Times New Roman"/>
          <w:sz w:val="18"/>
          <w:szCs w:val="18"/>
          <w:color w:val="auto"/>
        </w:rPr>
      </w:pPr>
    </w:p>
    <w:p>
      <w:pPr>
        <w:ind w:left="680" w:right="40" w:hanging="321"/>
        <w:spacing w:after="0" w:line="286"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Eye diseases: </w:t>
      </w:r>
      <w:r>
        <w:rPr>
          <w:rFonts w:ascii="Times New Roman" w:cs="Times New Roman" w:eastAsia="Times New Roman" w:hAnsi="Times New Roman"/>
          <w:sz w:val="18"/>
          <w:szCs w:val="18"/>
          <w:color w:val="auto"/>
        </w:rPr>
        <w:t>We are investigating development of mRNA-based treatments for undisclosed ophthalmic indications. We have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collaboration with SERI for our discovery efforts.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Pipeline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RNA-Based Therapeutics in Oncology</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Discovery of new therapeutic cancer vaccine candidates</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 key component to the development of new therapeutic cancer vaccine candidates is the build-up of a powerful antigen discovery engine. To gain access to state-of-the-art antigen discovery technologies, we announced a partnership with Belgium-based company myNEO Therapeutics on May 25, 2022, and the acquisition of Netherland-based Frame Cancer Therapeutics on June 8, 2022.</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Together with immunotherapy company myNEO, we aim to identify specific antigens found on the surface of tumors for the development of novel mRNA immunotherapies. myNEO utilizes a broad range of underlying genomic alterations to identify constantly emerging, novel classes of antigens of defined tumor types. Incorporating new ranking methodologies based on tumor cell antigen processing and presentation is expected to allow for selection of antigens with the highest confidence of success for potential clinical testing.</w:t>
      </w:r>
    </w:p>
    <w:p>
      <w:pPr>
        <w:spacing w:after="0" w:line="14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With the acquisition of Frame Cancer Therapeutics, a private company focused on advanced genomics and bioinformatics, to identify both shared and unique neoantigens across different cancer types, we complement existing in-house expertise to identify and validate promising antigens for mRNA cancer vaccine candidates. Our technology platform has the potential to identify a broad panel of neoantigens and tumor-associated antigens that go beyond conventional approaches and could strongly increase the likelihood of developing highly effective cancer vaccines that activate the human immune system against cancer.</w:t>
      </w:r>
    </w:p>
    <w:p>
      <w:pPr>
        <w:spacing w:after="0" w:line="1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field of immuno-therapy has advanced with the progression of available technologies to extract data from patient samples, such as next-generation sequencing. Conventional approaches have so far focused on the exome, the protein-coding part of the genome, which represents only about 1.5% of the total genetic information. More recently, breakthrough developments in sequencing capacity have enabled the extraction of vastly larger amounts of data that allows us to utilize the remaining 98.5% of genetic information. The technologies brought in-house with the acquisition of Frame Cancer Therapeutics are based on whole-genome-sequencing for every patient sample and combine it with short as well as long-range RNA sequencing to map the full inventory of genomic changes. More specifically, downstream of the sequencing, a software package integrates all the data to retrieve the exact changes in the DNA of the tumor cells compared to healthy cells. Correlation of this data with changes in the RNA transcription of the tumor results in entirely new and potentially antigenic tumor antigens that we plan to test as targets for a portfolio of new cancer vaccine candidates. These new antigens are not only entirely foreign to the body but are also uniquely expressed in the tumor and not in healthy tissue. In their foreignness, these constructs are expected to raise stronger immune responses than antigens derived from exome-based conventional approaches.</w:t>
      </w:r>
    </w:p>
    <w:p>
      <w:pPr>
        <w:spacing w:after="0" w:line="14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highly synergistic antigen discovery technologies of Frame Cancer Therapeutics and myNEO are expected to significantly accelerate CureVac’s oncology strategy to build a meaningful portfolio of new cancer vaccine candidates. Within this strategy, we follow two approaches. The first approach assesses tumor antigens shared by different cancer patients for the development of off-the-shelf cancer vaccines. The second approach is tailored to the individual tumor setup of a patient for personalized therapy. We plan to advance new antigens for both approaches based on our second-generation mRNA backbone.</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CVGBM</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assess the safety and immunogenicity of our second-generation backbone in an oncology setting, we initiated a proof-of-principle Phase 1 study in patients with newly diagnosed surgically resected MGMT-unmethylated glioblastoma or astrocytoma with a molecular signature of glioblastoma on June 20, 2023. The open-label study evaluates the safety and tolerability of CVGBM, a cancer vaccine candidate featuring a single unmodified mRNA encoding eight epitopes derived from known tumor-associated antigens with demonstrated immunogenicity in glioblastoma. On April 24, 2024, we announced that the dose-escalation Part A of the study completed recruitment of all four dose levels. Following review of the safety data, the Data Safety Monitoring Board (DSMB) confirmed no dose limiting toxicities and gave a dose recommendation for 100 µg for the dose-confirmation Part B of the study. Part B is expected to start enrollment mid-2024. A first study data readout is expected in the second half of 2024.</w:t>
      </w:r>
    </w:p>
    <w:p>
      <w:pPr>
        <w:spacing w:after="0" w:line="151"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multiepitope design of CVGBM was supported by preclinical studies assessing the potency of a multiepitope mRNA cancer vaccine construct targeting tumors in a murine melanoma model. The data was presented at the 11th International mRNA Health Conference, hosted by CureVac from October 31 to November 2, 2023, in Berlin, Germany.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preclinical mRNA construct encoding ten epitopes derived from the murine B.16.F10 melanoma cell line was tested in mice. The study applied three 5 µg doses of LNP-formulated B.16 mRNA, administered intramuscularly at weekly intervals. Data obtained on day 21 can be seen below and confirmed prominent induction of CD8+ and CD4+ T cell responses (left and middle graph) recognizing epitopes across the full multiepitope construct. Median survival (right graph) of the animals increased to 30.9 days for treated mice compared to 23.2 days for a group vaccinated with formulated control 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128270</wp:posOffset>
            </wp:positionV>
            <wp:extent cx="5863590" cy="17830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6359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Strong T cell activation is particularly encouraging and relevant, as the B16-F10 tumor model is characterized as a cytokine deficient “cold” tumor model that exhibits very little immune cell infiltration and resistance to check-point inhibitors. The data suggest that single-agent application of the multiepitope B.16 mRNA construct generated robust T cell activation in the tumor microenvironment, thereby inhibiting tumor growth and extending survival in the applied preclinical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mRNA-Based Prophylactic Vaccine Programs Jointly Developed With GSK: Second-Generation mRNA Backbone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COVID-19: Disease Overview</w:t>
      </w:r>
    </w:p>
    <w:p>
      <w:pPr>
        <w:spacing w:after="0" w:line="1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Coronaviruses are a family of viruses that can lead to respiratory illness, including Middle East Respiratory Syndrome, or MERS-CoV, and Severe Acute Respiratory Syndrome, or SARS-CoV. Coronaviruses are transmitted between animals and people and can evolve into strains not previously identified in humans. On January 7, 2020, a novel coronavirus (2019-nCoV) was identified as the cause of pneumonia cases and deaths in Wuhan, China and an exponentially increasing number of cases have since then been found worldwide. On March 11, 2020, the World Health Organization (“WHO”) designated COVID-19, the disease caused by the novel coronavirus SARS-CoV-2, an international pandemic. As of January 21, 2024, there have been 774,395,593 confirmed cases of COVID-19 globally, including 7,023,271 deaths, reported to WHO.</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Clinical COVID-19 Vaccines Program (second-generation mRNA backbone)</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February 2021, we announced a collaboration with GSK for our COVID-19 vaccine program, which went into effect in April 2021 pursuant to which we are collaborating with GSK to research, develop and manufacture mRNA vaccines based on our second-generation mRNA backbone targeting relevant SARS-CoV-2 variants. The second-generation mRNA backbone can flexibly encode for different COVID-19 variants and features targeted optimizations designed to improve intracellular mRNA stability and translation for increased and extended protein expression. The optimizations potentially allow for strong and early immune responses at low doses, which also supports the development of multivalent vaccines and combination vaccine approaches.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Interim Phase 2 Data of the Monovalent mRNA Vaccine Candidate, CV0601 and Bivalent Vaccine Candidate, CV0701</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Phase 2 study evaluates safety, reactogenicity, and immune responses of single booster doses of the monovalent mRNA vaccine candidate, CV0601, encoding the Omicron BA.4-5 variant and the bivalent candidate, CV0701, encoding the Omicron BA.4-5 variant as well as the original SARS-CoV-2 virus. It is active-controlled, featuring a licensed bivalent mRNA-based COVID-19 comparator vaccine. The study is being conducted in Australia and completion of enrollment at 427 healthy adult participants was announced on November 1, 2023. Interim Phase 2 data were presented on January 5, 2024.</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Results from the formal interim analysis showed that both vaccine candidates using CureVac’s proprietary second-generation mRNA backbone produced meaningful immune responses and favorable reactogenicity profiles across all tested doses, including the lowest tested dose. All three of the dose levels tested were below those used in mRNA-based COVID-19 vaccines licensed in the U.S. and EU. The candidates were shown to be generally well tolerated with a lower or similar proportion of participants reporting solicited adverse events when compared to comparator vaccine participants within seven days of dosing. Interim immunogenicity data showed meaningful titers of neutralizing antibodies for both candidates at all dose levels.</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graphs below illustrate the reactogenicity (left graph) and immunogenicity (right graph) data reported for the monovalent candidate, CV0601, in comparison to the licensed bivalent comparator vaccine. CV0601 was tested at a medium dose level. The immunogenicity data show that it elicits neutralizing antibody titers against the Omicron BA.4-5 variant on day 29 following the booster vaccination that were 5.0 times the pre-boosting titers, numerically exceeding the 3.6-fold ratio generated by the licensed comparator vaccine. Antibody titers against the original SARS-CoV-2 virus on day 29 following the booster vaccination were 3.1 times the pre-boosting titers, numerically exceeding the 2.8-fold ratio generated by the comparator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130810</wp:posOffset>
            </wp:positionV>
            <wp:extent cx="5143500" cy="21088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hanging="192"/>
        <w:spacing w:after="0"/>
        <w:tabs>
          <w:tab w:leader="none" w:pos="200"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GMR and confidence intervals are adjusted for baseline titer, age at baseline (&lt;65 or ≥65) and prior SARS-CoV-2 infection</w:t>
      </w:r>
    </w:p>
    <w:p>
      <w:pPr>
        <w:spacing w:after="0" w:line="29" w:lineRule="exact"/>
        <w:rPr>
          <w:rFonts w:ascii="Times New Roman" w:cs="Times New Roman" w:eastAsia="Times New Roman" w:hAnsi="Times New Roman"/>
          <w:sz w:val="18"/>
          <w:szCs w:val="18"/>
          <w:i w:val="1"/>
          <w:iCs w:val="1"/>
          <w:color w:val="auto"/>
        </w:rPr>
      </w:pPr>
    </w:p>
    <w:p>
      <w:pPr>
        <w:ind w:left="200" w:hanging="192"/>
        <w:spacing w:after="0"/>
        <w:tabs>
          <w:tab w:leader="none" w:pos="200"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Licensed bivalent, mRNA-based comparator vaccine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bivalent candidate CV0701 was tested at a low, medium, and high dose level. The graphs below illustrate the reported reactogenicity (left graph) and immunogenicity (right graph) data. The immunogenicity data show neutralizing antibody titers against BA.4-5 on day 29 following the booster vaccination that were 2.7-fold, 3.7-fold, and 4.6-fold the titers before the booster, compared to a 3.6-fold ratio of post- to pre-booster titers for the comparator vaccine. Antibody titers against the original SARS-CoV-2 virus on day 29 following the booster vaccination were 2.1-fold, 2.7-fold, and 3.1-fold the titers before the booster, compared to a 2.8-fold ratio of post-to pre-booster titers for the comparator vaccine, matching or numerically exceeded the titers induced by the licensed comparator, except for the low dose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131445</wp:posOffset>
            </wp:positionV>
            <wp:extent cx="5040630" cy="20148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4063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hanging="192"/>
        <w:spacing w:after="0"/>
        <w:tabs>
          <w:tab w:leader="none" w:pos="200"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GMR and confidence intervals are adjusted for baseline titer, age at baseline (&lt;65 or ≥65) and prior SARS-CoV-2 infection</w:t>
      </w:r>
    </w:p>
    <w:p>
      <w:pPr>
        <w:spacing w:after="0" w:line="29" w:lineRule="exact"/>
        <w:rPr>
          <w:rFonts w:ascii="Times New Roman" w:cs="Times New Roman" w:eastAsia="Times New Roman" w:hAnsi="Times New Roman"/>
          <w:sz w:val="18"/>
          <w:szCs w:val="18"/>
          <w:i w:val="1"/>
          <w:iCs w:val="1"/>
          <w:color w:val="auto"/>
        </w:rPr>
      </w:pPr>
    </w:p>
    <w:p>
      <w:pPr>
        <w:ind w:left="200" w:hanging="192"/>
        <w:spacing w:after="0"/>
        <w:tabs>
          <w:tab w:leader="none" w:pos="200"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Licensed bivalent, mRNA-based comparator vaccine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Influenza: Disease Overview</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Influenza is a highly contagious virus that causes mild to severe respiratory virus that can lead to death. During the 2022-2023 influenza season, influenza was associated with 31 million illnesses, 14 million medical visits, 360,000 hospitalizations and 21,000 deaths in the United States. Preliminary in-season burden estimates for the U.S. in the 2023-2024 flu season showed 32-59 million flu illnesses, 15-27 million flu medical visits, 360,000-730,000 flu hospitalizations and 22,000-65,000 flu deaths. The WHO reports that globally there are around a billion cases of seasonal influenza annually, including three to five million cases of severe influenza, leading to as many as 290,000 to 650,000 deaths.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Influenza viral infections can be prevented by vaccination although there are several limitations associated with current flu vaccines. Flu vaccines are not always effective, primarily because the influenza virus and its associated antigens undergo mutations or changes in its sequence over short periods of time, which is called antigenic drift. Vaccines that are developed for the predominant strain infecting people can be rendered ineffective as the virus mutates as it passes from person to person. The process of developing a standard traditional vaccine typically takes approximately eight months from strain identification to doctor’s office availability, increasing the likelihood that a significant pool of viruses circulating will be poorly recognized by antibodies in vaccinated individuals. Additionally, vaccine efficacy tends to wane over time. For these reasons, vaccination of the target population needs to be repeated every year before the start of the next influenza season, putting a significant burden on the health system. Furthermore, only a part of the population targeted to get the yearly shot is vaccinated each year, leaving many individuals unprotected.</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Clinical Influenza Vaccines Program (second-generation mRNA backbone)</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Influenza is the first indication from the initial collaboration we started with GSK in July 2020, which focuses on the development of new products for different targets in the field of infectious diseases. The jointly developed influenza vaccine candidates are based on our second-generation mRNA backbone, which can flexibly encode for different influenza strains and which features targeted optimizations designed to improve intracellular mRNA stability and translation for increased and extended protein expression. The optimizations potentially allow for strong and early immune responses at low doses, which will also support the state-of-the-art multivalent format of influenza vaccines as well as combination vaccine approaches. The second-generation mRNA backbone differs significantly from the mRNA backbone for our first-generation. The first candidate from the second-generation backbone influenza program was the non-chemically modified mRNA construct CVSQIV, a differentiated multivalent vaccine candidate featuring multiple non-chemically modified mRNA constructs to induce immune responses against relevant targets of four different influenza strains. On February 10, 2022, we announced the start of a Phase 1 dose-escalation study in Panama evaluating the safety, reactogenicity and immunogenicity of CVSQIV in the dose range of 3µg to 28µg. Preliminary safety data reported on April 28, 2022, showed a benign reactogenicity profile across the tested dose groups. Within the jointly developed COVID-19 vaccine program, we also extended our technology platform to chemically modified mRNA constructs to allow for data-driven selection of the best candidate. We announced the start of a Phase 1 dose-escalation study with a chemically modified influenza vaccine candidate, Flu SV mRNA, on August 18, 2022. The candidate is a monovalent candidate. The Phase 1 dose-escalation study is being conducted in Canada, Spain and Belgium to evaluate the safety, reactogenicity and immunogenicity of Flu SV mRNA. On January 6, 2023 we announced that the second-generation mRNA backbone using modified mRNA was selected as the preferred technology for further clinical development in the influenza program.</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Flu SV mRNA: Preliminary Phase 1 Data of the Chemically Modified Construct Expressing an H1N1 hemagglutinin antigen</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Clinical Influenza Vaccine Programs (second-generation mRNA backbone)</w:t>
      </w:r>
    </w:p>
    <w:p>
      <w:pPr>
        <w:spacing w:after="0" w:line="229"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Seasonal influenza and avian influenza (H5N1) are the first two indications from the collaboration we started with GSK in July 2020, which focuses on the development of new products for different targets in the field of infectious diseases. The jointly developed influenza vaccine candidates are based on our second-generation mRNA backbone, which can flexibly encode for different influenza strains, and which features targeted optimizations designed to improve intracellular mRNA stability and translation for increased and extended protein expression. The optimizations potentially allow for strong and early immune responses at low doses, which will also support the state-of-the-art multivalent format of influenza vaccines as well as combination vaccine approaches.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Combined Phase 1/2 Study Start in Avian Influenza</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April 24, 2024, the start of the Phase 1 part of a combined Phase 1/2 study of an investigational influenza A (H5N1) pre-pandemic vaccine candidate was announced. The study assesses a monovalent vaccine candidate encoding an influenza A H5-antigen. The H5N1 avian flu virus is considered a potential future pandemic threat, able to sporadically cross species from its original bird host to other animal hosts to humans.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Interim Phase 2 Data of the Multivalent Seasonal Influenza Vaccine Candidate</w:t>
      </w:r>
    </w:p>
    <w:p>
      <w:pPr>
        <w:spacing w:after="0" w:line="22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 combined Phase 1/2 clinical study was initiated on May 8, 2023. The initial Phase 1 part compared a comprehensive series of multivalent, modified mRNA seasonal flu vaccine candidates with up to eight separate mRNA constructs per candidate, addressing all four WHO-recommended flu strains. Candidates were tested at different dose levels in 270 healthy younger adults (age 18-50). On September 12, 2023, we announced selection of a promising vaccine candidate for continued Phase 2 clinical development based on positive data from an interim analysis of the Phase 1 part. Interim safety data showed no safety concerns across all tested dose levels for the multivalent candidates. Immunogenicity of all candidates was assessed in parallel with a licensed seasonal flu vaccine comparator. The humoral responses observed supported the selection of the preferred vaccine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announced dosing of the first participant with the preferred vaccine candidate in the Phase 2 part of the study on November 1, 2023. The potentially differentiated, multivalent candidate encodes antigens matched to all WHO-recommended flu strains. In the Phase 2 part, the selected candidate is being tested in younger (age 18-64) and older (age 65-85) adults at different dose levels compared to age-appropriate licensed seasonal flu comparator vaccines. On April 4, 2024, we announced that the selected candidate boosted antibody titers against all encoded flu strains and across all age groups and tested dose levels, including the lowest tested dose. The vaccine candidate was shown to have an acceptable safety and tolerability profile, with the majority of solicited adverse events reported as either grade 1 (mild) or grade 2 (moderate) within seven days of dosing. The results confirm previous findings that the platform elicits strong overall antibody titers at well-tolerated dose levels. Among younger and older adults, geometric mean titers generated by the vaccine candidate against influenza A strains numerically exceeded the geometric mean titers of the licensed comparator vaccines consistently across all tested dose levels. For influenza B strains geometric mean titers were lower than those elicited by the licensed comparator vaccines across both age groups and tested dose levels. Targeted optimizations to further improve immune responses against influenza B strains will be tested in an additional Phase 2 study.</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Preliminary Phase 1 Data of Monovalent Seasonal Influenza Construct Flu SV mRNA</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January 6, 2023, the second-generation mRNA backbone using modified mRNA was selected as the preferred technology for further clinical development in the seasonal flu vaccine program. In the Phase 1 study of the monovalent Flu-SV-mRNA, expressing an H1N1 hemagglutinin antigen (subtype of influenza A), five doses ranging from 2 to 54μg with up to 25 subjects per dose cohort were evaluated in younger adults (age 18-45). This dose range takes into account that the candidate is a monovalent construct. Correspondingly, the applied doses reflect doses for a single mRNA construct, which would later be multiplied for a state-of-the-art multivalent flu vaccine. In the younger adult age group, the preliminary safety and reactogenicity data shown below demonstrate that the monovalent Flu-SV-mRNA candidate was generally well tolerated with no safety concerns observed to date across all tested dose levels. A single dose of Flu-SV-mRNA (dose level undisclosed) was assessed for safety and reactogenicity in older adults (age 60-80) and was also observed to be safe and well tolerated with no grade 3 adverse events in the 32 subjects who were administered the mRNA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134620</wp:posOffset>
            </wp:positionV>
            <wp:extent cx="5606415" cy="16802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641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Immunogenicity of the monovalent Flu-SV-mRNA construct was assessed in parallel with a licensed seasonal flu vaccine comparator in both age groups, shown as the orange bar to the right in the figures below. The data illustrate the ratio of post- to pre-boost geometric mean hemagglutinin inhibition antibody titers. In younger adults, Flu-SV-mRNA achieved comparable antibody increases to the licensed vaccine, boosting geometric mean titers at least about 14-fold beginning at the lowest dose of 2µg. In older adults a comparable ratio of post- to pre-boost titers of 14.5 was achieved at the undisclosed dose, which compares to a ratio of 6.2 for the flu vaccine comparator.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130810</wp:posOffset>
            </wp:positionV>
            <wp:extent cx="5246370" cy="17659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4637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robust preliminary ratios of post- to pre-boost geometric mean hemagglutinin inhibition antibody titers were shown to result in seroconversion rates that are substantially higher for the modified mRNA candidate. Specifically in the older adults age group, the percentage of subjects achieving seroconversion was 89.7% for Flu-SV-mRNA and 56.2% for the licensed flu vaccine comparator.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123190</wp:posOffset>
            </wp:positionV>
            <wp:extent cx="5709285" cy="1834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0928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Interim data supported the progression of the modified second-generation mRNA technology for the development of a multivalent mRNA flu vaccine as it is tested in the currently ongoing Phase 2 part of the combined Phase 1/2 study.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RNA-Based Therapeutics in Molecular Therapies</w:t>
      </w:r>
    </w:p>
    <w:p>
      <w:pPr>
        <w:spacing w:after="0" w:line="20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mRNA-based protein supplementation offers a therapeutic approach to compensate for lack of proteins in monogenetic diseases caused by loss-of-function mutations. It offers a potentially curative treatment option, especially in diseases in which the protein is expressed predominantly in organs that can be reached by intravenous delivery (such as the liver). Despite the success of classical enzyme-replacement therapy in several metabolic disorders, this therapeutic approach is not well suited for treatment of diseases caused by the lack of functional intracellular proteins, especially if the proteins are located in or on intracellular compartments. Additionally, as therapeutic proteins are conventionally manufactured by using human, animal or even plant cells, the pharmacological and biochemical properties of such recombinant proteins may differ from endogenously expressed enzymes. Cellular localization, folding and post-translational modifications can especially be critical for the correct function of a therapeutic protein. Delivery of mRNA can overcome these limitations and is likely to result in expression of a functional protein at a physiological cellular location. An example of our rare disease approach is for the potential treatment of hereditary spastic paraplegia, or HSP.</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Hereditary Spastic Paraplegia</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HSP is a group of inherited disorders that are characterized by progressive weakness and spasticity of the legs due to axonal degeneration of the corticospinal tract. Hereditary spastic paraplegia type 5, or SPG5, is caused by autosomal recessive loss-of-function mutations in CYP7B1, a gene encoding for the cytochrome P-450 oxysterol 7-α-hydroxylase, essential for the alternative pathway of bile acid synthesis in the liver. Mutations causing SPG5 lead to decreased enzyme activity of CYP7B1 and accumulation of oxysterols in the serum, the liver and then the central nervous system. The accumulation of hydroxyl cholesterol, or HC, in the brain is what is believed to be the pathologic correlate of this particular disease, which leads to spasms and paraplegia as symptoms. To date, no curative treatment for SPG5 is available. Current clinical treatment strategies for SPG5 are based on the reduction of cholesterol by applying cholesterol-lowering drugs (statins), which consequently lead to a reduction of oxysterols.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116205</wp:posOffset>
            </wp:positionV>
            <wp:extent cx="2743200" cy="13290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4320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approach is based on replacement of CYP7B1 by administration of mRNA. We have studied the intravenous application of formulated CYP7B1 mRNA in mice lacking the endogenous </w:t>
      </w:r>
      <w:r>
        <w:rPr>
          <w:rFonts w:ascii="Times New Roman" w:cs="Times New Roman" w:eastAsia="Times New Roman" w:hAnsi="Times New Roman"/>
          <w:sz w:val="18"/>
          <w:szCs w:val="18"/>
          <w:i w:val="1"/>
          <w:iCs w:val="1"/>
          <w:color w:val="auto"/>
        </w:rPr>
        <w:t>Cyp7b1</w:t>
      </w:r>
      <w:r>
        <w:rPr>
          <w:rFonts w:ascii="Times New Roman" w:cs="Times New Roman" w:eastAsia="Times New Roman" w:hAnsi="Times New Roman"/>
          <w:sz w:val="18"/>
          <w:szCs w:val="18"/>
          <w:color w:val="auto"/>
        </w:rPr>
        <w:t xml:space="preserve"> gene. Comparable to the human situation in SPG5 patients, a drastic increase of these oxysterols was detected in all three compartments (serum, liver and brain) of knockout mice. Using this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model, we were able to demonstrate that a therapeutic approach with mRNA can restore human CYP7B1 protein that exhibits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physiological function and eliminates abnormal cholesterol metabolites</w:t>
      </w:r>
      <w:r>
        <w:rPr>
          <w:rFonts w:ascii="Times New Roman" w:cs="Times New Roman" w:eastAsia="Times New Roman" w:hAnsi="Times New Roman"/>
          <w:sz w:val="18"/>
          <w:szCs w:val="18"/>
          <w:i w:val="1"/>
          <w:iCs w:val="1"/>
          <w:color w:val="auto"/>
        </w:rPr>
        <w:t>.</w:t>
      </w:r>
    </w:p>
    <w:p>
      <w:pPr>
        <w:spacing w:after="0" w:line="143" w:lineRule="exact"/>
        <w:rPr>
          <w:sz w:val="20"/>
          <w:szCs w:val="20"/>
          <w:color w:val="auto"/>
        </w:rPr>
      </w:pPr>
    </w:p>
    <w:p>
      <w:pPr>
        <w:ind w:right="240" w:firstLine="324"/>
        <w:spacing w:after="0" w:line="272" w:lineRule="auto"/>
        <w:rPr>
          <w:sz w:val="20"/>
          <w:szCs w:val="20"/>
          <w:color w:val="auto"/>
        </w:rPr>
      </w:pPr>
      <w:r>
        <w:rPr>
          <w:rFonts w:ascii="Times New Roman" w:cs="Times New Roman" w:eastAsia="Times New Roman" w:hAnsi="Times New Roman"/>
          <w:sz w:val="17"/>
          <w:szCs w:val="17"/>
          <w:color w:val="auto"/>
        </w:rPr>
        <w:t>As shown below, we investigated the safety and efficiency of repeated dosing with four consecutive doses of 40 μg LNP-encoded mRNA of CYP7B1 administered intravenously every five days. LNP loaded with a non-translating mRNA were applied as control (vehicle). Prior to the administration, serum samples were taken to determine basal oxysterol levels. Two days after the last injection</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(17 days of treatment), animals were sacrificed, and serum, liver and brain samples were analyzed. Oxysterol analysis of these samples demonstrated a significant decrease of 25 hydroxy cholesterol, or 25 HC, in the serum and liver. mRNA expression of the human CYP7B1 in the liver led to a reduction of 25 HC in the liver by 8-fold and in serum by approximately 88%. These effects are accompanied by a reduction of the accumulation of 25 HC in the brain by more than 50%. Additionally, repetitive treatment resulted in a significant decrease of 27-HC and 3β-HCA in livers of treated compared to vehicle animals.</w:t>
      </w:r>
    </w:p>
    <w:p>
      <w:pPr>
        <w:spacing w:after="0" w:line="14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repeat intravenous delivery of CYP7B1 mRNA was found to be well tolerated in this study. Neither the CYP7B1 mRNA nor the restored protein nor the LNP induced liver toxicity. None of the treated animals presented signs of toxic or adverse effects. LNP particles encapsulating non-coding mRNA led to a temporary increase in oxysterol levels (25-HC and 27-HC) in liver and serum in the vehicle group, which is expected given cholesterol is an essential component of LNPs.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99695</wp:posOffset>
            </wp:positionV>
            <wp:extent cx="4491990" cy="11398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49199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Lysosomal Storage Disorders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Lysosomal storage diseases are well-defined, single-gene disorders that are amenable to correction by systemic mRNA therapy.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have conducted preclinical studies in an undisclosed lysosomal storage disease, or LSD, to evaluate LNP delivery of mRNA encoding the deficient enzyme to the liver, production of the enzyme by the liver and subsequent secretion and systemic distribution of the enzyme to the primary organs affected by the disease. In this specific LSD, the enzyme deficiency results in a progressive accumulation of lipid in cellular lysosomes, which ultimately affect the functioning of the heart and kidneys. Enzyme replacement therapy, or ERT, which involves intravenous administration of recombinant enzyme, has been the standard of care for this specific LSD. In contrast to ERTs, our LNP mRNA technology specifically and efficiently targets the liver to naturally produce the missing enzyme, which is subsequently secreted into the bloodstream and distributed to the affected organs. In this specific LSD, the liver is not the target organ, but is used to produce the endogenous native enzyme.</w:t>
      </w:r>
    </w:p>
    <w:p>
      <w:pPr>
        <w:spacing w:after="0" w:line="15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 shown below, LNP delivered mRNA therapy produces a high and homogenous expression of the missing enzyme in the livers of knockout mice (Figure A, brownish stain). The endogenously produced enzyme is then secreted into the bloodstream with a better pharmacokinetic profile than the injected recombinant protein. The enzyme is then taken up by the target organs. In this example, the enzyme is taken up by the heart (Figure B) and kidney (Figure C) and localized into the lysosomes. Our mRNA therapy, through prolonged synthesis and secretion by the liver, led to higher enzyme activity in the organs compared to the infused recombinant enzyme (Figures B and C). This higher enzyme activity leads to a significant and prolonged reduction of accumulated lipids in the organs of mRNA-treated animals (Figure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114300</wp:posOffset>
            </wp:positionV>
            <wp:extent cx="4509135" cy="28714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09135"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Liver-Specific Metabolic Diseases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are applying a similar approach to inherited liver-specific metabolic disorders of amino acids, nitrogen and essential nutrients. The goal of these studies is to restore the specific enzyme or protein that is deficient in the liver by LNP-mediated delivery of mRNA to the liver. As such, the target organ for correction is the liver, and secretion and systemic distribution of the enzyme or protein to other organs is not required for a therapeutic effect.</w:t>
      </w:r>
    </w:p>
    <w:p>
      <w:pPr>
        <w:spacing w:after="0" w:line="13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ability to optimize mRNA stability and translation, in combination with optimization of the expressed protein, is an important part of our technical expertise. Using a process of mRNA and protein optimization, we believe that we are able to extend the duration of protein expression to meet a defined target product profile.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One example of this technology is the mRNA that we are developing for a metabolic amino acid disorder. In this inherited disorder, a liver-specific intracellular enzyme is deficient resulting in decreased metabolism of the amino acid. As a result, there is a toxic build-up of the amino acid in the blood, which leads to severe consequences for the central nervous system.</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 single intravenous injection of a liver-targeted LNP formulation containing the therapeutic mRNA leads to a marked decrease in the level of the amino acid in the sera of knockdown animals (Figure A), but also in the brain (Figure B). Several rounds of mRNA and protein optimization were subsequently performed. Improving the mRNA molecular structure during the first round of optimization prolonged the protein and its therapeutic effect (Figure A) compared to the reference mRNA. Protein optimization (Figures C and D) of the expressed target enzyme increased its expression/stability and/or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The combination of both optimization programs resulted in a candidate with improved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104775</wp:posOffset>
            </wp:positionV>
            <wp:extent cx="3343275" cy="31457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43275"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Fibrotic Liver Diseases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According to published literature, chronic liver diseases cause two million deaths a year worldwide. We have shown that the delivery of liver-specific protein factors, which are down regulated in fibrosis, can resolve liver fibrosis, a key pathological feature of NAFLD, NASH, cirrhosis and hepatocellular carcinoma. Protein factor treatment of liver diseases is uniquely suited to mRNA medicines enabling the expression of intracellular proteins. Moreover, we believe that in this particular case, the LNP technology allows us to deliver mRNA almost exclusively to the target cells, hepatocytes.</w:t>
      </w:r>
    </w:p>
    <w:p>
      <w:pPr>
        <w:spacing w:after="0" w:line="1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 CCL4 chemically induced mouse model of liver fibrosis, we delivered eight doses of LNP-mRNA at an interval of five days at 2 mg/kg. The figure below illustrates the ability of an mRNA-delivered protein factor to reduce collagen, the main fibrotic material deposited in fibrosis, and eliminate activated stellate cells, the source of collagen (stained red). To confirm the potential activity of this mRNA therapy, we obtained similar data in two other unrelated murine models: a diet-induced model and a knockout mouse model of liver fibrosis. These findings offer preclinical proof of concept for this therapeutic concept to treat acute and chronic liver diseases, as well as diseases of other organs.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are currently focused on significantly lowering the dose by employing two parallel strategies – mRNA sequence optimization to improve expression and optimization of the protein sequence for higher and sustained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88265</wp:posOffset>
            </wp:positionV>
            <wp:extent cx="3257550" cy="17316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5755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mRNA has the potential to promote expression without inducing an adverse immune response against the encoded protein. We have tested various antibodies using different designs to evaluate our platform’s potential for prophylactic and therapeutic antibodies.</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evaluated the use of mRNA for passive immunization in two indications, rabies and botulism, that can be considered prototypes for anti-pathogen and anti-toxin therapies, respectively. Single injections of mRNA-LNPs were sufficient to establish rapid, strong and long-lasting serum antibody titers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thereby enabling both prophylactic and therapeutic protection against lethal rabies infection or botulinum intoxication. In both models, the high levels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serum expression conferred full protection in pre- and post-exposure scenarios.</w:t>
      </w:r>
    </w:p>
    <w:p>
      <w:pPr>
        <w:spacing w:after="0" w:line="1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left side of the graphic below shows that mice expressing the anti-rabies mAb survived, whereas the majority of control animals which received anti-influenza mAb mRNA succumbed to the rabies infection. The right side of the graphic below shows that mice treated post-intoxication with VNA-BoNTA mRNA or recombinant VNA-BoNTA also survived.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97790</wp:posOffset>
            </wp:positionV>
            <wp:extent cx="4886325" cy="1431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8632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In addition, we have demonstrated that mRNA-mediated antibody expression may be effective in the field of cancer immunotherapy, where mAbs are widely used in medical practice. In a preclinical study conducted in mice, we compared the efficacy of rituximab-encoding mRNAs to recombinant rituximab. We inoculated mice intravenously with luciferase expressing Raji lymphoma cells and started treatment with 50 μg of mRNA-LNP encoding rituximab and 200 μg of recombinant rituximab at various time points. mRNA-LNPs coding for an irrelevant antibody were used as further control. Control animals revealed strong tumor cell proliferation and had to be euthanized 17 days after inoculation due to severe symptoms. As shown in the picture below, repeated administration of mRNA-LNP for rituximab strongly decelerated or even abolished tumor cell growth compared to continued tumor growth for recombinant rituximab.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94615</wp:posOffset>
            </wp:positionV>
            <wp:extent cx="2297430" cy="21602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29743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Therapeutic HNF4A mRNA to Attenuate Liver Fibrosis in Mice</w:t>
      </w:r>
    </w:p>
    <w:p>
      <w:pPr>
        <w:spacing w:after="0" w:line="183" w:lineRule="exact"/>
        <w:rPr>
          <w:sz w:val="20"/>
          <w:szCs w:val="20"/>
          <w:color w:val="auto"/>
        </w:rPr>
      </w:pPr>
    </w:p>
    <w:p>
      <w:pPr>
        <w:ind w:left="400"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On August 25, 2021, we published first preclinical data on the restoration of hepatocyte functions and attenuation of liver fibrosis and cirrhosis in multiple mouse models via an HNF4A encoding mRNA in the Journal of Hepatology. Owing to the extensive amount of data featured in the scientific publication, the following data excerpts represent only a selection of important findings of the preclinical studies. Full data can be accessed via the corresponding publication.</w:t>
      </w:r>
    </w:p>
    <w:p>
      <w:pPr>
        <w:spacing w:after="0" w:line="14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a first step within the study, existing clinical data was collected that confirmed reduced endogenous HNF4A mRNA levels in patients with liver fibrosis, graded by the Ishak score. In two cohorts from Hannover Medical School, Germany, and Shanghai Zhongshan Hospital, China, liver tissues showed fibrosis stage-dependent reduction in HNF4A mRNA. Subsequently, it was examined whether in vitro synthesized </w:t>
      </w:r>
      <w:r>
        <w:rPr>
          <w:rFonts w:ascii="Times New Roman" w:cs="Times New Roman" w:eastAsia="Times New Roman" w:hAnsi="Times New Roman"/>
          <w:sz w:val="18"/>
          <w:szCs w:val="18"/>
          <w:i w:val="1"/>
          <w:iCs w:val="1"/>
          <w:color w:val="auto"/>
        </w:rPr>
        <w:t>HNF4A</w:t>
      </w:r>
      <w:r>
        <w:rPr>
          <w:rFonts w:ascii="Times New Roman" w:cs="Times New Roman" w:eastAsia="Times New Roman" w:hAnsi="Times New Roman"/>
          <w:sz w:val="18"/>
          <w:szCs w:val="18"/>
          <w:color w:val="auto"/>
        </w:rPr>
        <w:t xml:space="preserve"> mRNA produces functionally active HNF4A protein. The wild-type (non-codon-optimized) or codon-optimized HNF4A mRNA were transfected into the human cervical carcinoma cell line (HeLa) cells as these lack endogenous HNF4A expression. Codon-optimized </w:t>
      </w:r>
      <w:r>
        <w:rPr>
          <w:rFonts w:ascii="Times New Roman" w:cs="Times New Roman" w:eastAsia="Times New Roman" w:hAnsi="Times New Roman"/>
          <w:sz w:val="18"/>
          <w:szCs w:val="18"/>
          <w:i w:val="1"/>
          <w:iCs w:val="1"/>
          <w:color w:val="auto"/>
        </w:rPr>
        <w:t>HNF4A</w:t>
      </w:r>
      <w:r>
        <w:rPr>
          <w:rFonts w:ascii="Times New Roman" w:cs="Times New Roman" w:eastAsia="Times New Roman" w:hAnsi="Times New Roman"/>
          <w:sz w:val="18"/>
          <w:szCs w:val="18"/>
          <w:color w:val="auto"/>
        </w:rPr>
        <w:t xml:space="preserve"> mRNA-transfected cells showed higher HNF4A protein levels than those transfected with wild-type </w:t>
      </w:r>
      <w:r>
        <w:rPr>
          <w:rFonts w:ascii="Times New Roman" w:cs="Times New Roman" w:eastAsia="Times New Roman" w:hAnsi="Times New Roman"/>
          <w:sz w:val="18"/>
          <w:szCs w:val="18"/>
          <w:i w:val="1"/>
          <w:iCs w:val="1"/>
          <w:color w:val="auto"/>
        </w:rPr>
        <w:t>HNF4A</w:t>
      </w:r>
      <w:r>
        <w:rPr>
          <w:rFonts w:ascii="Times New Roman" w:cs="Times New Roman" w:eastAsia="Times New Roman" w:hAnsi="Times New Roman"/>
          <w:sz w:val="18"/>
          <w:szCs w:val="18"/>
          <w:color w:val="auto"/>
        </w:rPr>
        <w:t xml:space="preserve"> mRNA. ZsGreen mRNA-transfected HeLa cells served as a control.</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Human HNF4A mRNA restoration improves function of fibrotic hepatocytes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4629150" cy="28117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62915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Figure. (A) qPCR analyses of human HNF4A mRNA in patients with fibrosis; 0 (n = 9), 1 (n = 3), 2 (n = 3), 3 (n = 3) and 4 (n = 3) from MHH, Germany and 0 (n = 6), 2 (n = 4) 3 (n = 3), 4 (n = 5), 5 (n = 4), 6 (n = 5) from Zhongshan Hospital, China. (C) Western blot and its quantification for wild-type (non-codon-optimized) and codon-optimized HNF4A mRNA in HeLa cells, 6 hours after HNF4A mRNA delivery.</w:t>
      </w:r>
    </w:p>
    <w:p>
      <w:pPr>
        <w:spacing w:after="0" w:line="14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Efficient Lipid Nanoparticle (LNP)-mediated mRNA delivery into hepatocytes of murine fibrotic livers was established. LNPs interact with apolipoprotein E at the surface of hepatocytes and are subsequently internalized via endocytosis. However, whether LNP-formulated mRNA reaches hepatocytes of fibrotic livers efficiently has remained unknown. LNP carrying mRNA encoding for Photinus pyralis luciferase (Luc/LNP) or ZsGreen (ZsGreen/LNP) were injected into CCl4-induced fibrotic and non-fibrotic control (wild-type) mice i.v. In-vivo imaging revealed robust bioluminescence exclusively in the liver from 8 hours to 120 hours after Luc/LNP injection in both groups (graphic shown below). Co-localization studies showed robust ZsGreen protein expression specifically in hepatocytes of fibrotic and control mice, but not in other hepatic cells. Our results demonstrated that LNP-formulated mRNA technology could specifically and efficiently target hepatocytes in murine fibrotic livers (data not shown below).</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Targeted delivery of LNP-encapsulated mRNA into hepatocytes of fibrotic livers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4483100" cy="34893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483100" cy="348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Figure. Successful mRNA delivery into hepatocytes of fibrotic BALB/c mice by LNP. Bioluminescence analyses at 8 h, 24 h and 48 h in wild type control and CCl4-induced fibrotic mice (n = 3 mice per group) injected i.v. with 40µg luciferase mRNA-encapsulated LNP (Luc/LNP).</w:t>
      </w:r>
    </w:p>
    <w:p>
      <w:pPr>
        <w:spacing w:after="0" w:line="14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To address whether systemic administration of </w:t>
      </w:r>
      <w:r>
        <w:rPr>
          <w:rFonts w:ascii="Times New Roman" w:cs="Times New Roman" w:eastAsia="Times New Roman" w:hAnsi="Times New Roman"/>
          <w:sz w:val="18"/>
          <w:szCs w:val="18"/>
          <w:i w:val="1"/>
          <w:iCs w:val="1"/>
          <w:color w:val="auto"/>
        </w:rPr>
        <w:t>HNF4A</w:t>
      </w:r>
      <w:r>
        <w:rPr>
          <w:rFonts w:ascii="Times New Roman" w:cs="Times New Roman" w:eastAsia="Times New Roman" w:hAnsi="Times New Roman"/>
          <w:sz w:val="18"/>
          <w:szCs w:val="18"/>
          <w:color w:val="auto"/>
        </w:rPr>
        <w:t xml:space="preserve"> mRNA inhibits liver fibrosis, mice with toxin- (repeated CCl4 injection, data shown below) or cholestasis-induced fibrosis (induced via 3,5-diethoxycarbonyl-1,4-dihydrocollidine DDC-containing diet, data not shown) were used. </w:t>
      </w:r>
      <w:r>
        <w:rPr>
          <w:rFonts w:ascii="Times New Roman" w:cs="Times New Roman" w:eastAsia="Times New Roman" w:hAnsi="Times New Roman"/>
          <w:sz w:val="18"/>
          <w:szCs w:val="18"/>
          <w:i w:val="1"/>
          <w:iCs w:val="1"/>
          <w:color w:val="auto"/>
        </w:rPr>
        <w:t>HNF4A</w:t>
      </w:r>
      <w:r>
        <w:rPr>
          <w:rFonts w:ascii="Times New Roman" w:cs="Times New Roman" w:eastAsia="Times New Roman" w:hAnsi="Times New Roman"/>
          <w:sz w:val="18"/>
          <w:szCs w:val="18"/>
          <w:color w:val="auto"/>
        </w:rPr>
        <w:t xml:space="preserve"> mRNA levels significantly decreased in fibrotic livers from both models. </w:t>
      </w:r>
      <w:r>
        <w:rPr>
          <w:rFonts w:ascii="Times New Roman" w:cs="Times New Roman" w:eastAsia="Times New Roman" w:hAnsi="Times New Roman"/>
          <w:sz w:val="18"/>
          <w:szCs w:val="18"/>
          <w:i w:val="1"/>
          <w:iCs w:val="1"/>
          <w:color w:val="auto"/>
        </w:rPr>
        <w:t>HNF4A</w:t>
      </w:r>
      <w:r>
        <w:rPr>
          <w:rFonts w:ascii="Times New Roman" w:cs="Times New Roman" w:eastAsia="Times New Roman" w:hAnsi="Times New Roman"/>
          <w:sz w:val="18"/>
          <w:szCs w:val="18"/>
          <w:color w:val="auto"/>
        </w:rPr>
        <w:t xml:space="preserve">/LNP or ZsGreen/LNP (henceforth referred to as control) were injected i.v. into fibrotic mice at 2 mg/kg per injection. HNF4A protein expression was confirmed in </w:t>
      </w:r>
      <w:r>
        <w:rPr>
          <w:rFonts w:ascii="Times New Roman" w:cs="Times New Roman" w:eastAsia="Times New Roman" w:hAnsi="Times New Roman"/>
          <w:sz w:val="18"/>
          <w:szCs w:val="18"/>
          <w:i w:val="1"/>
          <w:iCs w:val="1"/>
          <w:color w:val="auto"/>
        </w:rPr>
        <w:t>HNF4A</w:t>
      </w:r>
      <w:r>
        <w:rPr>
          <w:rFonts w:ascii="Times New Roman" w:cs="Times New Roman" w:eastAsia="Times New Roman" w:hAnsi="Times New Roman"/>
          <w:sz w:val="18"/>
          <w:szCs w:val="18"/>
          <w:color w:val="auto"/>
        </w:rPr>
        <w:t xml:space="preserve">/LNP-injected mouse livers and was absent in control mice, since the HNF4A antibody was only specific to human but not mouse HNF4A. </w:t>
      </w:r>
      <w:r>
        <w:rPr>
          <w:rFonts w:ascii="Times New Roman" w:cs="Times New Roman" w:eastAsia="Times New Roman" w:hAnsi="Times New Roman"/>
          <w:sz w:val="18"/>
          <w:szCs w:val="18"/>
          <w:i w:val="1"/>
          <w:iCs w:val="1"/>
          <w:color w:val="auto"/>
        </w:rPr>
        <w:t>HNF4A</w:t>
      </w:r>
      <w:r>
        <w:rPr>
          <w:rFonts w:ascii="Times New Roman" w:cs="Times New Roman" w:eastAsia="Times New Roman" w:hAnsi="Times New Roman"/>
          <w:sz w:val="18"/>
          <w:szCs w:val="18"/>
          <w:color w:val="auto"/>
        </w:rPr>
        <w:t>/LNP-injected mice showed significantly reduced alanine aminotransferase (ALT) and bilirubin indicating improved liver function, and significantly reduced levels of collagen (hydroxyproline assay), suggesting decreased fibrosis in both CCl4 and DDC models. Histological analyses, desmin (profibrogenic activated stellate cell marker) and Sirius red (collagen marker) staining further confirmed reduced fibrosis in CCl4 (Fig. F, N). Our data together provide evidence that HNF4A mRNA delivery attenuates fibrosis in mouse models of toxin as well as cholestasis-induced fibrosis.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Therapeutic HNF4A/LNP delivery inhibits toxin induced liver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4680585" cy="31546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8058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Figure. Therapeutic HNF4A/LNP delivery inhibits toxin induced liver fibrosis. CCl4-induced liver fibrosis (n = 6 mice per CCl4 model).</w:t>
      </w:r>
    </w:p>
    <w:p>
      <w:pPr>
        <w:spacing w:after="0" w:line="41" w:lineRule="exact"/>
        <w:rPr>
          <w:sz w:val="20"/>
          <w:szCs w:val="20"/>
          <w:color w:val="auto"/>
        </w:rPr>
      </w:pPr>
    </w:p>
    <w:p>
      <w:pPr>
        <w:ind w:right="320" w:firstLine="8"/>
        <w:spacing w:after="0" w:line="260" w:lineRule="auto"/>
        <w:tabs>
          <w:tab w:leader="none" w:pos="275" w:val="left"/>
        </w:tabs>
        <w:numPr>
          <w:ilvl w:val="0"/>
          <w:numId w:val="8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Hnf4a qPCRs after CCl4 injection. (D) Liver function tests for ALT shows reduced injury upon HNF4A/LNP administration. (E) Hydroxyproline assay shows reduced collagen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100965</wp:posOffset>
            </wp:positionV>
            <wp:extent cx="4560570" cy="1937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6057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360045</wp:posOffset>
            </wp:positionV>
            <wp:extent cx="2726055" cy="15690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26055" cy="15690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2108835</wp:posOffset>
            </wp:positionV>
            <wp:extent cx="15684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Therapeutic HNF4A/LNP delivery inhibits toxin induced liver fibrosis. CCl4-induced liver fibrosis (n = 6 mice per CCl4 model).</w:t>
      </w:r>
    </w:p>
    <w:p>
      <w:pPr>
        <w:spacing w:after="0" w:line="29" w:lineRule="exact"/>
        <w:rPr>
          <w:sz w:val="20"/>
          <w:szCs w:val="20"/>
          <w:color w:val="auto"/>
        </w:rPr>
      </w:pPr>
    </w:p>
    <w:p>
      <w:pPr>
        <w:ind w:right="440" w:firstLine="8"/>
        <w:spacing w:after="0" w:line="260" w:lineRule="auto"/>
        <w:tabs>
          <w:tab w:leader="none" w:pos="275"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Immunohistochemical images of H&amp;E, desmin and Sirius red stainings. Scale bars, 100 lm. (G) Quantification of Sirius red and desmin stainings.</w:t>
      </w:r>
    </w:p>
    <w:p>
      <w:pPr>
        <w:spacing w:after="0" w:line="14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summary, the preclinical work shown here provides the first evidence that therapeutic mRNA delivery restores intracellular HNF4A transcription factor levels, induces endogenous Hnf4a expression, and improves metabolic activity of targeted hepatocytes. The data show that hepatocyte-specific delivery of HNF4A mRNA in injured livers attenuates fibrosis and cirrhosis in multiple independent mouse models of liver diseases. The shown data represents only a selection of important findings of the comprehensive preclinical studies. Full data can be accessed via the corresponding publication.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Eye Diseases</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exploring the treatment of eye diseases with mRNA therapy. We have strategic collaborations with SERI for the development of mRNA-based treatments for currently undisclosed eye indications. We believe that the treatment of eye diseases with mRNA therapy represents an excellent opportunity for the mRNA approach for the following reasons:</w:t>
      </w:r>
    </w:p>
    <w:p>
      <w:pPr>
        <w:spacing w:after="0" w:line="135" w:lineRule="exact"/>
        <w:rPr>
          <w:sz w:val="20"/>
          <w:szCs w:val="20"/>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Therapeutic protein can be produced directly and locally within the target tissue;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treatment in the eye requires lower mRNA doses, thereby minimizing systemic exposure;</w:t>
      </w:r>
    </w:p>
    <w:p>
      <w:pPr>
        <w:spacing w:after="0" w:line="225" w:lineRule="exact"/>
        <w:rPr>
          <w:rFonts w:ascii="Times New Roman" w:cs="Times New Roman" w:eastAsia="Times New Roman" w:hAnsi="Times New Roman"/>
          <w:sz w:val="18"/>
          <w:szCs w:val="18"/>
          <w:color w:val="auto"/>
        </w:rPr>
      </w:pPr>
    </w:p>
    <w:p>
      <w:pPr>
        <w:ind w:left="680" w:right="88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Enables production of endogenous proteins to stop or prevent pathological processes locally in the eye, such as neo-vascularization or apoptosis;</w:t>
      </w:r>
    </w:p>
    <w:p>
      <w:pPr>
        <w:spacing w:after="0" w:line="161"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Enables expression of multi-domain intracellular or transmembrane proteins in key cells within the eye overcoming limitations of recombinant proteins;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concern with potential side effects typical for viral gene vector;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mRNA construct size restrictions as with viral gene vectors;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eye is an immune-privileged organ.</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Based on positive preclinical data the agreement and collaboration with SERI moved ahead. We believe that the clinical and research expertise in eye diseases at SERI would allow us to fully leverage our mRNA in the discovery and validation of eye disease targets amenable to mRNA treatment. In collaboration with SERI, a high-priority rare eye condition has been identified for development. Multiple therapeutic targets have been identified for this condition and mRNAs have been generated and are currently being tested in preclinical studies, including models of disease.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20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various licensing and commercialization agreements, including the following agreements with respect to product candidates: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2020 GlaxoSmithKline Collaboration and License Agreement</w:t>
      </w:r>
    </w:p>
    <w:p>
      <w:pPr>
        <w:spacing w:after="0" w:line="20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July 2020, we entered into a Collaboration and License Agreement with GSK, which we refer to as the 2020 GSK Agreement, pursuant to which we are collaborating with GSK to research, develop and commercialize prophylactic and therapeutic non-replicating mRNA-based vaccines and antibodies targeting infectious disease pathogens. Under the terms of the 2020 GSK Agreement, we granted GSK a worldwide exclusive, sublicensable (subject to certain conditions) license under certain of our intellectual property relating to vaccines and antibodies encoded by our proprietary mRNA targeting certain selected pathogens, or GSK Program Products, and a non-exclusive license under certain LNP technology to develop, manufacture and commercialize a certain number of such GSK Program Products for use in connection with the infectious diseases targeted under the 2020 GSK Agreement. We additionally granted GSK an exclusive option for a certain period to add additional products in the field of infectious diseases as GSK Program Products. If such additional product targets a coronavirus other than SARS-CoV-2, at our election such product will be developed and commercialized on a cost and profit split basis under the GSK COVID Agreement. GSK is permitted for a certain period to replace any of the GSK Program Products with an alternative product, up to a certain number of times, and to exchange any antigen or antibody for which we have granted GSK a license under LNP technology for an alternative antigen or antibody, up to a certain number of times. In April 2023, GSK exercised its replacement right to replace one product. In the event we obtain rights to any intellectual property controlled by a third party that is useful for the development, manufacture or commercialization of the GSK Program Products, but which is not necessary to obtain freedom to operate with respect to the use or exploitation of our technology or know-how, we must, at GSK’s election, use commercially reasonable efforts to obtain a sublicense to such rights on behalf of GSK. Under the terms of the 2020 GSK Agreement, GSK granted us a royalty-free, non-exclusive license under certain GSK-controlled technology to perform certain development and manufacturing activities under the 2020 GSK Agreement. The 2020 GSK Agreement was amended and restated in April 2021, September 2021, February 2022 and March 2022. Under the September 2021 Amendment, each party also granted the other party a royalty-free, perpetual, worldwide, non-exclusive, sublicensable license under certain inventions created by such party to freely practice, use and exploit such inventions in any field.</w:t>
      </w:r>
    </w:p>
    <w:p>
      <w:pPr>
        <w:spacing w:after="0" w:line="14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For a certain period after the effective date, GSK has the right to reserve up to a certain number of antigens and we and our affiliates will be prohibited from granting any rights to a third party with respect to any such antigen for use in connection with infectious diseases. Under the terms of the 2020 GSK Agreement, GSK and its affiliates and sublicensees and we and our affiliates are additionally prohibited from developing, manufacturing or commercializing, directly or indirectly, any prophylactic or therapeutic mRNA-based vaccine or mRNA-based antibody targeting a pathogen targeted by a GSK Program Product, other than as contemplated under the 2020 GSK Agreement. Such exclusivity obligation will continue on a pathogen-by-pathogen basis for the duration of the 2020 GSK Agreement, so long as such pathogen is targeted by a GSK Program Product. We are additionally prohibited from granting any third party any license under the licensed LNP technology, or using such LNP technology ourselves, in connection with any GSK Program Product for so long as such GSK Program Product is being developed or commercialized under the 2020 GSK Agreement, except as contemplated under the 2020 GSK Agreement. We are additionally prohibited, for the period during which GSK’s option to license additional GSK Program Products remains outstanding, from commercializing or granting any third-party the right to develop or commercialize any prophylactic or therapeutic mRNA-based vaccine or mRNA-based antibody targeting certain pathogens for use in connection with infectious diseases.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and GSK are required to complete certain development activities with respect to the GSK Program Products set forth in various development plans. Among other development responsibilities, we are required to provide clinical supply and will in principle be responsible for sponsoring Phase 1 clinical trials for the GSK Program Products. We and GSK agree to decide whether the products required for clinical studies will be manufactured by us, GSK or jointly. At GSK’s request, we are required to transfer to GSK all know-how necessary for GSK’s development activities under the 2020 GSK Agreement and all know-how necessary for the manufacture of the GSK Program Products. GSK is generally responsible for development activities following completion of Phase 1 clinical trials and is required to use diligent efforts to secure marketing authorization following completion of all necessary clinical trials. GSK is responsible for the commercialization of approved GSK Program Products in all countries other than Austria, Germany and Switzerland and is required to use diligent efforts to commercialize approved GSK Program Products in certain major market countries. At our request, we and GSK will negotiate and agree in good faith to a distribution agreement pursuant to which we will have the exclusive right to commercialize GSK Program Products in Austria, Germany and Switzerland, and we will pay GSK royalties at the rate set out below. We and GSK are required to provide development data to the other party thorough a joint steering committee.</w:t>
      </w:r>
    </w:p>
    <w:p>
      <w:pPr>
        <w:spacing w:after="0" w:line="1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GSK paid us an upfront payment of €120 million and is required to pay us a manufacturing capacity reservation fee of €30 million following a certain regulatory milestone event, which is creditable against future milestone payments. We are eligible to receive up to between €28 million to €45 million in development milestone payments, €32 million to €35 million in regulatory milestone payments and €70 to €100 million in commercial milestone payments, depending on the GSK Program Product. Upon each exercise of its option to add additional products as GSK Program Products, GSK is required to compensate us for certain development costs and pay any accrued milestone payments. If GSK exercises its right to replace a GSK Program Product and if the replacement product was already under development by us, GSK must compensate us for certain development costs and pay any accrued milestone payments. We are eligible to receive tiered royalty payments ranging from a single-digit percentage to a low teens percentage on net sales, subject to certain customary reductions. GSK’s royalty obligations continue on a product-by-product and country-by-country basis until the later of (i) the expiration of the last to expire valid claim covering such product in such country, (ii) the earlier of expiration of regulatory exclusivity for such product in such country or 12 years following the first commercial sale of such product in such country or (iii) ten years following the first commercial sale of such product in such country provided our proprietary know-how is required for such product. In any event, GSK’s royalty obligations with respect to a product will expire in all countries no later than 20 years following the first commercial sale of such product in any country in which GSK is responsible for the commercialization of approved GSK Program Products. GSK is required to compensate us for certain development and regulatory costs we may incur in connection with our performance of our obligations under the 2020 GSK Agreement and we are eligible to receive up to €20,000 in reimbursements for expenses incurred recording or registering the licenses granted under the 2020 GSK Agreement. Under any distribution agreement entered into between us and GSK in connection with our distribution of a GSK Program Product in Austria, Germany and Switzerland, we will be required to purchase supply from GSK and pay GSK a low thirties percentage royalty on net sales. Under the March 2022 amendment, GSK and CureVac agreed on certain changes to the manufacturing strategy for the products developed under the collaboration, as a part of which GSK agreed to reimburse us for certain manufacturing expenses amounting to €42 million.</w:t>
      </w:r>
    </w:p>
    <w:p>
      <w:pPr>
        <w:spacing w:after="0" w:line="161"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7"/>
          <w:szCs w:val="17"/>
          <w:color w:val="auto"/>
        </w:rPr>
        <w:t>The term of the 2020 GSK Agreement will continue until the expiration of the last-to-expire royalty term, unless terminated earlier by either party. GSK has the right to terminate the 2020 GSK Agreement in its entirety or on a program-by-program basis for convenience following a certain notice period. We and GSK both have the right to terminate the 2020 GSK Agreement on a program-by-program basis before the first commercial sale of a GSK Program Product under such program in the event of the other party’s material breach following a cure period or after the first commercial sale of a GSK Program Product under such program if the other party fails to make any payments due, commits any willful and material breach of the restrictions on any license granted to such party, commits a material breach of its non-compete obligations or commits a persistent and material breach of its confidentiality obligations following a cure period. We additionally have the right to terminate on a program-by-program basis after the first commercial sale of a GSK Program Product under such program if GSK commits a material breach of its commercialization diligence obligations following a cure period.</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Upon expiration, the licenses granted to GSK under the 2020 GSK Agreement will become fully paid-up, perpetual and non-exclusive. In the event GSK terminates the 2020 GSK Agreement or a program under the 2020 GSK Agreement for convenience or we terminate a program under the 2020 GSK Agreement for cause, we will have the right to elect to continue with the development and commercialization of such program ourselves. If we decline to continue with the development and commercialization of a terminated program, all licenses granted under the 2020 GSK Agreement will terminate. If we elect to continue with the development and commercialization of a terminated program, all licenses granted by us to GSK will terminate and GSK must grant us an exclusive license under any intellectual property developed under the 2020 GSK Agreement and, at our election, a non-exclusive license under technology, which was used by GSK for the development, manufacture or commercialization of such terminated product. In the case of termination for GSK’s convenience and if we elect to obtain such nonexclusive license, we will be required to pay GSK a single-digit percentage royalty on net sales. In the case of our termination for cause, the grant of rights and transition of the assets from GSK will be subject to a payment to GSK to be mutually agreed by the parties. In the event GSK terminates a program under the 2020 GSK Agreement for cause, GSK will have the right to elect to continue the development and commercialization of such program. If GSK declines to continue with the development and commercialization of a terminated program, all licenses granted under the 2020 GSK Agreement will terminate. If GSK elects to continue development and commercialization, all licenses granted to GSK under the 2020 GSK Agreement will survive termination and all payment obligations will remain in effect except that GSK will have the right to suspend payments until the amount of damages suffered by GSK has been agreed and set off against such payments.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GlaxoSmithKline COVID Collaboration and License Agreement</w:t>
      </w:r>
    </w:p>
    <w:p>
      <w:pPr>
        <w:spacing w:after="0" w:line="20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April 2021, we entered into a collaboration agreement with GSK, which we refer to as the GSK COVID Agreement, pursuant to which we are collaborating with GSK to research, develop and manufacture next-generation mRNA vaccines targeting the original SARS-CoV-2 strain as well as emerging variants, including multivalent and monovalent approaches, such as our second-generation COVID-19 vaccine candidates, CV0601 or CV0701. These vaccine candidates may either be used to protect unvaccinated individuals or to serve as boosters in the event that SARS-CoV-2 immunity gained from an initial vaccination reduces over time.</w:t>
      </w:r>
    </w:p>
    <w:p>
      <w:pPr>
        <w:spacing w:after="0" w:line="143"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Under the terms of the GSK COVID Agreement, we granted GSK a worldwide, exclusive, sublicensable (subject to certain conditions) license under certain of our intellectual property relating to mRNA-based vaccines targeting SARS-CoV-2 and a non-exclusive license under certain LNP technology to develop, manufacture and commercialize certain SARS-CoV-2 pathogen vaccine products, or the GSK COVID Products, for use in connection with the prevention or treatment of diseases caused by the SARS-CoV-2 pathogen. The GSK COVID Products consist of (i) next-generation SARS-CoV-2 pathogen vaccine products (other than CVnCoV), (ii) vaccine products targeting coronaviruses other than SARS-CoV-2 for which GSK exercises its exclusive option pursuant to the 2020 GSK Agreement and where we elect to develop and commercialize such product on a cost and profit split basis under the GSK COVID Agreement and (iii) next-generation SARS-CoV-2 pathogen vaccine products (other than CVnCoV) that also target one or more pathogens that the parties are targeting under the 2020 GSK Agreement, which we refer to as Combination Products. In the event we obtain rights to any intellectual property controlled by a third-party that is useful for the development, manufacture or commercialization of the GSK COVID Products, but which is not necessary to obtain freedom to operate with respect to the use or exploitation of our technology or know-how, we must, at GSK’s election, use commercially reasonable efforts to obtain a sublicense to such rights on behalf of GSK. Under the terms of the GSK COVID Agreement, GSK granted us a royalty-free, non-exclusive license under certain GSK-controlled technology to perform certain development and manufacturing activities under the GSK COVID Agreement. Under the September 2021 Amendment, each party also granted the other party a royalty-free, perpetual, worldwide, non-exclusive, sublicensable license under certain inventions created by such party to freely practice, use and exploit such inventions in any field.</w:t>
      </w:r>
    </w:p>
    <w:p>
      <w:pPr>
        <w:spacing w:after="0" w:line="154"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GSK and its affiliates and sublicensees and we and our affiliates are prohibited from, subject to certain exceptions, developing, manufacturing or commercializing, directly or indirectly, any mRNA-based vaccine or mRNA-based antibody products targeting the SARS-CoV-2 pathogen, other than a GSK COVID Product as contemplated under the GSK COVID Agreement or CVnCoV. The exclusivity obligations remain in effect until the expiration or termination of the GSK COVID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and GSK are required to complete certain development activities with respect to the GSK COVID Products set forth in various development plans. The GSK COVID Agreement was amended and restated in September 2021, February 2022 and March 2022, as described below, and further amended in August 2022 to reflect conforming updates to the development plans. Pursuant to the amendment in September 2021, we and GSK are required to complete certain development activities with respect to the GSK COVID Products set forth in updated development plans. We and GSK agree to decide whether the GSK COVID Products required for clinical studies will be manufactured by us, GSK or jointly. Once a manufacturing and supply strategy for a given GSK COVID Product has been agreed upon between the parties, we must negotiate and agree in good faith on a commercial supply agreement pursuant to which we may be required to reserve certain manufacturing capacity for GSK. At GSK’s request, we are required to transfer to GSK all know-how necessary for GSK’s development activities under the GSK COVID Agreement and all know-how necessary for the manufacture of the GSK COVID Products. GSK is responsible for the commercialization of GSK COVID Products in all countries other than Austria, Germany and Switzerland and is required to use diligent efforts to commercialize approved GSK COVID Products in certain major market countries. At our request, we and GSK will negotiate and agree in good faith to a distribution agreement pursuant to which we will have the exclusive right to commercialize GSK COVID Products in Austria, Germany and Switzerland. We and GSK are required to provide development data to the other party thorough a joint steering committee.</w:t>
      </w:r>
    </w:p>
    <w:p>
      <w:pPr>
        <w:spacing w:after="0" w:line="15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the GSK COVID Agreement, GSK paid us an upfront payment of €75 million. Upon GSK’s exercise of its option to add CVnCoV and boosters for such vaccine as GSK COVID Products, GSK is required to compensate us for certain development costs. We and GSK agreed to equally share all development costs for GSK COVID Products, subject to certain exceptions. We and GSK will share all net profits generated from sales of GSK COVID Products, other than Combination Products, under profit sharing arrangements that in certain cases vary depending upon the GSK COVID Product in question, the time of sale, the number of doses sold and the party to whom the sale is made. We are eligible to receive tiered royalty payments ranging from a sub-teen percentage to a mid-teens percentage on net sales of Combination Products, subject to certain customary reductions. We will pay GSK a high-teen percentage royalty on net sales of all Combination Products in Austria, Germany and Switzerland. All royalty obligations continue on a product-by-product and country-by-country basis until the later of (i) the expiration of the last to expire valid claim covering such product in such country (ii) the earlier of expiration of regulatory exclusivity for such product in such country or 12 years following the first commercial sale of such product in such country, or (iii) 10 years following the first commercial sale of such product in such country provided our proprietary know-how is required for such product. In any event, GSK’s royalty obligations with respect to a product will expire in all countries no later than 20 years following the first commercial sale of such product in the respective party’s territory.</w:t>
      </w:r>
    </w:p>
    <w:p>
      <w:pPr>
        <w:spacing w:after="0" w:line="16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term of the GSK COVID Agreement will continue until the expiration of all applicable payment obligations, unless terminated earlier by either party. GSK has the right to terminate the GSK COVID Agreement in its entirety for convenience following a certain notice period, and we have the right to opt out of the funding of the development, manufacture and commercialization of a GSK COVID Products on a product-by-product basis. In the event we opt out of funding the development of a GSK COVID Product, GSK can elect to cease the development and commercialization of the relevant product, or to continue it on the terms of the 2020 GSK Agreement. If GSK declines to continue with the development and commercialization, the agreement terminates in connection with that GSK COVID Product and all licenses granted under the GSK COVID Agreement will terminate. We and GSK both have the right to terminate the GSK COVID Agreement before the first commercial sale of a GSK COVID Product in the event of the other party’s material breach following a cure period or after the first commercial sale of a GSK COVID Product if the other party fails to make any payments due, commits any willful and material breach of the restrictions on any license granted to such party, commits a material breach of its non-compete obligations or commits a persistent and material breach of its confidentiality obligations following a cure period. We additionally have the right to terminate after the first commercial sale of a GSK COVID Product if GSK commits a material breach of its commercialization diligence obligations following a cure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Upon expiration, the licenses granted to GSK under the GSK COVID Agreement will become fully paid-up, perpetual and non-exclusive. In the event GSK terminates the GSK COVID Agreement for convenience or we terminate the GSK COVID Agreement for cause, all licenses granted to GSK under the GSK COVID Agreement will terminate and we will have the right to elect to continue with the development and commercialization of the GSK COVID Products ourselves. If we elect to continue with the development and commercialization of the COVID Products, GSK must grant us an exclusive license under any intellectual property developed under the GSK COVID Agreement and, at our election, a non-exclusive license under technology which was used by GSK for the development, manufacture or commercialization of the GSK COVID Products. In the case of termination for GSK’s convenience and if we elect to obtain such non-exclusive license, we will be required to pay GSK a royalty ranging from a sub-single-digit percentage to a low single-digit percentage on net sales. In the case of our termination for cause, the grant of rights and transition of the assets from GSK will be subject to a payment to GSK to be mutually agreed by the parties. In the event GSK terminates the GSK COVID Agreement for cause, GSK will have the right to elect to continue the development and commercialization of the GSK COVID Products. If GSK declines to continue with the development and commercialization of the GSK COVID Products, all licenses granted under the GSK COVID Agreement will terminate. If GSK elects to continue development and commercialization, all licenses granted to GSK under the GSK COVID Agreement will survive termination, provided that for GSK COVID Products other than Combination Products a one-time payment from GSK to Curevac (in replacement of a continuous profit sharing mechanism) will be mutually agreed upon by the parties. All payment obligations for Combination Products will remain in effect. In each case, GSK will have the right to suspend payments until the amount of damages suffered by GSK has been agreed and set off against such payments.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CureVac-GSK Consortium Agreement</w:t>
      </w:r>
    </w:p>
    <w:p>
      <w:pPr>
        <w:spacing w:after="0" w:line="16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Federal Republic of Germany, represented by the Vaccine Production Taskforce on behalf of the Federal Ministry of Health, called for tenders relating to pandemic preparedness, which we refer to as the Tender Procedure. The Tender Procedure resulted in framework agreements for the provision to the Federal Republic of Germany of production capacities and, upon demand, the production and supply of mRNA vaccines (referred to as lot 1) and vector- or protein-based vaccines (referred to as lot 2). Because neither we nor GSK were alone in a position to provide the full range of services requested by the Federal Republic of Germany under the Tender Procedure, we established a consortium with GSK (referred to as the CureVac-GSK Consortium) for the purpose of participating in the Tender Procedure, entering into a framework agreement for the provision of production capacities and, upon demand, the production and supply of mRNA vaccines (lot 1), which we refer to as a Pandemic Preparedness Agreement.</w:t>
      </w:r>
    </w:p>
    <w:p>
      <w:pPr>
        <w:spacing w:after="0" w:line="12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CureVac-GSK Consortium submitted an application and offer under the Tender Procedure for the award of a Pandemic Preparedness Agreement. On April 8, 2022, the Federal Republic of Germany sent a letter confirming that the CureVac-GSK Consortium had been awarded a Pandemic Preparedness Agreement. Following a qualification phase of a maximum of two years from the award date, the Pandemic Preparedness Agreement grants the government access to a manufacturing capacity of 80 million doses of mRNA-based vaccine per year until 2029, subject to extension. Under the contract, after successful achievement of pandemic preparedness by the end of the qualification phase, the contract will enter into a stand-by phase during which the government will pay the CureVac-GSK Consortium an annual stand-by fee. During the stand-by phase, the CureVac-GSK Consortium is required to maintain a manufacturing capacity of 80 million doses of mRNA-based vaccine per year at constant readiness. The Pandemic Preparedness Agreement is subject to termination by the Federal Republic of Germany or the CureVac-GSK Consortium if, among other things, by the end of the qualification phase the CureVac-GSK Consortium does not have an mRNA-based vaccine for which a marketing authorization (which may be temporary) for the German market has been granted. On April 9, 2024, the CureVac-GSK Consortium terminated the Pandemic Preparedness Agreement, effective as of May 31, 2024.</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Genmab Collaboration and License Agreement</w:t>
      </w:r>
    </w:p>
    <w:p>
      <w:pPr>
        <w:spacing w:after="0" w:line="16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2019, we entered into a Collaboration and License Agreement with Genmab, which we refer to as the Genmab Agreement, to research and develop up to four potential differentiated mRNA-based antibody products, to be selected by Genmab, based on the combination of our proprietary RNAntibody technology with Genmab’s proprietary antibody technology for the treatment of human diseases. The Genmab Agreement was amended in July 2020, December 2020 and June 2021. Pursuant to the Genmab Agreement we granted Genmab an exclusive, worldwide, sublicensable (subject to certain conditions) license under our mRNA technology for the development, manufacture and commercialization of an mRNA antibody product designed to express a certain Genmab proprietary antibody, which we refer to as the Genmab First Program. However, in June 2023 Genmab notified us of its intent to terminate the Genmab First Program under the Genmab Agreement effective in September 2023. Such termination did not terminate the Genmab Agreement in its entirety, but rather only with respect to certain license and exclusivity provisions related to the Genmab First Program. We additionally granted Genmab an exclusive, worldwide, sublicensable license under our mRNA technology for the research and preclinical development of up to four additional mRNA antibody product concepts and an option to obtain an exclusive, worldwide, sublicensable (subject to certain conditions) license to develop, manufacture and commercialize product candidates for up to three of such product concepts. We have the option to share in the costs and profits in connection with the development, manufacture and commercialization of one of the additional mRNA antibody product concepts under predefined terms and conditions.</w:t>
      </w:r>
    </w:p>
    <w:p>
      <w:pPr>
        <w:spacing w:after="0" w:line="15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may not, directly or indirectly, offer any rights to a third party under the technology we license to Genmab for the additional product concepts and targets being developed under the Genmab Agreement or conduct or participate in the development, manufacture or commercialization of any antibody product that is directed at a target being developed under the Genmab Agreement for certain periods of time.</w:t>
      </w:r>
    </w:p>
    <w:p>
      <w:pPr>
        <w:spacing w:after="0" w:line="13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partial consideration for entering into the Genmab Agreement, Genmab paid us an upfront fee of $10 million and made a €20 million equity investment. Genmab is additionally required to pay us up to $30 million in option exercise fees. If Genmab exercises any of its options to obtain commercial licenses for the additional mRNA antibody concepts, Genmab would fund all research and would develop and commercialize any resulting product candidates. We are additionally eligible to receive up to between $25 million and $43 million in development milestone payments, $100 million and $125 million in regulatory milestone payments and $150 million and $200 million in commercial milestone payments for each product, depending on the specific product concept. In addition, we are eligible to receive a mid-single-digit to low teens percentage tiered royalty on aggregate net sales of licensed products, on a per product basis and subject to certain customary reductions. Genmab’s royalty obligation continues on a country-by-country and product-by-product basis until the later of the expiration of the last-to-expire valid claim in the licensed patents in such country covering such licensed product, expiration of regulatory exclusivity for such product in such country or 10 years from the date of the first commercial sale of such product. In the event we exercise our right to share in the development, manufacture and commercialization of a product, we must pay Genmab a one-time payment of $3 million and refund any option fee paid by Genmab with respect to such product. As of December 31, 2023, we have received $1 million in development cost reimbursements, and we have not received any reservation, product selection, option exercise or sublicense fees or milestone or royalty payments.</w:t>
      </w:r>
    </w:p>
    <w:p>
      <w:pPr>
        <w:spacing w:after="0" w:line="17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required to use commercially reasonable efforts to perform our obligations under the research and development plans established in connection with the Genmab Agreement. Genmab is required to use commercially reasonable efforts to identify and develop each additional product Genmab adds to the development program under the Genmab Agreement, and to further develop each optioned product to marketing authorization and to commercialize each product for which it obtains regulatory approval. We and Genmab are required to make available to the other party all preclinical development data for each program under development under the Genmab Agreement until filing of an IND for such program. Following IND filing for a product, we and Genmab will establish a collaboration committee where Genmab will share the status, progress and results of the development of the respective product.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term of the Genmab Agreement will continue until the expiration of the royalty term, unless terminated earlier by either party. The Genmab Agreement may be terminated upon written notice by either party upon the other party’s material breach or default of any of its obligations following a cure period. Genmab may terminate the Genmab Agreement for convenience after a certain notice period. Upon expiration of the Genmab Agreement, the license rights we granted to Genmab under the Genmab Agreement will become fully paid-up, perpetual and non-exclusive. In the event of termination for our material breach, we will grant Genmab an exclusive (even to us), worldwide and sublicensable license to exploit any product identified prior to termination, subject to Genmab’s continued milestone and royalty obligations. In the event of termination by us for Genmab’s material breach, or Genmab’s termination for convenience, the licenses granted to Genmab will automatically terminate. Additionally, at our request, Genmab will grant us a non-exclusive, royalty-free, sublicensable, perpetual and worldwide license under certain Genmab intellectual property that is created under the Genmab Agreement and that is required to develop, manufacture and commercialize our own mRNA antibody products targeting the collaboration targets under the Genmab Agreement prior to termination. Such license would not include any license to Genmab background intellectual property or the specific products or antibodies developed by Genmab.</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Arcturus Development and Option Agreement</w:t>
      </w:r>
    </w:p>
    <w:p>
      <w:pPr>
        <w:spacing w:after="0" w:line="200"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In January 2018, we entered into a Development and Option Agreement with Arcturus, which we refer to as the Arcturus Agreement, pursuant to which Arcturus granted us the right to reserve a certain number of targets and an irrevocable offer to obtain a license to a certain number of such reserved targets to develop, manufacture and commercialize products containing Arcturus’s LNP technology (LMD technology) and mRNA constructs intended to express such targets. The Arcturus Agreement expired in July 2023. We did not accept the offer with respect to any targets.</w:t>
      </w:r>
    </w:p>
    <w:p>
      <w:pPr>
        <w:spacing w:after="0" w:line="14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we made payments totaling $5.6 million to Arcturus reimbursing Arcturus for development costs and in connection with our FTE funding obligations.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Acuitas Development and Option Agreement</w:t>
      </w:r>
    </w:p>
    <w:p>
      <w:pPr>
        <w:spacing w:after="0" w:line="20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April 2016, we entered into a Development and Option Agreement with Acuitas, which as amended we refer to as the Acuitas Agreement, pursuant to which Acuitas granted us the right to reserve a certain number of vaccine and other targets and an option to obtain a license to a certain number of such reserved targets to develop, manufacture and commercialize products containing Acuitas’s LNP technology and mRNA constructs intended to express such targets. With respect to a certain number of nonexclusive licenses to vaccine targets that we obtain under the Acuitas Agreement, Acuitas additionally granted us an option to exchange each vaccine target licensed under such nonexclusive license for an alternate vaccine target for a certain period. As of December 31, 2023, we have exercised our option to obtain a nonexclusive license to 18 targets, and have not exercised our option to exchange a vaccine target licensed under any nonexclusive license. In connection with an amendment to the Acuitas Agreement dated February 13, 2024, Acuitas also granted us the right to evaluate, and an option to obtain a license to, certain of Acuitas’s LNP technology for personalized cancer vaccine products.</w:t>
      </w:r>
    </w:p>
    <w:p>
      <w:pPr>
        <w:spacing w:after="0" w:line="14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Under the Acuitas Agreement, Acuitas is responsible for the LNP chemistry and formulation and characterization work, and we are responsible for mRNA construct development. Both parties will undertake certain allocated preclinical studies. Each party is required to use diligent efforts to perform its obligations under the work plans established in connection with the Acuitas Agreement. Acuitas is further required to use diligent efforts to manufacture and supply us with certain formulated products. The Acuitas Agreement provides for the establishment of a joint development committee for the discussion of development efforts under the Acuitas Agreement. We are required to reimburse Acuitas for certain costs incurred in connection with development activities and certain FTE costs.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further required to pay Acuitas annual target reservation and maintenance fees of up to $1.4 million if we reserve the maximum number of targets permitted under the Acuitas Agreement. We are additionally required to pay an option exercise fee ranging from $50,000 to $2 million upon each exercise of our option under the Acuitas Agreement, subject to certain additional fees ranging from $10,000 to $200,000 for the exercise of our option for certain other vaccine targets. We paid Acuitas a $5 million upfront fee in connection with an amendment to the Acuitas Agreement dated July 2020 and, upon each exercise of our option to exchange a vaccine target licensed under any non-exclusive license, we paid an exchange fee of $3 million. We paid Acuitas a $3 million upfront fee in connection with an amendment to the Acuitas Agreement dated December 2020 and paid two annual payments of an additional $250,000 per option to extend certain options. Under each license agreement we enter into in connection with our exercise of our option, we will additionally be required to make low single-digit percentage tiered royalty payments, subject to certain customary reductions, on a country-by-country and a product-by-product basis until the later of the expiration of the last-to-expire licensed patent in such country covering such licensed product, expiration of regulatory exclusivity for such product in such country or 10 years from the date of the first commercial sale of such product in such country. Under each such license we additionally must pay up to between $1.1 million and $9 million in development milestone payments, $1.3 million and $7 million in regulatory milestone payments and $1.3 million and $7 million in commercial milestone payments, depending on whether the license is exclusive or non-exclusive and the number of options exercised to date. As of December 31, 2023, we have exercised our option to obtain a non-exclusive license to 18 targets. As of December 31, 2023, we have paid Acuitas $9.7 million in reservation and option exercise fees, $0.6 million in license maintenance fees and $1.75 million for certain options not yet exercised and have made payments totaling $9.0 million reimbursing Acuitas for development costs and LNP batches and in connection with our FTE funding obligations. Payments made under the license agreements entered into in connection with our exercise of our option under the Acuitas Agreement are described below.</w:t>
      </w:r>
    </w:p>
    <w:p>
      <w:pPr>
        <w:spacing w:after="0" w:line="15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the Acuitas Agreement, Acuitas granted us a worldwide, non-exclusive license under its LNP technology for us to perform development activities, and we granted Acuitas a worldwide, non-exclusive license under our mRNA technology solely to enable Acuitas to perform development activities in connection with the Acuitas Agreement.</w:t>
      </w:r>
    </w:p>
    <w:p>
      <w:pPr>
        <w:spacing w:after="0" w:line="1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Acuitas Agreement will expire in April 2025 unless earlier terminated or extended. Both parties have the right to terminate the Acuitas Agreement in whole or on a program-by-program basis in the event of a material breach by the other party following a cure period. We additionally have the right to terminate the Acuitas Agreement for convenience following a certain notice period or for Acuitas’s change of control. In the event of termination for any reason, Acuitas will transfer all deliverables created under the Acuitas Agreement to us and in the event we terminate for reasons other than for Acuitas’s material breach, we must make any payments owed to Acuitas up to the time of termination. In the event we terminate for Acuitas’s material breach or for Acuitas’s change of control, Acuitas will transfer any technology and provide licenses as reasonably necessary for us to complete work contemplated under the Acuitas Agreement and, in the case of termination for Acuitas’s material breach, Acuitas must refund to us any target reservation and maintenance fees for the remainder of the contract year in which such termination is effective.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Acuitas Non-exclusive License Agreements</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For each option we have exercised under the Acuitas Agreement, we have entered into a non-exclusive license agreement with Acuitas with respect to such optioned product, all based on the same form agreement, which we collectively refer to as the Acuitas License Agreements. Under the Acuitas License Agreements, Acuitas grants us a non-exclusive, non-transferable, sublicensable (subject to certain conditions) worldwide license under Acuitas’s LNP technology to develop, manufacture and commercialize licensed products directed to the optioned targets. We may convert the non-exclusive licenses to exclusive licenses subject to certain additional financial obligations. As of December 31, 2023, we have not converted any non-exclusive license to an exclusive license.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must pay Acuitas up to between $1.1 million and $1.6 million in development milestone payments, $1.3 million and $1.8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regulatory milestone payments and $1.3 million and $1.8 million in commercial milestone payments under each Acuitas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upon the occurrence of certain milestone events. We additionally are obligated to pay Acuitas annual fees ranging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to $10,000 for any additional protein targeted by a vaccine product licensed under an Acuitas License Agreement after a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 event. We are further required to pay Acuitas a low single-digit tiered percentage royalty on net sales of licensed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potential customary reductions. Our royalty obligations continue under each Acuitas License Agreement on a country-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by-country and product-by-product basis until the later of the expiration of the last-to-expire licensed patent claim covering such licensed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in such country, expiration of any regulatory exclusivity period for such product in such country and 10 years following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sale of such product in such country. As of December 31, 2023, we have made $100,000 in development milestone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Acuitas with respect to the license agreement relating to Rabies RAV-G, $1.4 million in development milestone payments (Phase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II and Phase III milestone payments) to Acuitas with respect to the license agreement relating to the SARS-CoV-2 Spike protein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$350,000 in development milestone payments to Acuitas with respect to the license agreement relating to the Influenza hemagglutinin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 antigen, $1.0 million in development milestone payments to Acuitas with respect to the license agreement relating to CVGBM,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not made any royalty payments.</w:t>
      </w:r>
    </w:p>
    <w:p>
      <w:pPr>
        <w:spacing w:after="0" w:line="166"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Each Acuitas License Agreement will continue on a product-by-product and a country-by-country basis until there are no more payments owed to Acuitas for such product in such country. Either party may terminate an Acuitas License Agreement in the event of a material breach by the other party following a cure period. We additionally have the right to terminate the Acuitas License Agreements for convenience following a certain notice period. Upon expiration of an Acuitas License Agreement, the licenses granted to us under such Acuitas License Agreement will become fully paid-up and will remain in effect. In the event of our termination of an Acuitas License Agreement for Acuitas’s material breach, the rights and licenses granted to us under such agreement will become perpetual and irrevocable. Alternatively, instead of exercising our right to terminate in the event of Acuitas’s material breach, we may elect to instead continue the license but reduce our milestone and royalty payment obligations to Acuitas by a certain percentage. In the event of termination of an Acuitas License Agreement by us for convenience or by Acuitas for our material breach, the licenses granted under such agreement will terminate, except that we will have the right to sell off any remaining inventories of licensed products for a certain period of time.</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CRISPR Therapeutics Development and License Agreement</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2017, we entered into a Development and License Agreement with CRISPR Therapeutics, which as amended by a first amendment entered into in June 2020 and a second amendment entered into in October 2023, we refer to as the CRISPR Therapeutics Agreement, pursuant to which we will develop novel Cas9 mRNA constructs for use in gene editing therapeutics. Under the terms of the CRISPR Therapeutics Agreement, we granted CRISPR Therapeutics a worldwide, exclusive (even to us), sublicensable (subject to certain conditions) license under certain intellectual property rights that are reasonably necessary or useful to develop, manufacture or commercialize products comprising Cas9 mRNA constructs, and under any patents controlled by us that arise from inventions discovered under the CRISPR Therapeutics Agreement to develop, manufacture and commercialize three of CRISPR Therapeutics’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gene-editing programs for certain diseases. CRISPR Therapeutics granted us an exclusive (even as to CRISPR Therapeutics), worldwide, cost-free sublicense to manufacture products comprising Cas9 mRNA constructs for CRISPR Therapeutics.</w:t>
      </w:r>
    </w:p>
    <w:p>
      <w:pPr>
        <w:spacing w:after="0" w:line="14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CRISPR Therapeutics has paid us an upfront one-time technology access fee of $3 million and we are eligible to receive up to $28 million in development milestone payments, $52 million in regulatory milestone payments and $260 million in commercial milestone payments, as well as mid single-digit percentage royalties from CRISPR Therapeutics on the net sales of licensed products on a product-by-product and country-by-country basis, subject to certain potential customary reductions. CRISPR Therapeutics’ royalty obligations continue on a product-by-product and country-by-country basis until the later of the date when there are no valid patent claims under our licensed patents covering such licensed product in such country, the date when regulatory exclusivity for such licensed product in such country expires and 10 years following the date of first commercial sale of such licensed product in such country. CRISPR Therapeutics is additionally required to reimburse us for our FTE costs and reasonable out-of-pocket expenses incurred performing development activities under the CRISPR Therapeutics Agreement. In the event CRISPR Therapeutics exercises its right to sublicense under the agreement, CRISPR Therapeutics must pay us a low teens to mid-twenties percentage of any non-royalty sublicense income, depending on the timing of the sublicense and whether the sublicense is granted through an affiliate of CRISPR Therapeutics. As of December 31, 2023, we have received €8.4 million in payments, for the supply of materials and FTE cost, development reimbursements and upfront one-time technology access fee and no milestone, royalty or sublicense fee payments. Additionally, as of December 31, 2023, we have invoiced CRISPR Therapeutics for certain amounts under the agreement in connection with the second amendment, which confirmed the parties’ intention to stop work on two programs under the CRISPR Therapeutics Agreement, terminated all licenses granted by CureVac to CRISPR Therapeutics with respect to such programs and added three new programs.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are required to use commercially reasonable efforts to perform our development obligations under the CRISPR Therapeutics Agreement and to supply certain materials to CRISPR Therapeutics. CRISPR Therapeutics is required to use commercially reasonable efforts to perform its obligations under the development plan and to develop and commercialize licensed products. We and CRISPR are required to keep the other party informed regarding the progress and results of performance of all development activities under the CRISPR Therapeutics Agreement.</w:t>
      </w:r>
    </w:p>
    <w:p>
      <w:pPr>
        <w:spacing w:after="0" w:line="14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term of the CRISPR Therapeutics Agreement will continue on a product-by-product and country-by-country basis, until the last-to-expire royalty term expires in such country for such product, unless terminated earlier by either party. The CRISPR Therapeutics Agreement may be terminated (i) by CRISPR Therapeutics for convenience following a certain notice period, (ii) by us if CRISPR Therapeutics or any of its affiliates, either directly or indirectly, challenges or assists a third party to challenge the licensed patent rights or in the event CRISPR Therapeutics undergoes a change of control, or (iii) by either party in the event of the other party’s material breach following a cure period (including on a program-by-program basis) or in the event of the other party’s insolvency. Upon expiration, the license granted to CRISPR Therapeutics converts into a fully paid-up, royalty-free, perpetual and irrevocable license. Upon termination, the licenses granted to CRISPR Therapeutics will terminate and, in the case of termination for CRISPR Therapeutics’ material breach or insolvency or for convenience by CRISPR Therapeutics, CRISPR Therapeutics must transfer all Cas9 mRNA constructs and related data to us.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Boehringer Ingelheim Exclusive Collaboration and License Agreement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2014, we entered into an Exclusive Collaboration and License Agreement with Boehringer Ingelheim, which we refer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Boehringer Agreement, whereby we granted Boehringer Ingelheim exclusive global rights for development and commercialization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investigational therapeutic mRNA vaccine BI 1361849 (formerly CV9202) formulated with our protamine technology,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containing such vaccine for all uses for cancer in humans. We received an upfront payment of €30 million, as well as an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 payment of €5 million and an additional €7 million in development milestone payments. As of December 31, 2021, we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million for the supply of materials and reimbursing us for development costs. In June 2021, Boehringer Ingelheim provided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intention to terminate the Boehringer Agreement, with such termination becoming effective on November 17, 2021.</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Bill &amp; Melinda Gates Foundation Partnership</w:t>
      </w:r>
    </w:p>
    <w:p>
      <w:pPr>
        <w:spacing w:after="0" w:line="20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May 2014, we entered into a contract agreement with the Bill &amp; Melinda Gates Foundation for the development of a vaccine for rotaviruses. Under the terms of the contract grant, as amended by an amendment entered into November 2020, the Bill &amp; Melinda Gates Foundation will provide up to $3.0 million in funding, and we are required to perform certain activities specified in a project collaboration plan. As of December 31, 2023, we have received $3.0 million in funding under the agreement. We own all intellectual property created using contract funding; however, we must make any Bill &amp; Melinda Gates Foundation-funded products available at an affordable price in a list of clearly defined low and lower middle-income countries. The term of the rotavirus agreement expired in June 2022. Our global access commitments survive termination or expiration of the agreement.</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March 2015, the Bill &amp; Melinda Gates Foundation made an equity investment of $40 million to support continued development of our RNA technology platform and the construction of an industrial-scale cGMP production facility, and we entered into the Global Access Commitments Agreement with the Bill &amp; Melinda Gates Foundation in February 2015 pursuant to which we are required to take certain actions to support the Bill &amp; Melinda Gates Foundation’s mission. In particular, we are required to conduct development activities for up to three concurrent projects to be proposed by the Bill &amp; Melinda Gates Foundation, subject to our right to reject proposed projects where we believe there is a reasonable likelihood of a material adverse effect on us. The costs of such projects will be allocated on a project-by-project basis in proportion to the allocation of the expected benefits. All intellectual property developed in connection with such projects will be owned by us.</w:t>
      </w:r>
    </w:p>
    <w:p>
      <w:pPr>
        <w:spacing w:after="0" w:line="15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Global Access Commitments Agreement, any Bill &amp; Melinda Gates Foundation-funded products will be made available by us at an affordable price in a list of clearly defined low and lower middle-income countries, while we will be able to market such products in developed countries on our own or through licensees. In addition, the new manufacturing facility will have dedicated capacity to focus on products resulting from Bill &amp; Melinda Gates Foundation-related projects for distribution in such low and lower middle-income countries.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7"/>
          <w:szCs w:val="17"/>
          <w:color w:val="auto"/>
        </w:rPr>
        <w:t>Our global access commitments are perpetual, however, our obligation to commence new development programs expires in February 2025. In the event that we commit a material breach of the Global Access Agreement, following a cure period, we must grant the Bill &amp; Melinda Gates Foundation a non-exclusive, perpetual, irrevocable, fully paid-up, royalty-free license under any intellectual property controlled by us covering any Bill &amp; Melinda Gates Foundation-funded products to develop, manufacture and commercialize such products in low and lower middle-income countries, and the Bill &amp; Melinda Gates Foundation will have certain withdrawal rights with respect to its equity investment in us. For more information on the Bill &amp; Melinda Gates Foundation’s withdrawal rights, see “Item 7. Major Shareholders and Related Party Transactions — B. Related Party Transactions — Investment and Shareholders’ Agreement.”</w:t>
      </w:r>
    </w:p>
    <w:p>
      <w:pPr>
        <w:spacing w:after="0" w:line="131" w:lineRule="exact"/>
        <w:rPr>
          <w:sz w:val="20"/>
          <w:szCs w:val="20"/>
          <w:color w:val="auto"/>
        </w:rPr>
      </w:pPr>
    </w:p>
    <w:p>
      <w:pPr>
        <w:ind w:right="80" w:firstLine="324"/>
        <w:spacing w:after="0" w:line="271" w:lineRule="auto"/>
        <w:rPr>
          <w:sz w:val="20"/>
          <w:szCs w:val="20"/>
          <w:color w:val="auto"/>
        </w:rPr>
      </w:pPr>
      <w:r>
        <w:rPr>
          <w:rFonts w:ascii="Times New Roman" w:cs="Times New Roman" w:eastAsia="Times New Roman" w:hAnsi="Times New Roman"/>
          <w:sz w:val="17"/>
          <w:szCs w:val="17"/>
          <w:color w:val="auto"/>
        </w:rPr>
        <w:t>In November 2016 in connection with and subject to the terms of the Global Access Agreement, we were awarded a grant for up to $0.9 million in funding from the Bill &amp; Melinda Gates Foundation for the development of a vaccine for picornaviruses. As of December 31, 2023, we have received $0.7 million in funding under the grant agreement. We granted the Bill &amp; Melinda Gates Foundation a non-exclusive, perpetual, irrevocable, worldwide, royalty-free, fully paid-up, sublicensable license to make, use, sell, offer to sell, import, distribute, copy, modify, create derivative works, publicly perform and display any products developed using grant funding; however, in the event we demonstrate to the satisfaction of the Bill &amp; Melinda Gates Foundation that we are able to meet its global access requirements, such license will be modified or terminated. The term of the picornavirus grant expired in June 2022; however, our global access commitments survive. Following the completion of the project, the Bill &amp; Melinda Gates Foundation requested a reimbursement for unspent funds. As of December 31, 2023, we have paid unspent funds of $0.2 million back to the Bill &amp; Melinda Gates Foundation.</w:t>
      </w:r>
    </w:p>
    <w:p>
      <w:pPr>
        <w:spacing w:after="0" w:line="146"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In November 2017, also in connection with and subject to the terms of the Global Access Agreement, we were awarded two additional grants for up to $1.9 million and $1.5 million from the Bill &amp; Melinda Gates Foundation for the development of a universal influenza vaccine and a malaria vaccine, respectively. By an amendment entered into November 2020, our grant for the development of a malaria vaccine was increased by an additional $0.8 million. As of December 31, 2023, we have received $1.9 million and $2.2 million, respectively, in funding under each grant agreement. The programs will leverage our advanced RNActive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prophylactic vaccine technology to develop mRNA-based universal influenza and malaria vaccines. The malaria grant agreement expired in December 2022 and the universal influenza grant agreement expired in March 2022; however, our global access commitments survive.</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July 2020, we amended the Global Access Agreement and entered into a Letter Agreement with GSK and the Bill &amp; Melinda Gates Foundation. Pursuant to this letter agreement, the Bill &amp; Melinda Gates Foundation released us of our global access commitments with respect to certain prophylactic and therapeutic vaccines based on our mRNA technology platform to be developed under the 2020 GSK Agreement. This release will remain in effect for a vaccine or medicine only for so long as it is in development or being commercialized under the 2020 GSK Agreement. The letter agreement does not release us from any of our obligations to initiate or continue projects under the Global Access Agreement or related grant agreements and GSK granted to us and the Bill &amp; Melinda Gates Foundation a non-exclusive, royalty-free, perpetual license under intellectual property arising from certain activities under the 2020 GSK Agreement to make vaccines arising from those projects available in low and lower middle-income countries as set forth in the Global Access Agreement.</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Coalition for Epidemic Preparedness Innovations Framework Partnering Agreement</w:t>
      </w:r>
    </w:p>
    <w:p>
      <w:pPr>
        <w:spacing w:after="0" w:line="20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February 2019, we entered into a framework partnership agreement with CEPI, which as amended we refer to as the CEPI Agreement, to develop our RNA Printer using certain intellectual property controlled by us covering the development and manufacture of mRNA products as well as certain additional intellectual property licensed to us. In connection with the CEPI Agreement we have entered into work orders for the preclinical development of a Lassa virus vaccine, a yellow fever vaccine and our rabies virus vaccine. In addition, we entered into a work package for the preclinical development and a Phase 1 clinical trial for our first-generation SARS-CoV-2 vaccine, CVnCoV.</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required to use reasonable efforts to achieve certain development milestones and are responsible for conducting certain clinical trials. We are required to share clinical trial data with CEPI, subject to the terms of specific work packages entered into in connection with the CEPI Agreement. In the event of an infectious disease outbreak, where such outbreak can be addressed by a Lassa virus, SARS-CoV-2 or future vaccine developed under the CEPI Agreement, we must manufacture such vaccine for use in the area affected by the outbreak on economic terms that satisfy CEPI’s equitable access guidelines or otherwise allow CEPI or a third-party to supply such vaccine in the affected area. For the initial term of the CEPI Agreement and for a certain period thereafter, in the event of an outbreak that cannot be addressed by a vaccine already developed under the CEPI Agreement, CEPI may request, and we may agree, that we will develop a product targeted against such outbreak, or we will assist CEPI to develop a candidate product against such outbreak. In the event we decline to enter into such a development agreement, we will grant CEPI the right to develop and stockpile such vaccines under certain of our background intellectual property and intellectual property developed under the CEPI Agreement. We are additionally required to use reasonable efforts, at CEPI’s request, to submit certain optimized antigen nucleotide sequences for up to three specified pathogens in order for CEPI to start its own product development program. We have a right of first refusal to manufacture any pharmaceutical products developed by CEPI using the antigen nucleotide sequences we provide. In certain scenarios, including if we fail to provide Lassa virus, SARS-CoV-2 or future vaccines developed under the CEPI Agreement at prices that comply with CEPI’s equitable access guidelines, we must grant CEPI a license under certain of our background intellectual property and intellectual property developed under the CEPI Agreement to, among other things, develop our automation solution for use in treating such infectious diseases and to develop, manufacture and market such pharmaceutical products for use in geographic areas where there is a disease outbreak.</w:t>
      </w:r>
    </w:p>
    <w:p>
      <w:pPr>
        <w:spacing w:after="0" w:line="15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a December 2020 amendment to the CEPI Agreement, we agreed to provide CVnCoV to organizations operating under the COVAX Facility, a global collaboration to accelerate the development, production and equitable access to SARS-CoV-2 tests, treatments and vaccines. Under this amendment, we agreed to supply a certain percentage of our total capacity for distribution of CVnCoV to organizations participating in the COVAX Facility.</w:t>
      </w:r>
    </w:p>
    <w:p>
      <w:pPr>
        <w:spacing w:after="0" w:line="15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grant certain approved manufacturers all necessary rights to use certain of our preexisting intellectual property and intellectual property developed under the CEPI Agreement to further develop our automation solution and manufacture products for the treatment of certain diseases in geographic areas where there is an outbreak on economic terms that satisfy CEPI’s equitable access guidelines. We must provide all necessary commercially reasonable support to such approved manufacturers to facilitate such efforts.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CEPI agreed to contribute up to $34 million in funding for projects undertaken under the CEPI Agreement and an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$15.3 million in connection with development of CVnCoV. In the event of our commercial use of the pharmaceutical products developed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CEPI Agreement, other than CVnCoV, we must notify CEPI and agree in good faith how such commercial benefits 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equitably managed between the parties. As of December 31, 2023, we have received €27.1 million in funding for projects undertaken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CEPI Agreement.</w:t>
      </w:r>
    </w:p>
    <w:p>
      <w:pPr>
        <w:spacing w:after="0" w:line="16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solely own all intellectual property developed under the CEPI Agreement but are required to obtain CEPI’s consent prior to exploiting any intellectual property developed under the CEPI Agreement if such exploitation is in conflict with or goes against CEPI’s mission or policies.</w:t>
      </w:r>
    </w:p>
    <w:p>
      <w:pPr>
        <w:spacing w:after="0" w:line="14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CEPI Agreement terminated in February 2022, except with respect to certain ongoing projects, which are contemplated to be completed in March 2024. Following the completion of the CEPI Agreement, CEPI requested a partial reimbursement of $1.0 million for unspent funds. As of December 31, 2023 we have paid these unspent funds back to CEPI.</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Tesla Automation Development and Intellectual Property Agreement</w:t>
      </w:r>
    </w:p>
    <w:p>
      <w:pPr>
        <w:spacing w:after="0" w:line="187"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In November 2015, we entered into a development and intellectual property agreement with Tesla Automation, formerly trading under the name of Tesla Grohmann Automation, which we refer to as the Tesla Automation Agreement, pursuant to which Tesla Automation agreed to design, develop and manufacture certain automated manufacturing machines on our behalf. We are obligated to pay Tesla Automation a fee for each machine delivered by Tesla Automation and up to $50 million to $60 million in commercial milestone payments as well as certain development costs under each associated work order. As of December 31, 2023, we have paid Tesla Automation €22 million to €23 million in development costs under various work orders, and we have not paid any fees for machines provided under the Tesla Automation Agreement or made any milestone payments.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parties jointly own any intellectual property developed under the Tesla Automation Agreement, and Tesla Automation granted us a non-exclusive, royalty-free, perpetual, irrevocable as to existing machines, worldwide license to use, sublicense and distribute Tesla Automation background intellectual property that is incorporated into any machine developed under the Tesla Automation Agreement and an exclusive (only with respect to the machines, and until a certain period after the first commercial use of a machine, after which the license shall be non-exclusive), royalty-free, perpetual, irrevocable as to existing machines, worldwide license under Tesla Automation’s interest in any jointly owned intellectual property. We granted Tesla Automation a non-exclusive, nontransferable, no-charge license during the term of the Tesla Automation Agreement under our background intellectual property for Tesla Automation’s performance of its obligations under the Tesla Automation Agreement and a non-exclusive, royalty-free, perpetual, irrevocable as to existing machines, worldwide license under our interest in any jointly owned intellectual property to perform its obligations under the Tesla Automation Agreement and for applications and uses unrelated to the machines developed under the Tesla Automation Agreement.</w:t>
      </w:r>
    </w:p>
    <w:p>
      <w:pPr>
        <w:spacing w:after="0" w:line="154"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Tesla Automation Agreement continues on a machine-by-machine basis until 10 years after the first commercial use of such machine. Either party may terminate any work order entered into in connection with the Tesla Automation Agreement for convenience upon written notice to the other party, and either party may terminate a work order for the other party’s material breach following a cure period, or for the other party’s insolvency. In the event Tesla Automation terminates a work order for convenience or we terminate for Tesla Automation’s material breach or insolvency, Tesla Automation must grant us a non-exclusive, fully paid-up, worldwide, irrevocable, perpetual, transferable and sublicensable license under Tesla Automation background intellectual property and Tesla Automation’s interest in intellectual property developed under the Tesla Automation Agreement for us to complete, either on our own or with another supplier, the work under such terminated work order. In the event we terminate for convenience, we must pay Tesla Automation a termination fee. In the event Tesla Automation terminates for our material breach or insolvency, we must pay Tesla Automation a termination fee and grant Tesla Automation a non-exclusive, fully paid-up, sublicensable, worldwide irrevocable and perpetual license under our background intellectual property and our interest in the intellectual property developed under the Tesla Automation Agreement to manufacture machines relevant to the applicable work order.</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Option Agreement with myNEO</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May 12, 2022, we entered into a Research and Option Agreement (“R&amp;O”) with myNEO, pursuant to which, as amended in January 2023, we will collaborate to identify specific antigens found on the surface of tumors for the development of novel mRNA immunotherapies. To achieve this goal, myNEO will leverage its biological datasets, its integrated machine learning and bioinformatics platform to identify and validate specific antigen targets predicted to elicit a strong immune response. Under the R&amp;O, we aim to develop and commercialize at least two new medicinal products for the treatment of non-small cell lung cancer and melanoma (the “Main Indications”) and potentially other indications. We are required to use commercially reasonable efforts to develop at least one product for each of the Main Indications, to file marketing approval applications for such products and commercialize such products in at least one of certain countries. Under the R&amp;O, myNEO will own all intellectual property rights generated solely by myNEO or jointly with us during the first three phases of the R&amp;D plan (the “R&amp;D Project IP”). We received a non-exclusive, royalty-free, non-assignable, sublicensable, worldwide license under certain patents and know-how owned by myNEO and R&amp;D Project IP to the extent required to perform our research and development obligations under the agreement until the completion of a certain phase of the R&amp;D plan. We were also granted with an exclusive option to acquire all of myNEO’s rights under certain R&amp;D Project IP relating to certain target lists, which we exercised on April 12, 2023. In connection with our exercise of such option, we granted myNEO a non-exclusive, royalty-free, perpetual license back to such IP to make, use or sell certain targets in the field of patient-specific vaccines. Under the R&amp;O, myNEO agrees to work exclusively with us to develop and validate shared antigens for the Main Indications until the earlier of the date of the first phase I clinical trial for either Main Indication or 24 months after we exercised our option.</w:t>
      </w:r>
    </w:p>
    <w:p>
      <w:pPr>
        <w:spacing w:after="0" w:line="15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the R&amp;O, we paid myNEO an upfront one-time technology access fee of €138,000 and myNEO is eligible to receive up to €17.5 million in research and development milestone payments with respect to the Main Indications, up to €175,000 in research and development milestones payments with respect to indications other than the Main Indications, up to €30 million in commercial milestone payments with respect to the Main Indications and up to €7.5 million in commercial milestone payments with respect to indications other than the Main Indications, as well as low single-digit percentage royalties on the net sales of licensed products in the Main Indications and sub single-digit percentage royalties on the net sales of licensed products for indications other than the Main Indications. Our royalty obligations continue on a product-by-product and country-by-country basis until the earlier of the date when there are no valid patent claims covering such licensed product in such country and 10 years following the date of first commercial sale of such licensed product in such country. On October 9, 2023, we notified myNEO that we reached a research and development milestone where we selected four antigens for further development, which we intend to use in a clinical candidate for the indication head and neck squamous-cell carcinoma, which is an indication other than the Main Indication.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 of the R&amp;O will continue until (i) the expiration of the option period if we do not exercise any of our exclusive options or</w:t>
      </w:r>
    </w:p>
    <w:p>
      <w:pPr>
        <w:spacing w:after="0" w:line="27" w:lineRule="exact"/>
        <w:rPr>
          <w:sz w:val="20"/>
          <w:szCs w:val="20"/>
          <w:color w:val="auto"/>
        </w:rPr>
      </w:pPr>
    </w:p>
    <w:p>
      <w:pPr>
        <w:ind w:right="100" w:firstLine="8"/>
        <w:spacing w:after="0" w:line="253" w:lineRule="auto"/>
        <w:tabs>
          <w:tab w:leader="none" w:pos="26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of all applicable royalty payment obligations to myNEO, unless terminated earlier by either party. We have the right to terminate the R&amp;O if certain milestones or if provisions of certain reports are delayed by a certain period, for convenience or in the case of a change of control of myNEO. We and myNEO both have the right to terminate the R&amp;O in the event of the other party’s material breach following a cure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Sponsored Collaboration Agreements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Schepens Institute Research Agreement</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March 2019, we entered into a sponsored research agreement, as amended in April 2020, July 2021, September 2021, August 2022, January 2023, June 2023 and February 2024 (as amended, the “Schepens Agreement”), with The Schepens Eye Research Institute, Inc. (“SERI”) and Massachusetts Eye and Ear Infirmary (“MEEI”), pursuant to which SERI and MEEI agreed to perform certain research activities for mRNA-based eye therapy candidates. Under the Schepens Agreement, SERI and MEEI granted us an exclusive option to initiate negotiations for an exclusive or non-exclusive license to SERI’s interest in any inventions developed under the Schepens Agreement. SERI and MEEI additionally granted us an exclusive option to negotiate an exclusive license to certain background intellectual property. Upon the exercise of such option and upon execution of the contemplated license, we would be required to pay SERI a $30,000 upfront payment, up to $0.8 million in development milestone payments and $1.8 million in regulatory milestone payments, and a low single-digit percentage royalty on net sales subject to certain minimum annual payments. We are required to provide $1.7 million in funding to SERI and MEEI in multiple payments during the term of the Schepens Agreement. As of December 31, 2023, we have provided $2.0 million in funding to SERI and MEEI under the Schepens Agreement.</w:t>
      </w:r>
    </w:p>
    <w:p>
      <w:pPr>
        <w:spacing w:after="0" w:line="15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Each party will solely own inventions it solely develops and will jointly own jointly developed inventions. We are responsible for all patent prosecution costs regarding intellectual property developed under the Schepens Agreement, and if we elect not to cover the prosecution costs for such intellectual property, SERI and MEEI will have the right to license such intellectual property to third parties, and we will have no rights in such intellectual property.</w:t>
      </w:r>
    </w:p>
    <w:p>
      <w:pPr>
        <w:spacing w:after="0" w:line="15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Schepens Agreement continues until June 2024, unless extended by mutual agreement or earlier terminated. Both parties have the right to terminate the Schepens Agreement for the other party’s material breach following a cure period, and SERI has the right to terminate in the event of our insolvency. We additionally have the right to terminate the Schepens Agreement for convenience following a notice period. In the event SERI terminates for our material breach or insolvency or we terminate for convenience, we must reimburse SERI for all costs incurred to date and provide certain additional funding for a three-month period. In the event we terminate for SERI’s material breach, we must reimburse SERI for all noncancellable commitments.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Purchase Agreements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European Commission — COVID-19 Vaccine Candidate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Advance Purchase Agreement for our COVID-19 Vaccine Candidate</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November 30, 2020, we entered into an APA with the EC, acting on behalf and in the name of all Member States of the European Union, which provided for the advance purchase by the Member States of 225 million doses of the vaccine to be allocated among the Member States, and the option to purchase up to an additional 180 million doses. Pursuant to the APA, we received an upfront payment of €450 million. Such upfront payment had to be used solely for the development and commercial supply of CVnCoV. We were required to return any unspent amounts of the upfront payment if, among others, we failed to successfully develop CVnCoV, or if we successfully develop CVnCoV without receiving EU marketing authorization, or if we failed to supply any doses of CVnCoV to any of the Member States by late 2021 (unless we and the EC mutually agree to a later date). In October 2021, we notified the EC of the withdrawal of our regulatory approval application for CVnCoV, which notification automatically terminated the APA. According to the APA, in such case of termination, we would only be required to return any unspent amount of the upfront payment. In the context of the APA, “spent” means either costs incurred or commitments made in connection with the purposes set forth in the APA. On March 8, 2022, we received a letter signed by the EC acknowledging and outlining that we will not be required to return any portion of the upfront payment. Due to the termination of the APA, we will not receive any further payments related to the APA.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other respects, upon the EC’s request, we will transfer any raw materials and/or primary components paid for with the upfront payment that were not used as of the termination date. Additionally, should the EC request, or should we successfully sell, any raw materials and/or primary components, then an applicable portion of such raw materials, primary components or proceeds, as the case may be, will be remitted to the EC. This repayment agreement expired at the end of 2022 and an amount of €4.1 million was paid to the EC as of December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Pandemic Preparedness Agreement</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Federal Republic of Germany</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Pandemic Preparedness Agreement with the Federal Republic of Germany</w:t>
      </w:r>
    </w:p>
    <w:p>
      <w:pPr>
        <w:spacing w:after="0" w:line="13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February 20, 2022, the CureVac-GSK Consortium submitted its best and final offer in the Tender Procedure for the conclusion of framework agreements for the provision of production capacities and, on demand, for the production and supply of mRNA vaccines (lot 1). On April 8, 2022, the CureVac-GSK Consortium received a letter from the Federal Republic of Germany’s counsel confirming that the CureVac-GSK Consortium had been awarded a Pandemic Preparedness Agreement. Pursuant to the Pandemic Preparedness Agreement, the CureVac-GSK Consortium will have to achieve, within a two years’ time frame beginning from the award of the Pandemic Preparedness Agreement, a state in which it is considered qualified to provide manufacturing capacities in Germany for 160 million doses of mRNA vaccine per year, including procurement of the required nonproduct specific manufacturing licenses and insurances and to have achieved “pandemic preparedness,” which means, inter alia, that we maintain the GMP IV facility in a stand-by mode that can be activated for manufacture of a so-called selected vaccine at any time and that the CureVac-GSK Consortium is complying with the material requirements set out in the Pandemic Preparedness Plan (in particular with the requirements regarding the assurance of a supplier network and the availability of the critical supplier products).</w:t>
      </w:r>
    </w:p>
    <w:p>
      <w:pPr>
        <w:spacing w:after="0" w:line="11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qualification and pandemic preparedness is achieved by the end of the two years’ time frame beginning from the award of the Pandemic Preparedness Agreement (and if the Pandemic Preparedness Agreement is not terminated because the CureVac-GSK Consortium does not have an mRNA-based vaccine for which a marketing authorization for the (at least temporary) placing on the German market has been granted at this time), the CureVac-GSK Consortium will receive a stand-by fee which will be shared between us and GSK in accordance with the agreement governing the CureVac-GSK Consortium. The phase following the qualification phase (stand-by phase) during which pandemic preparedness is to be maintained is for five years, it being understood that this term may be extended by mutual agreement up to three times for a subsequent one-year renewal term.</w:t>
      </w:r>
    </w:p>
    <w:p>
      <w:pPr>
        <w:spacing w:after="0" w:line="14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At any time during the stand-by phase, in case there is a public health emergency, the Federal Republic of Germany may exercise its preferred purchase right and/or its preferred manufacturing right. If the preferred purchase right is exercised the CureVac-GSK Consortium will have to deliver up to 80 million doses of the mRNA vaccine of the CureVac-GSK Consortium, and if the preferred manufacturing right is exercised the CureVac-GSK Consortium will have to act as a contract manufacturer and manufacture a third party’s mRNA vaccine in our GMP IV facility. However, there are strict and narrow requirements to be fulfilled before the Federal Republic of Germany may exercise the preferred manufacturing right.</w:t>
      </w:r>
    </w:p>
    <w:p>
      <w:pPr>
        <w:spacing w:after="0" w:line="14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On April 9, 2024, the CureVac-GSK Consortium notified the Federal Republic of Germany of its termination of the Pandemic Preparedness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for our product candidates, and our core technologies and other know-how, defend and enforce our patents, preserve the confidentiality of our trade secrets, operate our business without infringing, misappropriating or otherwise violating the intellectual property or proprietary rights of third parties and prevent third parties from infringing, misappropriating or otherwise violating our proprietary or intellectual property rights. We seek to protect our proprietary and intellectual property position by, among other methods, seeking and maintaining patents in the United States and other major markets. We also rely on trade secrets and know-how to protect aspects of our business that are not amenable to, or that we do not consider appropriate for, patent protection, which we generally seek to protect through contractual obligations with third parties.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of March 19 2024, we own approximately 103 issued U.S. patents, 116 pending U.S. patent applications, 170 issued foreign patents (including 43 European patents, which have been validated in various European countries resulting in a total of approximately 395 national patents in European countries and including two European patents with unitary effect), 410 pending foreign patent applications (including 74 pending European patent applications) and 18 pending Patent Cooperation Treaty, or PCT, patent applications, including several patent families that are jointly owned with third parties. These patents include claims relating to our RNAoptimizer technology platform, and our COVID-19 and Influenza vaccine candidates, and our proprietary LNP technology, as described further below.</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RNAoptimizer</w:t>
      </w:r>
    </w:p>
    <w:p>
      <w:pPr>
        <w:spacing w:after="0" w:line="187"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As of March 19, 2024, we own 23 issued U.S. patents, 20 pending U.S. patent applications, 92 issued foreign patents, including in Europe, Canada, China, India, Israel, Japan, the Republic of Korea, Singapore, Mexico and Australia, and 90 pending foreign patent applications and three PCT patent applications relating to our RNAoptimizer technology, including patents and patent applications relating to ORF optimization, UTR optimization, novel CAP analogs, protein optimization and formulation. Our RNAoptimizer technology is used in our Influenza and SARS-CoV-2 product candidates. The issued patents are expected to expire between 2025 and 2037, excluding any additional term for patent term adjustments or patent term extensions. If granted, the pending patent applications would be expected to expire between 2022 and 2044, excluding any additional term for patent term adjustments or patent term extensions.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Influenza Vaccine candidates</w:t>
      </w:r>
    </w:p>
    <w:p>
      <w:pPr>
        <w:spacing w:after="0" w:line="200"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As of March 19, 2024, we own 11 issued U.S. patents, 17 pending U.S. patent applications, 49 issued foreign patents, including in Europe, Canada, China, India, Israel, Japan, the Republic of Korea, Singapore, Mexico and Australia and 49 pending foreign patent applications and one PCT patent application relating to our Influenza product candidates. The issued patents are expected to expire between 2022 and 2038, excluding any additional term for patent term adjustments or patent term extensions. If granted, the pending patent applications would be expected to expire between 2022 and 2043, excluding any additional term for patent term adjustments or patent term extensions.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COVID-19 Vaccine Candidates</w:t>
      </w:r>
    </w:p>
    <w:p>
      <w:pPr>
        <w:spacing w:after="0" w:line="187"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As of March 19, 2024, we own 14 issued U.S. patents, 17 pending U.S. patent applications, 47 issued foreign patents, including in Europe, Canada, China, India, Japan, the Republic of Korea, Singapore, Russia, Mexico and Australia, 80 pending foreign patent applications and one PCT patent application relating to our COVID-19 product candidates. The issued patents are expected to expire between 2022 and 2041, excluding any additional term for patent term adjustments or patent term extensions. If granted, the pending patent applications would be expected to expire between 2022 and 2043, excluding any additional term for patent term adjustments or patent term extensions.</w:t>
      </w:r>
    </w:p>
    <w:p>
      <w:pPr>
        <w:spacing w:after="0" w:line="16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 which we have filed patent applications,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 For more information on patent term extension, see “— Government Regulation — Patent Term Restoration and Extension.”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maintain and solidify our proprietary and intellectual property position for our product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narrowed, held unenforceable, infringed or circumvented.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 See “Item 3. Key Information — D. Risk Factors — Risks Related to Our Intellectual Property Rights.”</w:t>
      </w:r>
    </w:p>
    <w:p>
      <w:pPr>
        <w:spacing w:after="0" w:line="1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of April 2, 2024, we own trademark registrations or registration applications for CureVac, and the CureVac logo in the United States and in certain foreign jurisdictions including Europe.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Trade Secrets and Proprietary Information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non-competition, non-solicitation, confidentiality, and invention assignment agreements with our employees, consultants, and independent contractors.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See “Item 3. Key Information — D. Risk Factors — Risks Related to Our Intellectual Property Rights.”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in other countries and jurisdictions and in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In addition, some jurisdictions regulate the pricing of pharmaceutical products. The processes for obtaining marketing approvals in the United States and in foreign countries and jurisdictions, along with subsequent compliance with applicable statutes and regulations and other requirements of regulatory authorities, require the expenditure of substantial time and financial resources.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Extension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product candidates, some of a sponsor’s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 Similar provisions are available in Europe and other foreign jurisdictions to extend the term of a patent that covers an approved drug. In the future, if and when our products receive FDA approval, we expect to apply for patent term extensions on patents covering those products,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“Item 3. Key Information — D. Risk Factors — Risks Related to Our Intellectual Property Rights.”</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Procedures Governing Approval of Biological Products in the United States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we expect our product candidates will be regulated as biological products, or biologics, under the Public Health Service Act, or PHSA, and the Federal Food, Drug, and Cosmetic Act, or FDCA, and their implementing regulations, and other federal, state, local and foreign statutes and regulations. The failure to comply with the applicable U.S. requirements at any time during the product development process, including during nonclinical testing, clinical testing, the approval process or post-approval process, may subject an applicant to delays in the conduct of a study or regulatory review and approval, and/or to administrative or judicial sanctions and adverse publicity. Sanctions may include, but are not limited to, the U.S. Food and Drug Administration, or FDA’s, refusal to allow an applicant to proceed with clinical testing, refusal to approve pending applications, withdrawal of an approval, warning or untitled letters, product recalls, product seizures, total or partial suspension of production or distribution, injunctions, fines, debarment, disgorgement of profits and civil or criminal investigations and penalties brought by the FDA or the Department of Justice or other governmental entities.</w:t>
      </w:r>
    </w:p>
    <w:p>
      <w:pPr>
        <w:spacing w:after="0" w:line="194"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biologic in the United States generally must satisfactorily complete each of the following steps:</w:t>
      </w:r>
    </w:p>
    <w:p>
      <w:pPr>
        <w:spacing w:after="0" w:line="162" w:lineRule="exact"/>
        <w:rPr>
          <w:sz w:val="20"/>
          <w:szCs w:val="20"/>
          <w:color w:val="auto"/>
        </w:rPr>
      </w:pPr>
    </w:p>
    <w:p>
      <w:pPr>
        <w:ind w:left="680" w:right="320" w:hanging="321"/>
        <w:spacing w:after="0" w:line="282"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laboratory tests, animal studies and formulation studies all performed in accordance with applicable regulations, including the FDA’s Good Laboratory Practice, or GLP, regulations;</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for human clinical testing, which must become effective before human clinical trials may begin;</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ethics committee representing each clinical site before each clinical trial may be initiated;</w:t>
      </w:r>
    </w:p>
    <w:p>
      <w:pPr>
        <w:spacing w:after="0" w:line="161" w:lineRule="exact"/>
        <w:rPr>
          <w:rFonts w:ascii="Times New Roman" w:cs="Times New Roman" w:eastAsia="Times New Roman" w:hAnsi="Times New Roman"/>
          <w:sz w:val="18"/>
          <w:szCs w:val="18"/>
          <w:color w:val="auto"/>
        </w:rPr>
      </w:pPr>
    </w:p>
    <w:p>
      <w:pPr>
        <w:ind w:left="680" w:right="400" w:hanging="321"/>
        <w:spacing w:after="0" w:line="312" w:lineRule="auto"/>
        <w:tabs>
          <w:tab w:leader="none" w:pos="6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to establish the safety, potency and purity of the product candidate for each proposed indication, in accordance with applicable regulations, including with GCP regulations;</w:t>
      </w:r>
    </w:p>
    <w:p>
      <w:pPr>
        <w:spacing w:after="0" w:line="139" w:lineRule="exact"/>
        <w:rPr>
          <w:rFonts w:ascii="Times New Roman" w:cs="Times New Roman" w:eastAsia="Times New Roman" w:hAnsi="Times New Roman"/>
          <w:sz w:val="17"/>
          <w:szCs w:val="17"/>
          <w:color w:val="auto"/>
        </w:rPr>
      </w:pPr>
    </w:p>
    <w:p>
      <w:pPr>
        <w:ind w:left="680" w:right="480" w:hanging="321"/>
        <w:spacing w:after="0" w:line="282"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completion of all pivotal clinical trials, preparation and submission to the FDA of a BLA requesting authorization to market the product candidate for one or more proposed indications;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40" w:hanging="321"/>
        <w:spacing w:after="0" w:line="266" w:lineRule="auto"/>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safety, strength, quality and purity;</w:t>
      </w:r>
    </w:p>
    <w:p>
      <w:pPr>
        <w:spacing w:after="0" w:line="175"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clinical study sites to assure compliance with GCPs, and the integrity of clinical data in support of the BLA;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securing FDA approval of the BLA;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REMS and to conduct any post approval studies required by the FDA.</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Investigational New Drug Application</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 xml:space="preserve">Before testing any biologic product candidate in humans, the product candidate must undergo nonclinical testing. Nonclinical tests include laboratory evaluations of product chemistry, formulation and stability, as well as animal studies to evaluate the potential for activity and toxicity. The conduct of the nonclinical tests and formulation of the compounds for testing must comply with federal regulations and requirements. The results of the nonclinical tests, together with manufacturing information, analytical data, any available clinical data or literature and a proposed clinical protocol, are submitted to the FDA as part of an IND or similar application in other jurisdictions.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within the 30-day time period, the FDA raises concerns or questions about the product or conduct of the proposed clinical trial, including concerns that human research subjects will be exposed to unreasonable health risks, and places the trial on a clinical hold. In that case, the IND sponsor and the FDA must resolve any outstanding FDA concerns before the clinical trial can begin.</w:t>
      </w:r>
    </w:p>
    <w:p>
      <w:pPr>
        <w:spacing w:after="0" w:line="19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a result, submission of the IND may result in the FDA not allowing the trial to commence or not be conducted on the terms originally specified by the sponsor in the IND. In addition, the FDA may raise concerns or questions at any time after the IND has become effective, and may impose a clinical hold even after clinical studies have initiated. If the FDA imposes a clinical hold, trials may not recommence without FDA authorization and then only under terms authorized by the FDA. A clinical hold issued by the FDA may therefore delay either a proposed clinical study or cause suspension of an ongoing study, until all outstanding concerns have been adequately addressed and the FDA has notified the company that investigation may proceed. This could cause significant difficulties in completing planned clinical trials in a timely manner.</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Human Clinical Trials in Support of a BLA</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to be treated under the supervision of a qualified principal investigator in accordance with GCP requirements. Clinical trials are conducted under study protocols detailing, among other things, the objectives of the study, inclusion and exclusion criteria, the parameters to be used in monitoring safety, dosing procedures and the effectiveness criteria to be evaluated. A separate protocol for each clinical trial and any subsequent protocol amendments must be submitted to the FDA as part of the IND.</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the BLA so long as the clinical trial is well-designed and well-conducted in accordance with GCP, including review and approval by an independent ethics committee, and the FDA is able to validate the study data through an onsite inspection, if necessary.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and the safety of human subjects. An IRB must operate in compliance with FDA regulations. The FDA, IRB, or the clinical trial sponsor may suspend or discontinue a clinical trial at any time for various reasons, including a finding that the clinical trial is not being conducted in accordance with FDA requirements, the trial is unlikely to meet its stated objectives or that the subjects or patients are being exposed to an unacceptable health risk. Clinical testing also must satisfy extensive GCP rules, including the requirements for informed consent. The IRB also approves the form and content of the informed consent that must be signed by each clinical trial subject or his or her legal representative and must monitor the clinical trial until completed. Additionally, some clinical trials are overseen by an independent group of qualified experts organized by the clinical trial sponsor, known as a data safety monitoring board or committee. This group may recommend continuation of the study as planned, changes in study conduct, or cessation of the study at designated check points based on access to certain data from the study.</w:t>
      </w:r>
    </w:p>
    <w:p>
      <w:pPr>
        <w:spacing w:after="0" w:line="1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162" w:lineRule="exact"/>
        <w:rPr>
          <w:sz w:val="20"/>
          <w:szCs w:val="20"/>
          <w:color w:val="auto"/>
        </w:rPr>
      </w:pPr>
    </w:p>
    <w:p>
      <w:pPr>
        <w:ind w:left="680" w:right="100" w:hanging="321"/>
        <w:spacing w:after="0" w:line="261"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are initially conducted in a limited population to test the product candidate for safety, including adverse effects, dose tolerance, absorption, metabolism, distribution, excretion and pharmacodynamics in healthy humans or, on occasion, in patients, such as in the case of some products for severe or life-threatening diseases as cancer, especially when the product may be too inherently toxic to ethically administer to healthy volunteers.</w:t>
      </w:r>
    </w:p>
    <w:p>
      <w:pPr>
        <w:spacing w:after="0" w:line="179"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are generally conducted in a limited patient population to identify possible adverse effects and safety risks, preliminarily evaluate the efficacy of the product candidate for specific targeted indications and determine dose tolerance and optimal dosage. Multiple Phase 2 clinical trials may be conducted by the sponsor to obtain information prior to beginning larger Phase 3 clinical trials.</w:t>
      </w:r>
    </w:p>
    <w:p>
      <w:pPr>
        <w:spacing w:after="0" w:line="179" w:lineRule="exact"/>
        <w:rPr>
          <w:rFonts w:ascii="Times New Roman" w:cs="Times New Roman" w:eastAsia="Times New Roman" w:hAnsi="Times New Roman"/>
          <w:sz w:val="18"/>
          <w:szCs w:val="18"/>
          <w:color w:val="auto"/>
        </w:rPr>
      </w:pPr>
    </w:p>
    <w:p>
      <w:pPr>
        <w:ind w:left="680" w:hanging="321"/>
        <w:spacing w:after="0" w:line="258"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proceed if the Phase 2 clinical trials demonstrate that a certain dose or dose range of the product candidate is potentially effective and has an acceptable safety profile. Phase 3 clinical trials are undertaken within an expanded patient population, often at geographically dispersed clinical trial sites, to gather additional information about safety and effectiveness necessary to evaluate the overall benefit-risk relationship of the investigational product and to provide an adequate basis for physician labeling and product approval.</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some cases, the FDA may approve a BLA for a product candidate but require the sponsor to conduct additional clinical trials to further assess the product candidate’s safety and effectiveness after approval. Such post-approval trials are typically referred to as Phase 4 clinical trials, or Phase 4. These studies may be used to gain additional experience from the treatment of patients in the intended therapeutic indication and to document a clinical benefit in the case of biologics approved under accelerated approval regulations. Failure to exhibit due diligence with regard to conducting required Phase 4 clinical trials could result in withdrawal of approval for products. Concurrent with clinical trials, companies may complete additional animal studies and develop additional information about the biological characteristics of the product candidate.</w:t>
      </w:r>
    </w:p>
    <w:p>
      <w:pPr>
        <w:spacing w:after="0" w:line="189"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candidate has been associated with unexpected serious harm to patients.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a BLA</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results of product candidate development, nonclinical testing and clinical trials, including negative or ambiguous results as well as positive findings, are submitted to the FDA as part of a BLA requesting a license to market the product for one or more indications. The BLA must contain extensive chemistry manufacturing and controls information and detailed information on the composition of the product and proposed labeling.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and the sponsor of an approved BLA is also subject to annual program fees. The FDA adjusts the Prescription Drug User Fee Act, or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FDA has 60 days after submission of the application to conduct an initial review to determine whether the BLA is sufficient to accept for filing based on the agency’s threshold determination that it is substantially complete so as to permit substantive review. Once the submission has been accepted for filing, the FDA begins an in-depth review of the application. Under the goals and policies agreed to by the FDA under PDUFA, the FDA aims to complete its initial review of a standard application and respond to the applicant within</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10 months of the 60-day filing date, and for a priority review application within six months. The FDA does not always meet its PDUFA goal dates for standard and priority BLAs, and its review goals are subject to change from time to time. The review process may often be significantly extended by FDA requests for additional information or clarification. The review process and the PDUFA goal date may also be extended by three months if the FDA requests or if the applicant otherwise provides additional information or clarification regarding information already provided in the submission within the last three months before the PDUFA goal date.</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FDA reviews a BLA to determine, among other things, whether the proposed product is safe and potent, or effective, for its intended use, and has an acceptable purity profile, and whether the product is being manufactured in accordance with cGMP requirements to assure and preserve the product’s identity, safety, strength, quality, potency and purity.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the basis of the FDA’s evaluation of the application and accompanying information, including the results of the inspection of the manufacturing facilities and any FDA audits of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may issue a complete response letter indicating that the review cycle is complete and the application is not ready for approval. A complete response letter will describe the deficiencies that must be addressed in order to secure final approval of the application, and when possible, will outline recommended actions the sponsor might take to obtain approval of the application. If a complete response letter is issued, the applicant may either resubmit the BLA, addressing all of the deficiencies identified in the letter, or withdraw the application. The FDA may also request additional information or clarification.</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Sponsors that receive a complete response letter who elect to address the deficiencies may submit to the FDA information that represents a complete response to the issues identified by the FDA in the response letter. Such resubmissions are classified under PDUFA as either Class 1 or Class 2, based on the information submitted by an applicant in response to an action letter. Under the goals and policies agreed to by the FDA under PDUFA, the FDA aims to review and act on a Class 1 resubmission with two months of receipt and, with respect to a Class 2 resubmission, within six months of receipt. The FDA will not approve an application until issues identified in the complete response letter have been addressed. The FDA may delay or refuse approval of a BLA if applicable regulatory criteria are not satisfied, require additional testing or information and/or require post-marketing testing and surveillance to monitor safety or efficacy of a product.</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or limit the approval to specific dosages. It may also require development of adequate controls or specifications and that certain contraindications, warnings or precautions be included in the product labeling. In addition, the FDA may call for post-approval studies, including Phase 4 clinical trials, to further assess the product’s safety after approval and may limit further marketing of the product based on the results of these post-marketing studies.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If the FDA concludes a REMS is needed, the sponsor of the BLA must submit a proposed REMS; the FDA will not approve the BLA without a REMS, if required.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 Once approved, the FDA may withdraw the product approval if compliance with pre-and post-marketing regulatory standards is not maintained or if problems occur after the product reaches the marketplace. In addition, new government requirements, including those resulting from new legislation, may be established, or the FDA’s policies may change, which could delay or prevent regulatory approval of our products under development.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and/or review of new products intended for serious or life-threatening diseases or conditions. These programs include fast track designation, breakthrough therapy designation, priority review and accelerated approval.</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FDA may issue a fast track designation to a product candidate if it is intended, whether alone or in combination with one or more other products, for the treatment of a serious or life-threatening disease or condition, and it demonstrates the potential to address unmet medical needs for such a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For fast track products, sponsors may have greater interactions with the FDA during product development.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However, the FDA’s PDUFA goal for reviewing a BLA fast track application does not begin until the last section of the application is submitted. Fast track designation may be withdrawn by the FDA if the FDA believes that the designation is no longer supported by data emerging in the clinical trial process.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facilitate the design of clinical trials in an efficient manner.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is intended to direct overall attention and resources to the evaluation of such applications, and to shorten the FDA’s goal for taking action on an original BLA from 10 months to six months from the 60-day filing date.</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stated that although it has limited experience with accelerated approvals based on intermediate clinical endpoints,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9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may lead the FDA to withdraw the product from the market on an expedited basis. All promotional materials for product candidates approved under accelerated regulations are subject to prior review by the FDA.</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Fast track designation, priority review, accelerated approval, and breakthrough therapy designation may expedite the development or approval process, but do not change the standards for approval. Even if a product qualifies for one or more of these programs, the FDA may later decide that the product no longer meets the conditions for qualification or decide that the time period for FDA review or approval will not be shortened.</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Regulation</w:t>
      </w:r>
    </w:p>
    <w:p>
      <w:pPr>
        <w:spacing w:after="0" w:line="22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If regulatory approval for marketing of a product or for a new indication for an existing product is obtained, the sponsor will be required to comply with rigorous and extensive post-approval regulatory requirements as well as any post-approval requirements that the FDA has imposed on the particular product as part of the approval process. The sponsor will be required, among other things, to report certain adverse reactions and production problems to the FDA, provide updated safety and efficacy information and comply with requirements concerning advertising, promotional labeling, product sampling and distribution.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BLA-holder and its third-party manufacturers must continue to expend time, money and effort in the areas of production and quality control to maintain compliance with cGMP regulations and other regulatory requirements. FDA regulations also require investigation and correction of any deviations from cGMP and impose reporting requirements upon us and any third-party manufacturers that we or our partners may decide to use. In addition, changes to the manufacturing process or facility are strictly regulated, and, depending on the significance of the change, may require prior FDA approval before being implemented, and other types of changes to the approved product, such as adding new indications and additional labeling claims, are also subject to further FDA review and approval.</w:t>
      </w:r>
    </w:p>
    <w:p>
      <w:pPr>
        <w:spacing w:after="0" w:line="19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study requirements or clinical trial requirements to assess new safety risks; or imposition of distribution restrictions or other restrictions under a REMS program. Other potential consequences include, among other things:</w:t>
      </w:r>
    </w:p>
    <w:p>
      <w:pPr>
        <w:spacing w:after="0" w:line="187" w:lineRule="exact"/>
        <w:rPr>
          <w:sz w:val="20"/>
          <w:szCs w:val="20"/>
          <w:color w:val="auto"/>
        </w:rPr>
      </w:pPr>
    </w:p>
    <w:p>
      <w:pPr>
        <w:ind w:left="680" w:right="18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letters or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fines, debarment, disgorgement of profits or the imposition of civil or criminal penalties.</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FDA closely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patients in varied circumstances. The FDA does not regulate the behavior of physicians in their choice of treatments. The FDA does, however, restrict marketing authorization holders’ communications on the subject of off-label use of their products.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products intended for rare diseases or conditions. In the United States, a rare disease or condition is statutorily defined as a disease or condition that affects fewer than 200,000 individuals in the United States or that affects more than 200,000 individuals in the United States but for which there is no reasonable expectation that the cost of developing and making available the product for the disease or condition will be recovered from sales of the product in the United States.</w:t>
      </w:r>
    </w:p>
    <w:p>
      <w:pPr>
        <w:spacing w:after="0" w:line="14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Orphan drug designation qualifies a company for certain financial incentives, including tax advantages, waiver of the BLA application user fee and, if the product receives the first FDA approval for the indication for which it has orphan designation, market exclusivity. Orphan product exclusivity means that the FDA may not approve any other applications, including a full BLA, to market the same biologic 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An application for designation as an orphan product can be made any time prior to the filing of an application for approval to market the product.</w:t>
      </w:r>
    </w:p>
    <w:p>
      <w:pPr>
        <w:spacing w:after="0" w:line="1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product. More than one sponsor may receive orphan drug designation for the same product for the same rare disease or condition, but each sponsor seeking orphan drug designation must file a complete request for designation.</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the manufacturer makes a showing of clinical superiority over the product with orphan exclusivity, or the sponsor is unable to provide sufficient quantities.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An orphan-designated product may not receive orphan exclusivity if it is approved for a use that is broader than the indication for which it received orphan designation. In addition, orphan exclusivity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Orphan product designation does not convey any advantage in or shorten the duration of the regulatory review and approval process.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BPCIA (under the Affordable Care Act) created an abbreviated approval pathway for biological products that are biosimilar to or interchangeable with an FDA-licensed reference biological product. The FDA has issued several guidance documents outlining an approach to review and approve of biosimilars.</w:t>
      </w:r>
    </w:p>
    <w:p>
      <w:pPr>
        <w:spacing w:after="0" w:line="162"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3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w:t>
      </w:r>
    </w:p>
    <w:p>
      <w:pPr>
        <w:spacing w:after="0" w:line="16" w:lineRule="exact"/>
        <w:rPr>
          <w:sz w:val="20"/>
          <w:szCs w:val="20"/>
          <w:color w:val="auto"/>
        </w:rPr>
      </w:pPr>
    </w:p>
    <w:p>
      <w:pPr>
        <w:jc w:val="both"/>
        <w:ind w:right="300"/>
        <w:spacing w:after="0" w:line="234" w:lineRule="auto"/>
        <w:rPr>
          <w:sz w:val="20"/>
          <w:szCs w:val="20"/>
          <w:color w:val="auto"/>
        </w:rPr>
      </w:pPr>
      <w:r>
        <w:rPr>
          <w:rFonts w:ascii="Times New Roman" w:cs="Times New Roman" w:eastAsia="Times New Roman" w:hAnsi="Times New Roman"/>
          <w:sz w:val="18"/>
          <w:szCs w:val="18"/>
          <w:color w:val="auto"/>
        </w:rPr>
        <w:t>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1"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Procedures Governing Approval of Medicinal Products in the European Union</w:t>
      </w:r>
    </w:p>
    <w:p>
      <w:pPr>
        <w:spacing w:after="0" w:line="189"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18"/>
          <w:szCs w:val="18"/>
          <w:color w:val="auto"/>
        </w:rPr>
        <w:t>In order to market any product outside the United States, a company also must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marketing of the product in those countries or jurisdictions. Specifically, the process governing approval of medicinal products in the European Union generally follows the same lines as in the United States. It entails satisfactory completion of pharmaceutical development, nonclinical studies and adequate and well-controlled clinical trials to establish the safety and efficacy of the medicinal product for each proposed indication.</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Approval</w:t>
      </w:r>
    </w:p>
    <w:p>
      <w:pPr>
        <w:spacing w:after="0" w:line="202"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On January 31, 2022, the new Clinical Trial Regulation (EU) No 536/2014 became effective, replacing Clinical Trials Directive 2001/20/EC (which can still be applied for new clinical studies during a transition period until January 2023). This new legislation, which is directly applicable in all Member States, aims at simplifying and streamlining the approval of clinical trials in the European Union by allowing for a streamlined application procedure via a single-entry point and strictly defined deadlines for the assessment of clinical trial applications. The Clinical Trial Regulation harmonizes the assessment and supervision processes for clinical trials throughout the European Union, via a Clinical Trials Information System, or CTIS, which contains the centralized European Union portal and database for clinical trials foreseen by the Regulation. The EMA sets up and maintains CTIS, in collaboration with the competent national authority of each European Union Member Sate and the EC.</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To obtain a marketing authorization for a product under the European Union regulatory system, an applicant must obtain Marketing Authorization, or MA. There are two types of MAs:</w:t>
      </w:r>
    </w:p>
    <w:p>
      <w:pPr>
        <w:spacing w:after="0" w:line="162" w:lineRule="exact"/>
        <w:rPr>
          <w:sz w:val="20"/>
          <w:szCs w:val="20"/>
          <w:color w:val="auto"/>
        </w:rPr>
      </w:pPr>
    </w:p>
    <w:p>
      <w:pPr>
        <w:ind w:left="680" w:hanging="321"/>
        <w:spacing w:after="0" w:line="253" w:lineRule="auto"/>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Community MA, which is issued by the EC through the Centralized Procedure, based on the opinion of the Committee for Medicinal Products for Human Use, or CHMP, of the EMA, and which is valid throughout the entire territory of the EEA. The Centralized Procedure is mandatory for certain types of products, such as biotechnology medicinal products, orphan medicinal products, advanced therapy medicinal products (such as gene therapies, somatic cell therapies and tissue engineered products), and medicinal products that contain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 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210-day review period is reduced to 150 days.</w:t>
      </w:r>
    </w:p>
    <w:p>
      <w:pPr>
        <w:spacing w:after="0" w:line="187" w:lineRule="exact"/>
        <w:rPr>
          <w:rFonts w:ascii="Times New Roman" w:cs="Times New Roman" w:eastAsia="Times New Roman" w:hAnsi="Times New Roman"/>
          <w:sz w:val="18"/>
          <w:szCs w:val="18"/>
          <w:color w:val="auto"/>
        </w:rPr>
      </w:pPr>
    </w:p>
    <w:p>
      <w:pPr>
        <w:ind w:left="680" w:right="100" w:hanging="321"/>
        <w:spacing w:after="0" w:line="258" w:lineRule="auto"/>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An MA may be granted only to an applicant established in the European Union. Regulation 1901/2006 on Medicinal Products for Pediatric Use provides that prior to obtaining a marketing authorization in the European Union in the centralized procedure, an applicant must demonstrate compliance with all measures included in an EMA-approved Pediatric Investigation Plan covering all subsets of the pediatric population, unless the EMA has granted a product-specific waiver, class waiver, or a deferral for one or more of the measures included in the Pediatric Investigation Plan.</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 new chemical entity, and products may not qualify for data exclusivity.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Periods of Authorization and Renewals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it may be renewed after five years on the basis of a reevaluation of the risk-benefit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EC or the competent authority decides, on justified grounds relating to pharmacovigilance, to proceed with one additional five-year renewal period. Any authorization that is not followed by the placement of the product on the European Union market (in the case of the centralized procedure) or on the market of the authorizing Member State within three years after authorization ceases to be valid.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Regulatory Requirements After Marketing Authorization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cGMP requirements and comparable requirements of other regulatory bodies in the European Union, which mandate the methods, facilities and controls used in manufacturing, processing and packing of products to assure their safety and identity. Finally, the marketing and promotion of authorized products, including industry-sponsored continuing medical education and advertising directed toward the prescribers of products and/or the general public, are strictly regulated in the European Union under Directive 2001/83.</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Regulation 141/2000 and Regulation 847/2000 provide that a product can be designated as an orphan drug by the EC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An orphan drug designation provides a number of benefits, including fee reductions, regulatory assistance and the possibility to apply for a centralized European Union marketing authorization. Orphan drugs also benefit from a 10-year period of market exclusivity. During this market exclusivity period, neither the EMA nor the EC 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 Additionally, marketing authorization may be granted to a similar product for the same indication at any time if the second applicant can establish that its product, although similar, is safer, more effective or otherwise clinically superior, the applicant consents to a second orphan medicinal product application, or applicant cannot supply enough orphan medicinal product.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Pricing and Reimbursement</w:t>
      </w:r>
    </w:p>
    <w:p>
      <w:pPr>
        <w:spacing w:after="0" w:line="229"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Significant uncertainty exists as to the coverage and reimbursement status of any product candidates for which we may obtain regulatory approval. Even if our product candidates are approved for marketing,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In the United States, the Member States of the European Union and markets in other countries, patients who are prescribed treatments for their conditions and providers performing the prescribed services generally rely on third-party payors to reimburse all or part of the associated healthcare costs. Reimbursement rules and levels are not harmonized in the European Union and therefore differ from Member State to Member State. Patients are unlikely to use any product candidates we may develop unless coverage is provided and reimbursement is adequate to cover a significant portion of the cost of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 and examining the medical necessity and cost effectiveness of medical products and services and imposing controls to manage costs.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and the cost of these studies would be in addition to the costs required to obtain FDA or other comparable marketing approvals. Even after pharmacogenomic studies are conducted,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For example, the payor may require co-payments that patients find unacceptably high. Further, one payor’s determination to provide coverage for a product does not assure that such coverage will continue or that other payors will also provide coverage and reimbursement for the product, and the level of coverage and reimbursement can differ significantly from payor to payor. Third-party reimbursement and coverage may not be adequate to enable us to maintain price levels sufficient to realize an appropriate return on our investment in product development. The insurance coverage and reimbursement status of newly approved products for orphan diseases is particularly uncertain, and failure to obtain or maintain adequate coverage and reimbursement for any such product candidates could limit a company’s ability to generate revenue.</w:t>
      </w:r>
    </w:p>
    <w:p>
      <w:pPr>
        <w:spacing w:after="0" w:line="19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state and foreign governments as well as other third-party payors such as statutory health insurance funds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or coverage may be ended in the future.</w:t>
      </w:r>
    </w:p>
    <w:p>
      <w:pPr>
        <w:spacing w:after="0" w:line="1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Outside the United States, we will face challenges in ensuring obtaining adequate coverage and payment for any product candidates we may develop. Pricing of prescription pharmaceuticals is subject to governmental control in many countries. Pricing negotiations with governmental authorities or other third-party payors such as statutory health insurance funds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product. Acceptance of any medicinal product for reimbursement may come with cost, use and often volume restrictions, which again can vary by country. In addition, results 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Healthcare Laws and Regulations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pharmaceutical products that are granted marketing approval. Our current and future arrangements with providers, researchers, consultants, third-party payors and customers are subject to broadly applicable federal and state fraud and abuse, anti-kickback, false claims, physician payment transparency and other healthcare laws and regulations that may constrain our business and/or financial arrangements. Restrictions under applicable federal and state healthcare laws and regulations include, without limitation, the following:</w:t>
      </w:r>
    </w:p>
    <w:p>
      <w:pPr>
        <w:spacing w:after="0" w:line="156" w:lineRule="exact"/>
        <w:rPr>
          <w:sz w:val="20"/>
          <w:szCs w:val="20"/>
          <w:color w:val="auto"/>
        </w:rPr>
      </w:pPr>
    </w:p>
    <w:p>
      <w:pPr>
        <w:ind w:left="680" w:right="60" w:hanging="321"/>
        <w:spacing w:after="0" w:line="258"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 receiving, offering, or paying remuneration, directly or indirectly, in cash or in-kind, to induce or reward either the referral of an individual for, or the purchase, order or recommendation of, any good or service, for which payment may be made, in whole or in part, under a federal healthcare program such as Medicare and Medicaid. A person or entity does not need to have actual knowledge of the statute or a specific intent to violate it in order to have committed a violation;</w:t>
      </w:r>
    </w:p>
    <w:p>
      <w:pPr>
        <w:spacing w:after="0" w:line="142" w:lineRule="exact"/>
        <w:rPr>
          <w:rFonts w:ascii="Times New Roman" w:cs="Times New Roman" w:eastAsia="Times New Roman" w:hAnsi="Times New Roman"/>
          <w:sz w:val="18"/>
          <w:szCs w:val="18"/>
          <w:color w:val="auto"/>
        </w:rPr>
      </w:pPr>
    </w:p>
    <w:p>
      <w:pPr>
        <w:ind w:left="680" w:right="40" w:hanging="321"/>
        <w:spacing w:after="0" w:line="256"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 Moreover, the government may assert that a claim that includes items or services resulting from a violation of the federal Anti-Kickback Statute constitutes a false or fraudulent claim for purposes of the civil False Claims Act;</w:t>
      </w:r>
    </w:p>
    <w:p>
      <w:pPr>
        <w:spacing w:after="0" w:line="146" w:lineRule="exact"/>
        <w:rPr>
          <w:rFonts w:ascii="Times New Roman" w:cs="Times New Roman" w:eastAsia="Times New Roman" w:hAnsi="Times New Roman"/>
          <w:sz w:val="18"/>
          <w:szCs w:val="18"/>
          <w:color w:val="auto"/>
        </w:rPr>
      </w:pPr>
    </w:p>
    <w:p>
      <w:pPr>
        <w:ind w:left="680" w:right="80" w:hanging="321"/>
        <w:spacing w:after="0" w:line="258"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a specific intent to violate it in order to have committed a violation;</w:t>
      </w:r>
    </w:p>
    <w:p>
      <w:pPr>
        <w:spacing w:after="0" w:line="156" w:lineRule="exact"/>
        <w:rPr>
          <w:rFonts w:ascii="Times New Roman" w:cs="Times New Roman" w:eastAsia="Times New Roman" w:hAnsi="Times New Roman"/>
          <w:sz w:val="18"/>
          <w:szCs w:val="18"/>
          <w:color w:val="auto"/>
        </w:rPr>
      </w:pPr>
    </w:p>
    <w:p>
      <w:pPr>
        <w:ind w:left="680" w:right="60" w:hanging="321"/>
        <w:spacing w:after="0" w:line="258"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Affordable Care Act, which requires certain manufacturers of drugs, devices, biologics and medical supplies to report annually to the CMS, within the HHS, information related to payments and other transfers of value made by that entity to physicians (as defined by statute), certain other healthcare providers beginning in 2022, and teaching hospitals, as well as ownership and investment interests held by physicians and their immediate family members;</w:t>
      </w:r>
    </w:p>
    <w:p>
      <w:pPr>
        <w:spacing w:after="0" w:line="142"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21"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to government programs and which may be used in the calculation of reimbursement and/or discounts on marketed products;</w:t>
      </w:r>
    </w:p>
    <w:p>
      <w:pPr>
        <w:spacing w:after="0" w:line="134"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a U.S. law which regulates certain financial relationships with foreign government officials (which could include, for example, certain medical professionals); and</w:t>
      </w:r>
    </w:p>
    <w:p>
      <w:pPr>
        <w:spacing w:after="0" w:line="121"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healthcare providers or marketing expenditures and pricing information.</w:t>
      </w:r>
    </w:p>
    <w:p>
      <w:pPr>
        <w:spacing w:after="0" w:line="14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Violations of these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Moreover, we expect that there will continue to be federal and state laws and regulations, proposed and implemented, that could impact our future operations and business.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Cybersecurity Laws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be subject to, or our marketing activities may be limited by, HIPAA and its implementing regulations, which established uniform standards for certain covered entities (healthcare providers, health plans and healthcare clearinghouses) governing the conduct of certain electronic healthcare transactions and protecting the security and privacy of protected health information, including, among other requirements, mandatory contractual terms and technical safeguards to protect the privacy, security and transmission of protected health information and notification to affected individuals and regulatory authorities in the event of certain breaches of security of protected health information. The American Recovery and Reinvestment Act of 2009, commonly referred to as the economic stimulus package, included sweeping expansion of HIPAA’s privacy and security standards called the Health Information Technology for Economic and Clinical Health Act, or HITECH, which became effective on February 17, 2010. Among other things, the HITECH makes HIPAA’s privacy and security standards directly applicable to business associates, or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0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consumers’ personal information secure can constitute unfair acts or practices in or affecting commerce and be construed as a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and the FTC’s guidance for appropriately securing consumers’ personal information is similar to what is required by the HIPAA Security Rule.</w:t>
      </w:r>
    </w:p>
    <w:p>
      <w:pPr>
        <w:spacing w:after="0" w:line="12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State laws may be more stringent, broader in scope or offer greater individual rights with respect to protected health information, or PHI, than HIPAA, and state laws may differ from each other, which may complicate compliance efforts. By way of example, the California Consumer Privacy Act as amended by the California Privacy Rights Act, or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The CCPA also creates a new state agency that will be vested with authority to implement and enforce the CCPA. In addition, other states may choose to adopt more stringent privacy legislation, which could increase our potential liability and compliance costs and adversely affect our business.</w:t>
      </w:r>
    </w:p>
    <w:p>
      <w:pPr>
        <w:spacing w:after="0" w:line="121" w:lineRule="exact"/>
        <w:rPr>
          <w:sz w:val="20"/>
          <w:szCs w:val="20"/>
          <w:color w:val="auto"/>
        </w:rPr>
      </w:pPr>
    </w:p>
    <w:p>
      <w:pPr>
        <w:ind w:right="60" w:firstLine="324"/>
        <w:spacing w:after="0" w:line="251" w:lineRule="auto"/>
        <w:rPr>
          <w:sz w:val="20"/>
          <w:szCs w:val="20"/>
          <w:color w:val="auto"/>
        </w:rPr>
      </w:pPr>
      <w:r>
        <w:rPr>
          <w:rFonts w:ascii="Times New Roman" w:cs="Times New Roman" w:eastAsia="Times New Roman" w:hAnsi="Times New Roman"/>
          <w:sz w:val="18"/>
          <w:szCs w:val="18"/>
          <w:color w:val="auto"/>
        </w:rPr>
        <w:t>In the European Union, we may be subject to strict data protection regulations, in particular with regard to health data of individuals pursuant to Art. 4 Nr. 15 of the GDPR, effective since May 25, 2018. The GDPR, together with national legislation, regulations and guidelines of the European Union Member States and the United Kingdom governing the processing of personal data, impose strict obligations with respect to, and restrictions on, the collection, use, retention, protection, disclosure, transfer and processing of personal data. In particular, the GDPR includes obligations and restrictions concerning the consent and rights of data subjects, the transfer of personal data to countries outside the European Union, security breach notifications, and other requirements concerning the security and confidentiality of personal data. For example, in 2016, the European Union and United States agreed to a transfer framework for data transferred from the European Union to the United States, called the Privacy Shield, but the Privacy Shield was invalidated in July 2020 by the Court of Justice of the European Union. The standard contractual clauses issued by the European Commission for the transfer of personal data may be similarly invalidated by the Court of Justice of the European Union. On June 4, 2021, the European Commission adopted new standard contractual clauses, which impose on companies additional obligations relating to data transfers, including the obligation to conduct a transfer impact assessment and, depending on a party’s role in the transfer, to implement additional security measures and to update internal privacy practices. It remains to be seen whether these standard contractual clauses will remain available and whether additional means for lawful data transfers will become available. The GDPR imposes special requirements concerning the protection of special categories of personal data which include health and genetic information of data subjects. These special categories of data may only be processed under certain circumstances, including if the data subject consented to such processing or if (i) processing is necessary in order to protect vital interests of the data subject or of another natural person, insofar as the data subject is unable to provide consent for physical or legal reasons; (ii) the data concerned have manifestly been made public by the data subject;</w:t>
      </w:r>
    </w:p>
    <w:p>
      <w:pPr>
        <w:spacing w:after="0" w:line="10" w:lineRule="exact"/>
        <w:rPr>
          <w:sz w:val="20"/>
          <w:szCs w:val="20"/>
          <w:color w:val="auto"/>
        </w:rPr>
      </w:pPr>
    </w:p>
    <w:p>
      <w:pPr>
        <w:ind w:right="260" w:firstLine="8"/>
        <w:spacing w:after="0" w:line="255" w:lineRule="auto"/>
        <w:tabs>
          <w:tab w:leader="none" w:pos="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is necessary in order to assert, exercise or defend legal claims; or (iv) processing is necessary for the purposes of scientific research and to ensure that any additional requirements under applicable data protection laws, including national legislation, regulations and guidelines, are met.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Therefore, we may be subject to and our marketing activities may be limited by the regulations regarding the data protection of individuals according to the GDPR, the German Federal Data Protection Act and other applicable data protection laws. These regulations could also restrict the transfer of data from European Union member states to the United States. The general transfer of personal data outside of the European Union is prohibited unless the conditions laid out in Art. 44 et. seq. of the GDPR are fulfilled and an adequate level of data protection can be ensured. Currently the United States is not considered to be a country with an adequate level of data protection, and further contractual arrangements must be adopted to permit the international transfer of personal data to the United States. European data protection authorities may interpret the GDPR and national laws differently and impose additional requirements, which contributes to the complexity of processing personal data in or from the European Union. Guidance on implementation and compliance practices is regularly updated or otherwise revised. The GDPR has increased our responsibility and liability in relation to personal data that we process and we may be required to put in place additional mechanisms ensuring compliance with the relevant data protection regimes. Separately, Brexit could also lead to further legislative and regulatory changes and increase our compliance costs. As of January 1, 2021, and the expiry of transitional arrangements agreed to between the United Kingdom and the European Union,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adopted an adequacy decision in favor of the United Kingdom, enabling data transfers from European Union member states to the United Kingdom without additional safeguards. However, the United Kingdom adequacy decision will automatically expire in June 2025 unless the European Commission re-assesses and renews or extends that decision. For more information regarding the risks related to data security and privacy, see “Risk Factors — Risks Related to Our Business and Industry.”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ind w:right="260" w:firstLine="324"/>
        <w:spacing w:after="0" w:line="289" w:lineRule="auto"/>
        <w:rPr>
          <w:sz w:val="20"/>
          <w:szCs w:val="20"/>
          <w:color w:val="auto"/>
        </w:rPr>
      </w:pPr>
      <w:r>
        <w:rPr>
          <w:rFonts w:ascii="Times New Roman" w:cs="Times New Roman" w:eastAsia="Times New Roman" w:hAnsi="Times New Roman"/>
          <w:sz w:val="17"/>
          <w:szCs w:val="17"/>
          <w:color w:val="auto"/>
        </w:rPr>
        <w:t>We participate in an industry that is characterized by a rapidly growing understanding of disease biology, quickly changing technologies, strong emphasis on proprietary products, and a multitude of companies involved in the creation, development and commercialization of novel therapeutics. These companies are highly sophisticated and often collaborate strategically with each other.</w:t>
      </w:r>
    </w:p>
    <w:p>
      <w:pPr>
        <w:spacing w:after="0" w:line="9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developing a broad portfolio of product candidates that, coupled with our capabilities across mRNA technology, development and manufacturing, we believe position us at the forefront of targeted immune active and immune silent mRNA-based medicines. However, we compete with a wide range of pharmaceutical companies, biotechnology companies, academic institutions and other research organizations for novel therapeutic targets, new technologies, talent, financial resources, intellectual property rights and collaboration opportunities. As such, many of our competitors and potential competitors have substantially greater scientific, research and product development capabilities as well as greater financial, manufacturing, marketing and human resources than we do. In addition, there is intense competition to establish clinical trial sites and register patients for clinical trials. Many specialized biotechnology firms have formed collaborations with large, established companies to support the research, development and commercialization of products that may be competitive with ours. Accordingly, our competitors may be more successful than we may be in developing, commercializing and achieving widespread market acceptance. In addition, our competitors’ products may be more effective or more effectively marketed and sold than any treatment we or our development partners may commercialize and may render our product candidates obsolete or noncompetitive before we can recover the expenses related to developing and commercializing any of our product candidates.</w:t>
      </w:r>
    </w:p>
    <w:p>
      <w:pPr>
        <w:spacing w:after="0" w:line="12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There are additional companies that are working on potential mRNA medicines. Companies with clinical programs with mRNA include BioNTech/Pfizer, Moderna, eTheRNA Immunotherapies, Translate Bio, GlaxoSmithKline Sanofi, AstraZeneca, Merck &amp; Co. and Arcturus Therapeutics and those programs include, Ethris and Genevant Sciences. In COVID-19, our monovalent vaccine candidate, CV0601, and in seasonal influenza our multivalent vaccine candidate are currently the main focus of other pharmaceutical companies, some with more considerable capital resources than ours. For example, a limited number of products that utilize mRNA as a prophylactic vaccine against COVID-19 have been approved by the FDA, EMA and other regulatory agencies.. For influenza, no mRNA-based vaccine has been approved so far with the current standard-of-care being well-established protein-based vaccines. Thus, we expect intense competition for our vaccine candidates from other pharmaceutical companies not limited to the field of mRNA medicines. In addition, the oncology therapeutics landscape in general is highly competitive and includes large and specialty pharmaceutical and biotechnology companies, academic research institutions and governmental agencies and public and private research institutions. It includes both competition from marketed therapies as well as potential new therapeutics in development. We may compete with products with different mechanisms of action as well as against established standards of care. We expect our intratumoral immunotherapy candidates for the treatment of solid tumors to face direct competition from companies such as Moderna and BioNTech in collaboration with Sanofi in addition to several non-mRNA-based approaches.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a holding company, and our sole asset is the capital stock of our wholly owned subsidiaries. Our major subsidiaries are listed under Exhibit 8.1 filed herewith.</w:t>
      </w:r>
    </w:p>
    <w:p>
      <w:pPr>
        <w:spacing w:after="0" w:line="158" w:lineRule="exact"/>
        <w:rPr>
          <w:sz w:val="20"/>
          <w:szCs w:val="20"/>
          <w:color w:val="auto"/>
        </w:rPr>
      </w:pPr>
    </w:p>
    <w:p>
      <w:pPr>
        <w:ind w:right="7120" w:firstLine="8"/>
        <w:spacing w:after="0" w:line="532" w:lineRule="auto"/>
        <w:tabs>
          <w:tab w:leader="none" w:pos="324"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Plant and Equipment Our Manufacturing Platform</w:t>
      </w:r>
    </w:p>
    <w:p>
      <w:pPr>
        <w:spacing w:after="0" w:line="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an integrated biopharmaceutical company with in-house manufacturing capabilities and expertise. We consider our manufacturing process an important part of our strategy that allows us to continuously improve our technology platform and maintain flexibility in clinical development and allow us to manufacture potential future commercial products. The close interaction of our technical development and research teams enables us to rapidly implement innovations and robustness to the manufacturing process. We control the critical steps of manufacturing in-house and also collaborate with manufacturing organization partners. Both of which allow us to drive innovation and to maintain flexibility, and in turn allows us to pivot quickly in pandemic settings.</w:t>
      </w:r>
    </w:p>
    <w:p>
      <w:pPr>
        <w:spacing w:after="0" w:line="187"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All of our mRNA-based active ingredients for various fields of application originate from a common technology platform and are based on identical source materials. This enables us to produce all mRNA therapies using a platform process concept. Given the differences in the encoded protein only require alterations of the sequence of the mRNA molecule, leaving its physicochemical characteristics largely unaffected, we can use the same mRNA production strategy applying the same unit operations for diverse products. This allows us to save time and reduce costs compared to other manufacturing processes. Our approach supports a seamless production concept based on our experience and know-how in mRNA manufacturing.</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GMP Manufacturing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156845</wp:posOffset>
            </wp:positionV>
            <wp:extent cx="4903470" cy="18256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0347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have continued to invest significantly in building and expanding our manufacturing capabilities since 2006. We currently have the capacity to produce early and late-stage clinical trial RNA material and potential future commercial lots. Since 2006, we have manufactured thousands of mRNA constructs, from high throughput and small amounts for discovery and preclinical development to GMP compliant products.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currently operating three GMP-certified suites. Our GMP I and II facilities were designed to run up to 14 different products in parallel, using a lab-scale process. The facilities cover all steps from starting material pDNA, through mRNA manufacturing to formulated bulk. Our GMP I and II facilities are dedicated to providing supplies for early clinical development (Phase 1 and 2), with capacity to produce multiple batches per year. In 2019, we expanded our production capacity to meet the increasing demands for clinical studies and potential future initial commercial supply by adding a GMP III facility. Our GMP III facility allows us to achieve additional scale and reduce manufacturing process time. This facility focuses on the production of mRNA, and formulated bulk. We currently use our GMP/II facility and CMOs for starting material plasmid DNA (pDNA). The GMP III facility is intended to provide supply for early to late-stage clinical studies and initial potential market supply and is based on a new scalable process design compared to our GMP I and II facilities. We are currently in the process of certifying a GMP IV facility (shown in the picture below), which is being designed to cover all manufacturing steps from starting material (pDNA) to formulation.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134620</wp:posOffset>
            </wp:positionV>
            <wp:extent cx="2863215" cy="19634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63215"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GMP IV facility</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RNA Printer</w:t>
      </w:r>
    </w:p>
    <w:p>
      <w:pPr>
        <w:spacing w:after="0" w:line="229"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In addition to our GMP I-IV manufacturing facilities, we are operating an integrated and highly automated production unit, The RNA Printer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RNA Printer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GMP-grade end-to-end system that is being designed to downscale, accelerate and automate the manufacturing process. The fully synthetic production process allows us to have rapid manufacturing of products and offer reproducibility and high standardization. It includes automated cleaning and sanitization in place procedures and continuous process verification. The current setup covers DNA and RNA production for automated downstream and upstream production up to drug substance. We have obtained a Manufacturing License for a mRNA in the cancer vaccine development program to support CureVac’s oncology strategy from the regional authority in Baden-Württemberg as announced in November 2023. In April 2024, we announced that the system was also granted a Framework License from the same authority that significantly broadens its regulatory freedom and flexibility to manufacture different mRNA vaccine candidates. The regulatory approval process for the formulation Module is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136525</wp:posOffset>
            </wp:positionV>
            <wp:extent cx="3823335" cy="2708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2333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RNA Printer</w:t>
      </w:r>
      <w:r>
        <w:rPr>
          <w:rFonts w:ascii="Times New Roman" w:cs="Times New Roman" w:eastAsia="Times New Roman" w:hAnsi="Times New Roman"/>
          <w:sz w:val="26"/>
          <w:szCs w:val="26"/>
          <w:i w:val="1"/>
          <w:iCs w:val="1"/>
          <w:color w:val="auto"/>
          <w:vertAlign w:val="superscript"/>
        </w:rPr>
        <w:t>®</w:t>
      </w:r>
    </w:p>
    <w:p>
      <w:pPr>
        <w:spacing w:after="0" w:line="135" w:lineRule="exact"/>
        <w:rPr>
          <w:sz w:val="20"/>
          <w:szCs w:val="20"/>
          <w:color w:val="auto"/>
        </w:rPr>
      </w:pPr>
    </w:p>
    <w:p>
      <w:pPr>
        <w:ind w:right="60" w:firstLine="324"/>
        <w:spacing w:after="0" w:line="202" w:lineRule="auto"/>
        <w:rPr>
          <w:sz w:val="20"/>
          <w:szCs w:val="20"/>
          <w:color w:val="auto"/>
        </w:rPr>
      </w:pPr>
      <w:r>
        <w:rPr>
          <w:rFonts w:ascii="Times New Roman" w:cs="Times New Roman" w:eastAsia="Times New Roman" w:hAnsi="Times New Roman"/>
          <w:sz w:val="18"/>
          <w:szCs w:val="18"/>
          <w:color w:val="auto"/>
        </w:rPr>
        <w:t>The key characteristics of The RNA Printer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rapid throughput, easy operator access to equipment, sophisticated precision control software and data capture, and the small footprint that allows for easy decentralization. We view The RNA Printer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complementary to our manufacturing strategy. With its modular design and decentralized concept, we believe The RNA Printer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could be used to facilitate broad access to mRNA technology and enable mRNA product developments, e.g. for patient access to advanced and personalized mRNA-based therapies in oncology.</w:t>
      </w:r>
    </w:p>
    <w:p>
      <w:pPr>
        <w:spacing w:after="0" w:line="20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objective is to cover the entire production stream, and we believe efficient accompanying analytics will help to rapidly produce high-quality material. All data generated during production would be collected to further improve production processes and product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headquarters are in Tübingen, Germany, Friedrich-Miescher-Strasse 15, where we occupy approximately 123,000 square feet of office and laboratory space under a sublease agreement entered into with CureVac Real Estate GmbH that started on June 6, 2018. The fixed-term 15-year lease payment period began on March 1, 2020. We also occupy approximately 53,000 square feet of additional office and laboratory space in Tübingen, Germany, Paul-Ehrlich-Strasse 15, under sublease agreements also entered into with CureVac Real Estate GmbH, that started on February 1, 2018.</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2006, we have operated a manufacturing facility in Tübingen, Germany, the first worldwide GMP-compliant mRNA production plant with two multi-product suites (GMP I and II). These facilities contain approximately 16,145 square feet of laboratory space, including 2,800 square feet of GMP facilities, and are dedicated to providing supplies for early clinical development (Phases 1 and 2 of clinical trials). In addition, we have established a third in-house production suit (GMP III) with an upscaled manufacturing process, which was certified in December 2019. We currently occupy 2,800 square feet of GMP III facility for the production of mRNA. Our GMP III facility is intended to provide supplies for our late-stage clinical studies and anticipated early market supply. These manufacturing facilities are located in Tübingen, Germany, Paul-Ehrlich-Strasse 15 and are leased via the abovementioned sublease agreements entered into with CureVacManufacturing GmbH.</w:t>
      </w:r>
    </w:p>
    <w:p>
      <w:pPr>
        <w:spacing w:after="0" w:line="19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have also constructed a new CureVac owned manufacturing facility, for a GMP production process at large scale, from starting material to formulation(GMP IV). This facility is expected to be approximately 128,000 square feet. The expected cost of completion is €171.1 million, and as of December 31, 2023, we have spent €170.6 million on completing the GMP IV facility.</w:t>
      </w:r>
    </w:p>
    <w:p>
      <w:pPr>
        <w:spacing w:after="0" w:line="176" w:lineRule="exact"/>
        <w:rPr>
          <w:sz w:val="20"/>
          <w:szCs w:val="20"/>
          <w:color w:val="auto"/>
        </w:rPr>
      </w:pPr>
    </w:p>
    <w:p>
      <w:pPr>
        <w:ind w:right="140" w:firstLine="321"/>
        <w:spacing w:after="0" w:line="266" w:lineRule="auto"/>
        <w:rPr>
          <w:sz w:val="20"/>
          <w:szCs w:val="20"/>
          <w:color w:val="auto"/>
        </w:rPr>
      </w:pPr>
      <w:r>
        <w:rPr>
          <w:rFonts w:ascii="Times New Roman" w:cs="Times New Roman" w:eastAsia="Times New Roman" w:hAnsi="Times New Roman"/>
          <w:sz w:val="18"/>
          <w:szCs w:val="18"/>
          <w:color w:val="auto"/>
        </w:rPr>
        <w:t>In addition, we lease land and small- to mid-scale buildings for our offices and laboratories in Tübingen approximately 111,000 sq. feet. We occupy approximately 27,000 square feet of additional offices and laboratories in Tübingen, Germany, Rosentalstrasse 15 for research and development (or Technology Department). The agreement started on March 1, 2022.</w:t>
      </w:r>
    </w:p>
    <w:p>
      <w:pPr>
        <w:spacing w:after="0" w:line="17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We lease an aggregate of approximately 337,300 square feet, in Germany, Europe and the United States. The following table summarizes information with respect to the principal facilities leased by us: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70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Area</w:t>
            </w:r>
          </w:p>
        </w:tc>
        <w:tc>
          <w:tcPr>
            <w:tcW w:w="0" w:type="dxa"/>
            <w:vAlign w:val="bottom"/>
          </w:tcPr>
          <w:p>
            <w:pPr>
              <w:spacing w:after="0"/>
              <w:rPr>
                <w:sz w:val="1"/>
                <w:szCs w:val="1"/>
                <w:color w:val="auto"/>
              </w:rPr>
            </w:pPr>
          </w:p>
        </w:tc>
      </w:tr>
      <w:tr>
        <w:trPr>
          <w:trHeight w:val="173"/>
        </w:trPr>
        <w:tc>
          <w:tcPr>
            <w:tcW w:w="6240" w:type="dxa"/>
            <w:vAlign w:val="bottom"/>
            <w:gridSpan w:val="2"/>
            <w:vMerge w:val="continue"/>
          </w:tcPr>
          <w:p>
            <w:pPr>
              <w:spacing w:after="0"/>
              <w:rPr>
                <w:sz w:val="15"/>
                <w:szCs w:val="15"/>
                <w:color w:val="auto"/>
              </w:rPr>
            </w:pPr>
          </w:p>
        </w:tc>
        <w:tc>
          <w:tcPr>
            <w:tcW w:w="17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(Approximate Sq. Feet)</w:t>
            </w:r>
          </w:p>
        </w:tc>
        <w:tc>
          <w:tcPr>
            <w:tcW w:w="0" w:type="dxa"/>
            <w:vAlign w:val="bottom"/>
          </w:tcPr>
          <w:p>
            <w:pPr>
              <w:spacing w:after="0"/>
              <w:rPr>
                <w:sz w:val="1"/>
                <w:szCs w:val="1"/>
                <w:color w:val="auto"/>
              </w:rPr>
            </w:pPr>
          </w:p>
        </w:tc>
      </w:tr>
      <w:tr>
        <w:trPr>
          <w:trHeight w:val="210"/>
        </w:trPr>
        <w:tc>
          <w:tcPr>
            <w:tcW w:w="59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Germany:</w:t>
            </w:r>
          </w:p>
        </w:tc>
        <w:tc>
          <w:tcPr>
            <w:tcW w:w="2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Tübingen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Frankfurt am Main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16"/>
        </w:trPr>
        <w:tc>
          <w:tcPr>
            <w:tcW w:w="6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Wiesbaden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310,400</w:t>
            </w:r>
          </w:p>
        </w:tc>
        <w:tc>
          <w:tcPr>
            <w:tcW w:w="0" w:type="dxa"/>
            <w:vAlign w:val="bottom"/>
          </w:tcPr>
          <w:p>
            <w:pPr>
              <w:spacing w:after="0"/>
              <w:rPr>
                <w:sz w:val="1"/>
                <w:szCs w:val="1"/>
                <w:color w:val="auto"/>
              </w:rPr>
            </w:pPr>
          </w:p>
        </w:tc>
      </w:tr>
      <w:tr>
        <w:trPr>
          <w:trHeight w:val="216"/>
        </w:trPr>
        <w:tc>
          <w:tcPr>
            <w:tcW w:w="6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Belgium:</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Louvain La Neuve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16"/>
        </w:trPr>
        <w:tc>
          <w:tcPr>
            <w:tcW w:w="6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Netherlands:</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Amsterdam</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8,800</w:t>
            </w:r>
          </w:p>
        </w:tc>
        <w:tc>
          <w:tcPr>
            <w:tcW w:w="0" w:type="dxa"/>
            <w:vAlign w:val="bottom"/>
          </w:tcPr>
          <w:p>
            <w:pPr>
              <w:spacing w:after="0"/>
              <w:rPr>
                <w:sz w:val="1"/>
                <w:szCs w:val="1"/>
                <w:color w:val="auto"/>
              </w:rPr>
            </w:pPr>
          </w:p>
        </w:tc>
      </w:tr>
      <w:tr>
        <w:trPr>
          <w:trHeight w:val="216"/>
        </w:trPr>
        <w:tc>
          <w:tcPr>
            <w:tcW w:w="6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Boston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12,900</w:t>
            </w: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337,300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leases expire on various dates from 2021 to 2035. The lease in Boston, United States, is held by our U.S. subsidiary, CureVac Inc. The Lease in Louvain La Neuve, Belgium, is held by our Belgian subsidiary, CureVac Belgium SA. The lease in Amsterdam, Netherlands, is held by our Dutch subsidiary, CureVac Netherlands B.V.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Issues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To the best of our knowledge, currently there are no foreign, federal, state or local environmental laws, rules or regulations that will materially affect our results of operations or our position with respect to our competitors. However, we can provide no assurance of the effect that any possible future environmental laws will have on our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300"/>
        <w:spacing w:after="0" w:line="462" w:lineRule="auto"/>
        <w:rPr>
          <w:sz w:val="20"/>
          <w:szCs w:val="20"/>
          <w:color w:val="auto"/>
        </w:rPr>
      </w:pPr>
      <w:r>
        <w:rPr>
          <w:rFonts w:ascii="Times New Roman" w:cs="Times New Roman" w:eastAsia="Times New Roman" w:hAnsi="Times New Roman"/>
          <w:sz w:val="18"/>
          <w:szCs w:val="18"/>
          <w:b w:val="1"/>
          <w:bCs w:val="1"/>
          <w:color w:val="auto"/>
        </w:rPr>
        <w:t>ITEM 5. OPERATING AND FINANCIAL REVIEW AND PROSPECTS A. Operating Results</w:t>
      </w:r>
    </w:p>
    <w:p>
      <w:pPr>
        <w:spacing w:after="0" w:line="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CureVac’s audited consolidated financial statements as of December 31, 2022 and 2023, and for the years ended December 31, 2021, 2022 and 2023, and the notes thereto, included elsewhere in this Annual Report. Financial information presented in the consolidated financial statements for periods prior to the completion of our corporate reorganization is that of CureVac AG (currently CureVac SE), our wholly owned subsidiary. The consolidated financial statements of CureVac N.V. are a continuation of the historical consolidated financial statements of CureVac AG (currently CureVac SE). CureVac AG (currently CureVac SE) was acquired by CureVac B.V., which subsequently converted into CureVac N.V. on August 14, 2020, as part of our corporate reorganization. CureVac B.V. had no assets, liabilities or contingent liabilities until the completion of our corporate reorganization. Following the corporate reorganization, CureVac N.V. became the holding company of CureVac AG (currently CureVac SE) and the historical consolidated financial statements of CureVac AG (currently CureVac SE) included in this Annual Report became the historical consolidated financial statements of CureVac N.V. The following discussion is based on our financial information prepared in accordance with IFRS as issued by the IASB, which may differ in material respects from generally accepted accounting principles in the United States and other jurisdictions.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 — D. Risk Factors” and elsewhere in this Annual Report.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most significant factors affecting our results of operations include:</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successfully pioneer a robust mRNA technology platform and develop innovative product candidates will be the primary factor affecting our future growth and development. Our approach to the discovery and development of product candidates based on mRNA technology is still being demonstrated. As such, we do not know whether we will be able to successfully develop any products. Developing novel product candidates requires a significant investment of resources over a prolonged period of time, and a core part of our strategy is to continue making sustained investments in this area. We have chosen to leverage our platform to initially focus on advancing our product candidates in the areas of prophylactic vaccines, oncology and molecular therapy.</w:t>
      </w:r>
    </w:p>
    <w:p>
      <w:pPr>
        <w:spacing w:after="0" w:line="14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our proprietary technology and clinical development pipeline, see “Item 4. Information on the Company — B. Business Overview — Our Product Portfolio.”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All of the product candidates are still in development, and we have incurred and will continue to incur significant research and development costs for preclinical studies and clinical trials. We expect that our research and development expenses will constitute the most substantial part of our expenses in future periods in line with the advance and expansion of the development of our product candidates. Due to our accelerated efforts to develop our first-generation backbone COVID-19 vaccine candidate, CVnCoV, we incurred research and development expenses that significantly exceeded our historical levels of research and developments expenses. Additionally, our October 2021 notification to the European Commission, or EC, of the withdrawal of our regulatory approval application for CVnCoV resulted in our recognition of several expenses, which have contributed to our increased expense levels, but which we do not expect to recur in future periods. In April 2021, we entered into a collaboration agreement with GSK for the development of a broad COVID-19 vaccine program based on our second-generation backbone. CV2CoV, a non-chemically modified mRNA, encoding the prefusion stabilized full-length spike protein of the SARS-CoV-2 virus, and formulated within LNPs, is the first representative of our COVID-19 vaccine program based on the second-generation backbone and presently in the Phase 1 clinical trial, as announced on March 30, 2022. Within this COVID-19 vaccine program, we plan to extend our technology platform also to chemically modified mRNA constructs to allow for data-driven selection of the best candidate. We expect to incur significant expenses related to such second-generation backbone vaccine candidates. But, as we and GSK agreed to equally share the development costs for GSK COVID Products, our current level of research and development expenses will not continue to increase in the level as it did from 2020 to 2021. Once we conclude our research and development efforts related to a selected second-generation backbone vaccine candidate, we expect that our research and development expenses shall be consistent with our past trends before the COVID-19 pandemic, but we may find it necessary to continue such current trend with respect to our research and developments expenses or we may continue to increase further our research and development expenses. For example, we may continue to increase our research and development expenses for future research and development related to the next generation backbone for our COVID-19 vaccine candidates, such as for our second-generation backbone COVID-19 vaccine candidates or may pursue new indications with our technology platform.</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historically funded the research and development expenses primarily through public offerings of our common stock, private placements of equity securities, convertible loans, grants from government agencies and similar bodies and payments for collaborative research and development services with strategic partners. In addition, we signed an advance purchase agreement, or APA, with the EC that provided substantial support for our efforts to advance our first-generation backbone vaccine candidate, CVnCoV. In October 2021, we notified the European Commission of the withdrawal of our regulatory approval application for CVnCoV, which automatically terminated the APA.</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and Our Collaborators’ Ability to Commercialize Our Product Candidates</w:t>
      </w:r>
    </w:p>
    <w:p>
      <w:pPr>
        <w:spacing w:after="0" w:line="175" w:lineRule="exact"/>
        <w:rPr>
          <w:sz w:val="20"/>
          <w:szCs w:val="20"/>
          <w:color w:val="auto"/>
        </w:rPr>
      </w:pPr>
    </w:p>
    <w:p>
      <w:pPr>
        <w:ind w:right="220" w:firstLine="324"/>
        <w:spacing w:after="0" w:line="242" w:lineRule="auto"/>
        <w:rPr>
          <w:sz w:val="20"/>
          <w:szCs w:val="20"/>
          <w:color w:val="auto"/>
        </w:rPr>
      </w:pPr>
      <w:r>
        <w:rPr>
          <w:rFonts w:ascii="Times New Roman" w:cs="Times New Roman" w:eastAsia="Times New Roman" w:hAnsi="Times New Roman"/>
          <w:sz w:val="18"/>
          <w:szCs w:val="18"/>
          <w:color w:val="auto"/>
        </w:rPr>
        <w:t>Our ability to generate revenue from our product candidates depends on our and our collaborators’ ability to successfully advance clinical trials for our product candidates and receive regulatory approval, particularly in the United States, Europe, and other major markets.</w:t>
      </w:r>
    </w:p>
    <w:p>
      <w:pPr>
        <w:spacing w:after="0" w:line="143" w:lineRule="exact"/>
        <w:rPr>
          <w:sz w:val="20"/>
          <w:szCs w:val="20"/>
          <w:color w:val="auto"/>
        </w:rPr>
      </w:pPr>
    </w:p>
    <w:p>
      <w:pPr>
        <w:ind w:right="40" w:firstLine="324"/>
        <w:spacing w:after="0" w:line="235" w:lineRule="auto"/>
        <w:rPr>
          <w:sz w:val="20"/>
          <w:szCs w:val="20"/>
          <w:color w:val="auto"/>
        </w:rPr>
      </w:pPr>
      <w:r>
        <w:rPr>
          <w:rFonts w:ascii="Times New Roman" w:cs="Times New Roman" w:eastAsia="Times New Roman" w:hAnsi="Times New Roman"/>
          <w:sz w:val="18"/>
          <w:szCs w:val="18"/>
          <w:color w:val="auto"/>
        </w:rPr>
        <w:t>We believe that our broad portfolio of product candidates with both novel and validated targets enhances the likelihood that our research and development efforts will yield successful product candidates. Nonetheless, we cannot be certain if any of our product candidates will receive regulatory approvals. Even if such approvals are granted, we will thereafter need to maintain manufacturing and supply arrangements and engage in extensive marketing prior to generating any revenue from such products, and the ultimate commercial success of our products will depend on their acceptance by patients, the medical community and third-party payors and their ability to compete effectively with other therapies on the market. See “Item 3. Key Information — D. Risk Factors — Risks Related to the Development, Clinical Testing and Commercialization of Our Product Candidates.”</w:t>
      </w:r>
    </w:p>
    <w:p>
      <w:pPr>
        <w:spacing w:after="0" w:line="147" w:lineRule="exact"/>
        <w:rPr>
          <w:sz w:val="20"/>
          <w:szCs w:val="20"/>
          <w:color w:val="auto"/>
        </w:rPr>
      </w:pPr>
    </w:p>
    <w:p>
      <w:pPr>
        <w:ind w:right="200" w:firstLine="324"/>
        <w:spacing w:after="0" w:line="250" w:lineRule="auto"/>
        <w:rPr>
          <w:sz w:val="20"/>
          <w:szCs w:val="20"/>
          <w:color w:val="auto"/>
        </w:rPr>
      </w:pPr>
      <w:r>
        <w:rPr>
          <w:rFonts w:ascii="Times New Roman" w:cs="Times New Roman" w:eastAsia="Times New Roman" w:hAnsi="Times New Roman"/>
          <w:sz w:val="18"/>
          <w:szCs w:val="18"/>
          <w:color w:val="auto"/>
        </w:rPr>
        <w:t>The competitive environment is also an important factor with the commercial success of our product candidates, and our ability to successfully commercialize a product candidate will depend on whether there are competing product candidates being developed or already marketed by other companies.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firstLine="324"/>
        <w:spacing w:after="0" w:line="230" w:lineRule="auto"/>
        <w:rPr>
          <w:sz w:val="20"/>
          <w:szCs w:val="20"/>
          <w:color w:val="auto"/>
        </w:rPr>
      </w:pPr>
      <w:r>
        <w:rPr>
          <w:rFonts w:ascii="Times New Roman" w:cs="Times New Roman" w:eastAsia="Times New Roman" w:hAnsi="Times New Roman"/>
          <w:sz w:val="18"/>
          <w:szCs w:val="18"/>
          <w:color w:val="auto"/>
        </w:rPr>
        <w:t>We currently do not have any product candidates that have received regulatory approval. As such, we have not incurred any material commercialization expenses in connection with an approved product candidate. In February 2021, we initiated a rolling submission for our first generation COVID-19 vaccine candidate, CVnCoV, with the EMA, which was designed to allow the EMA to assess CVnCoV’s compliance with standards for vaccine efficacy, safety and pharmaceutical quality as a prerequisite for a formal market authorization application. Later in 2021, EMA informed us that the EMA would not start reviewing our submission for CVnCoV before the beginning of 2022. As a result, we estimated that the earliest possible approval of CVnCoV would come in the second quarter of 2022. Data on the efficacy of CVnCoV was generated and published in June 2021. This efficacy data did not live up to our pre-trial expectations and fell behind the efficacy of competing COVID-19 vaccine products. The application for the marketing authorization for CVnCoV was withdrawn in early October 2021, as a necessary reaction to the efficacy data as well as the concerns and uncertainties resulting from such data on the granting of a marketing authorization and the expected concerns of prescribers and patients about using a COVID-19 vaccine with a lower efficacy compared to the vaccines already available on the market. After the withdrawal of the application for a marketing authorization for CVnCoV, we have focused our efforts on second-generation mRNA vaccines. The decision is aligned with the evolving dynamics of the pandemic response toward greater need for differentiated vaccines with the gradual transition from an acute pandemic to an endemic SARS-CoV-2 environment. In connection with the regulatory approval process, and in preparation for the commercialization of a second-generation COVID-19 vaccine, we expect our expenses related to commercialization to significantly decrease in the short-term due to our past commercialization efforts for CVnCoV. However, we expect that our expenses related to commercialization will significantly increase in the long term if a second-generation COVID-19 vaccine candidate reaches late clinical stages, but we expect that this increase in expenses will be mitigated by the GSK COVID Agreement, as described below. As part of the commercialization process of CVnCoV, we also entered into strategic partnerships with Bayer for the development, production and distribution of CVnCoV. In addition, pursuant to a preliminary agreement regarding the secondary manufacturing of CVnCoV we entered into with GSK, GSK would have supported the secondary manufacturing of up to 100 million doses of CVnCoV in 2021. Additionally, we also set up an integrated European manufacturing and supply network. After our decision to withdraw CVnCoV from the regulatory approval process, we have restructured this network to focus our efforts on the second-generation mRNA vaccine.</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Collaborations, Related License Agreements and Advance Purchase Agreements</w:t>
      </w:r>
    </w:p>
    <w:p>
      <w:pPr>
        <w:spacing w:after="0" w:line="175" w:lineRule="exact"/>
        <w:rPr>
          <w:sz w:val="20"/>
          <w:szCs w:val="20"/>
          <w:color w:val="auto"/>
        </w:rPr>
      </w:pPr>
    </w:p>
    <w:p>
      <w:pPr>
        <w:ind w:right="60" w:firstLine="324"/>
        <w:spacing w:after="0" w:line="235"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our contractual collaborations with third parties for the development and commercialization of certain of our product candidates. In addition, our future results of operation may be affected by future advance purchase agreements for our COVID-19 vaccine candidates. To date, our revenues have been recognized pursuant to license and collaboration agreements, which include upfront payments for licenses or options to obtain licenses, milestone payments, payments for product sales and payments for research and development services. Grants from government agencies or similar bodies are recognized as other operating income or as a reduction to depreciation and amortization expense recognized from assets purchased under the associated arrangements.</w:t>
      </w:r>
    </w:p>
    <w:p>
      <w:pPr>
        <w:spacing w:after="0" w:line="16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strategic collaborations and license agreements with third parties. In addition, on November 30, 2020, we entered into an advance purchase agreement, or APA, with the European Commission, or EC, which provided for the advance purchase by the commission of our first-generation vaccine candidate, CVnCoV. In October 2021, we notified the EC of the withdrawal of our regulatory approval application for CVnCoV, which automatically terminated the APA. As part of our business development strategy, we aim to increase the number of our strategic collaborations in order to derive further value from our platform and more fully exploit the potential of our collaboration and license agreements.</w:t>
      </w:r>
    </w:p>
    <w:p>
      <w:pPr>
        <w:spacing w:after="0" w:line="187"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On April 8, 2022, we received a letter from the Federal Republic of Germany’s counsel confirming that the CureVac-GSK Consortium, was awarded with the Pandemic Preparedness Agreement. On April 9, 2024, the CureVac-GSK Consortium notified the Federal Republic of Germany of its termination of the Pandemic Preparedness Agreement, effective as of May 31, 2024. For further details on our Pandemic Preparedness Agreement, see “Item 4. Information on the Company — B. Business Overview — Pandemic Preparedness Agreement”.</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Certain key terms of our current material collaboration and license agreements, as well as our advance purchase agreement with the EC are summarized below. For further details on our collaboration agreements, see “Item 4. Information on the Company — B. Business Overview — Collaborations” and “Item 4. Information on the Company — B. Business Overview — Advance Purchase Agreements,” respectively.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GlaxoSmithKline</w:t>
      </w:r>
    </w:p>
    <w:p>
      <w:pPr>
        <w:spacing w:after="0" w:line="160"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In July 2020, we entered into a Collaboration and License Agreement with GSK, which we refer to as the 2020 GSK Agreement, pursuant to which we are collaborating with GSK to research, develop and commercialize prophylactic and therapeutic non-replicating mRNA-based vaccines and antibodies targeting infectious disease pathogens. The 2020 GSK Agreement was amended and restated in April 2021, September 2021, February 2022 and March 2022.</w:t>
      </w:r>
    </w:p>
    <w:p>
      <w:pPr>
        <w:spacing w:after="0" w:line="9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GSK paid us an upfront payment of €120 million and is required to pay us a manufacturing capacity reservation fee of €30 million following a certain regulatory milestone event, which is creditable against future milestone payments. We are eligible to receive up to between €28 million to €45 million in development milestone payments, €32 million to €35 million in regulatory milestone payments and €70 million to €100 million in commercial milestone payments, depending on the product. Under the 2020 GSK Agreement, we granted GSK an exclusive option to add additional products in the field of infectious diseases to the license granted under the 2020 GSK Agreement and, upon each exercise of such option, GSK is required to compensate us for certain development costs and pay any accrued milestone payments. Additionally, GSK has the right to replace products licensed under the 2020 GSK Agreement and, if the replacement product was already under development by us, GSK must compensate us for certain development costs and pay any accrued milestone payments. We are additionally eligible to receive tiered royalty payments ranging from single-digit to low - teens percentages on net sales, subject to certain customary reductions. GSK is required to compensate us for certain development and regulatory costs we may incur in connection with performing our obligations under the 2020 GSK Agreement, and we are eligible to receive up to €20,000 in reimbursements for expenses incurred by recording or registering the licenses granted under the 2020 GSK Agreement. We retain the right to commercialize products developed under the 2020 GSK Agreement in Germany, Austria and Switzerland, as GSK’s exclusive distributor in these markets. Under any such distribution agreement to be entered into between us and GSK, we will be required to purchase supply from GSK and pay GSK a low thirties percentage royalty on net sales. Pursuant to the amendment in September 2021, we and GSK are required to complete certain development activities set forth in updated development plans. We and GSK agree to decide whether the products required for clinical studies will be manufactured by us, GSK or jointly.</w:t>
      </w:r>
    </w:p>
    <w:p>
      <w:pPr>
        <w:spacing w:after="0" w:line="126"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Additionally, in April 2021, we entered into a new collaboration agreement with GSK, which we refer to as the GSK COVID Agreement, pursuant to which we are collaborating with GSK to research, develop and manufacture next-generation mRNA vaccines targeting the original SARS-CoV-2 strain as well as emerging variants, including multivalent and monovalent approaches, such as our second-generation COVID 19 vaccine candidates, CV0601 and CV0701. These vaccine candidates may either be used to protect unvaccinated individuals or to serve as boosters in the event that SARS-CoV-2 immunity gained from an initial vaccination reduces over time. The GSK COVID Agreement was amended and restated in September 2021, February 2022 and March 2022, and further amended to update the research and development plan in August 2022. Pursuant to the amendment in September 2021, we and GSK are required to complete certain development activities with respect to the GSK COVID Products set forth in updated development plans. We and GSK agree to decide whether the GSK COVID Products required for clinical studies will be manufactured by us, GSK or jointly.</w:t>
      </w:r>
    </w:p>
    <w:p>
      <w:pPr>
        <w:spacing w:after="0" w:line="10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Under the GSK COVID Agreement, GSK paid us an upfront payment of €75 million. We and GSK agreed to equally share all development costs for GSK COVID Products, subject to certain exceptions. We and GSK will share all net profits generated from sales of GSK COVID Products, other than Combination Products (as defined therein), under profit sharing arrangements that in certain cases vary depending upon the GSK COVID Product in question, the time of sale, the number of doses sold and the party to whom the sale is made. We are eligible to receive tiered royalty payments ranging from sub-teen to mid-teen percentages on net sales of Combination Products, subject to certain customary reductions. Under the GSK COVID Agreement we have the right to commercialize GSK COVID Products in Austria, Germany and Switzerland and if we exercise such right, our sales of GSK COVID Products, other than Combination Products will be subject to the profit share and we will be required to pay GSK a high-teen percentage royalty on net sales of all Combination Products in such countries.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Genmab</w:t>
      </w:r>
    </w:p>
    <w:p>
      <w:pPr>
        <w:spacing w:after="0" w:line="16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December 2019, we entered into a Collaboration and License Agreement, which we refer to as the Genmab Agreement, with Genmab to research and develop up to four potential differentiated mRNA-based antibody products, to be selected by Genmab, based on the combination of our proprietary RNAntibody technology with Genmab’s proprietary antibody technology for the treatment of human diseases. We collaborated on research to identify an initial product candidate designed to express a certain Genmab proprietary antibody, and we contributed a portion of the overall costs for the development of such product candidate. In June 2023, Genmab notified us of its intent to terminate the Genmab First Program under the Genmab Agreement effective in September 2023. Such termination did not terminate the Genmab Agreement in its entirety, but rather only with respect to certain license and exclusivity provisions related to the Genmab First Program. Under the Genmab Agreement, we further grant Genmab a license for the preclinical development of up to four additional mRNA antibody product concepts and options to obtain commercial licenses under our mRNA technology to develop, manufacture and commercialize product candidates for up to three of such product concepts.</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the terms of the Genmab Agreement, Genmab paid us a $10 million upfront fee and made a €20 million equity investment in March 2020. Genmab is additionally required to pay us up to $30 million in option exercise fees. If Genmab exercises any of its options to obtain commercial licenses for the additional mRNA antibody concepts, Genmab would fund all research and would develop and commercialize any resulting product candidates. We are additionally eligible to receive up to between $25 million and $43 million in development milestone payments, $100 million and $125 million in regulatory milestone payments and $150 million and $200 million in commercial milestone payments for each product, depending on the specific product concept. In addition, we are eligible to receive a mid single-digit to low teens percentage tiered royalty on aggregate net sales of licensed products, on a per-product basis and subject to certain customary reductions. We retain an option to participate in development and commercialization of one of the potential additional mRNA antibody product concepts under predefined terms and conditions. In the event we exercise such right, we must pay Genmab a one-time payment of $3 million and refund any option fee paid by Genmab with respect to such product. As of December 31, 2023, we have received $1 million in development cost reimbursements and we have not received any reservation, product selection, option exercise or sublicense fees or milestone or royalty payments.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Arcturus</w:t>
      </w:r>
    </w:p>
    <w:p>
      <w:pPr>
        <w:spacing w:after="0" w:line="227" w:lineRule="exact"/>
        <w:rPr>
          <w:sz w:val="20"/>
          <w:szCs w:val="20"/>
          <w:color w:val="auto"/>
        </w:rPr>
      </w:pPr>
    </w:p>
    <w:p>
      <w:pPr>
        <w:ind w:right="560" w:firstLine="324"/>
        <w:spacing w:after="0" w:line="261" w:lineRule="auto"/>
        <w:rPr>
          <w:sz w:val="20"/>
          <w:szCs w:val="20"/>
          <w:color w:val="auto"/>
        </w:rPr>
      </w:pPr>
      <w:r>
        <w:rPr>
          <w:rFonts w:ascii="Times New Roman" w:cs="Times New Roman" w:eastAsia="Times New Roman" w:hAnsi="Times New Roman"/>
          <w:sz w:val="18"/>
          <w:szCs w:val="18"/>
          <w:color w:val="auto"/>
        </w:rPr>
        <w:t>In January 2018, we entered into a Development and Option Agreement, which we refer to as the Arcturus Agreement, with Arcturus, which provided us with access to Arcturus LNP formulation technology which we used in combination with our mRNA technology. Such agreement expired in July 2023. As of December 31, 2023, we made payments totaling $5.6 million to Arcturus reimbursing Arcturus for development costs and in connection with our FTE funding obligations.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Acuitas</w:t>
      </w:r>
    </w:p>
    <w:p>
      <w:pPr>
        <w:spacing w:after="0" w:line="22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April 2016, we entered into a Development and Option Agreement, which as amended we refer to as the Acuitas Agreement, with Acuitas, which provides us with access to Acuitas LNP formulation technology that we use in combination with our mRNA technology. We are required to pay Acuitas annual target reservation and maintenance fees of up to $1.4 million if we reserve the maximum number of targets permitted under the Acuitas Agreement and to reimburse Acuitas for certain costs incurred in connection with development activities and certain FTE costs. We are additionally required to pay an option exercise fee ranging from $50,000 to $2 million upon each exercise of our option to obtain a license for further development and commercialization with respect to a selected target, subject to certain additional fees ranging from $10,000 to $200,000 for the exercise of our option for certain other vaccine targets. We paid Acuitas a $5 million upfront fee in connection with an amendment to the Acuitas Agreement dated July 2020 and, upon each exercise of our option to exchange a vaccine target licensed under any non-exclusive license, we are required to pay an exchange fee of $3 million. We additionally paid Acuitas a $3 million upfront fee in connection with an amendment to the Acuitas Agreement dated December 2020 and paid two annual payments of an additional $250,000 per option to extend certain options. Under each license agreement in connection with our exercise of our option, we will additionally be required to make low single-digit percentage tiered royalty payments and must pay up to between $1.1 million and $9 million in development milestone payments, $1.3 million and $7 million in regulatory milestone payments and $1.3 million and $7 million in commercial milestone payments, depending on whether the license is exclusive or non-exclusive and the number of options exercised to date. As of December 31, 2023, we have exercised our option to obtain a non-exclusive license to 18 targets, subject to customary closing conditions. As of December 31, 2023, we have paid Acuitas $9.7 million in reservation and option exercise fees, $0.6 million in license maintenance fees and $1.75 million for certain options not yet exercised and have made payments totaling $9.0 million reimbursing Acuitas for development costs and LNP batches and in connection with our FTE funding obligations.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For each option that we have exercised under the Acuitas Agreement, we have entered into a non-exclusive license agreement with Acuitas with respect to such optioned target, all based on the same form agreement, which we refer to as the Acuitas License Agreements. We are required to pay Acuitas up to between $1.1 million and $1.6 million in development milestone payments, $1.3 million and $1.8 million in regulatory milestone payments and between $1.3 million and $1.8 million in commercial milestone payments under each Acuitas License Agreement. We must pay Acuitas annual fees ranging from $5,000 to $10,000 for any additional protein targeted by a vaccine product licensed under each Acuitas License Agreement after a certain milestone event. Additionally, we are obligated to pay Acuitas a low single-digit percentage royalty on net sales of licensed products. As of December 31, 2023, we have made $100,000 in development milestone payments to Acuitas with respect to the license agreement relating to Rabies RAV-G, $1.4 million in development milestone payments (Phase I, Phase II and Phase III milestone payments) to Acuitas with respect to the license agreement relating to the SARS-CoV-2 Spike protein S, $350,000 in development milestone payments to Acuitas with respect to the license agreement relating to the Influenza hemagglutinin (HA) antigen, $1.0 million in development milestone payments to Acuitas with respect to the license agreement relating to CVGBM, and have not made any royalty payments.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CRISPR Therapeutics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2017, we entered into a Development and License Agreement with CRISPR Therapeutics, which, as amended by the first amendment entered into in June 2020 and the second amendment entered into in October 2023, we refer to as the CRISPR Therapeutics Agreement, pursuant to which we will develop novel Cas9 mRNA constructs for use in gene editing therapeutics. Under the CRISPR Therapeutics Agreement, we granted CRISPR Therapeutics an exclusive worldwide license to use our improved Cas9 constructs for the development and commercialization of three of its in vivo gene-editing programs for certain diseases.</w:t>
      </w:r>
    </w:p>
    <w:p>
      <w:pPr>
        <w:spacing w:after="0" w:line="18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CRISPR Therapeutics has paid us an upfront one-time technology access fee of $3 million and we are eligible to receive up to $28 million in development milestone payments, $52 million in regulatory milestone payments and $260 million in commercial milestone payments, as well as mid-single-digit percentage royalties from CRISPR Therapeutics on the net sales of licensed products on a product-by-product and country-by-country basis, subject to certain potential customary reductions. Additionally, CRISPR Therapeutics will make payments to us for services provided by us in conjunction with research programs under the CRISPR Therapeutics Agreement. In the event CRISPR Therapeutics exercises its right to sublicense under the CRISPR Therapeutics Agreement, CRISPR Therapeutics must pay us a low-teens to mid-twenties percentage of any non-royalty sublicense income, depending on the timing of the sublicense and whether the sublicense is granted through an affiliate of CRISPR Therapeutics. As of December 31, 2023, we have received €8.4 million in payments for the supply of materials and FTE cost, development reimbursements and upfront one-time technology access fee and no milestone, royalty or sublicense fee payments. Additionally, as of December 31, 2023, we have invoiced CRISPR Therapeutics for certain amounts under the agreement in connection with the second amendment, which confirmed the parties’ intention to stop work on two programs under the CRISPR Therapeutics Agreement and added three new programs.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Bill &amp; Melinda Gates Foundation</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May 2014, we were awarded a contract from the Bill &amp; Melinda Gates Foundation for the development of a vaccine for rotaviruses, as amended in November 2020, for up to $3.0 million in funding. As of December 31, 2023, we have received $3.0 million in funding under the agreement. In March 2015, the Bill &amp; Melinda Gates Foundation made an equity investment of $40 million to support continued development of our RNA technology platform and the construction of an industrial-scale cGMP production facility. We entered into a Global Access Commitments Agreement with the Bill &amp; Melinda Gates Foundation in February 2015 pursuant to which we are required to take certain actions to support the Bill &amp; Melinda Gates Foundation mission. In connection with the investment by the Bill &amp; Melinda Gates Foundation, we are required to conduct development activities for up to three concurrent projects to be proposed by the Bill &amp; Melinda Gates Foundation. The costs of such projects will be allocated on a project-by-project basis in proportion to the allocation of the expected benefits.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November 2016, in connection with the Global Access Commitments Agreement, we were awarded a grant for up to $0.9 million in funding from the Bill &amp; Melinda Gates Foundation for the development of a vaccine for picornaviruses. As of December 31, 2023, we have received $0.7 million in funding under the picornaviruses grant agreement. The term of the picornavirus grant expired in June 2022; however, our global access commitments survive. Following the completion of the project, the Bill &amp; Melinda Gates Foundation requested a reimbursement for unspent funds. As of December 31, 2023, we have paid unspent funds of $0.2 million back to the Bill &amp; Melinda Gates Foundation. In November 2017, we were awarded two additional grants each for up to $1.9 million and $1.5 million in funding from the Bill &amp; Melinda Gates Foundation for the development of a universal influenza and a malaria vaccine, respectively. By an amendment entered into November 2020, our grant for the development of a malaria vaccine was increased by an additional $0.8 million. As of December 31, 2023, we have received $1.9 million and $2.2 million, respectively, in funding under each grant agreement. The malaria grant agreement expired in December 2022 and the universal influenza grant agreement expired in March 2022; however, our global access commitments survive.</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Coalition for Epidemic Preparedness Innovations</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February 2019, we entered into a framework partnership agreement, which as amended we refer to as the CEPI Agreement, with the Coalition for Epidemic Preparedness, or CEPI, to develop our RNA Printer using certain intellectual property controlled by us covering the development and manufacture of mRNA products, as well as certain additional intellectual property licensed to us. In connection with the CEPI Agreement we have entered into work orders for the preclinical development of a Lassa virus vaccine, a yellow fever vaccine and our rabies virus vaccine. In addition, we entered into a work package for the preclinical development and a Phase 1 clinical trial for our first-generation COVID-19 vaccine candidate, CVnCoV. The CEPI Agreement terminated in February 2022, except with respect to certain ongoing projects, which are contemplated to be completed in March 2024. CEPI agreed to contribute up to $34 million in funding for projects undertaken under the CEPI Agreement and an additional $15.3 million in connection with development of CVnCoV. As of December 31, 2023, we have received €27.1 million in funding for projects undertaken under the CEPI Agreement. Following the completion of the CEPI Agreement, CEPI requested a partial reimbursement of $1.0 million for unspent funds. As of December 31, 2023 we have paid these unspent funds back to CEPI.</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Tesla Automation</w:t>
      </w:r>
    </w:p>
    <w:p>
      <w:pPr>
        <w:spacing w:after="0" w:line="227"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In November 2015, we entered into a development and intellectual property agreement with Tesla Automation, formerly trading under the name of Tesla Grohmann Automation, which we refer to as the Tesla Automation Agreement, pursuant to which Tesla Automation agreed to design, develop and manufacture certain automated manufacturing machines on our behalf. We are obligated to pay Tesla Automation a fee for each machine delivered by Tesla Automation and up to $50 million to $60 million in commercial milestone payments as well as certain development costs under each associated work order. As of December 31, 2023, we have paid Tesla Automation €22 million to €23 million in development costs under various work orders, and we have not paid any fees for machines provided under the Tesla Automation Agreement or made any milestone payments.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Option Agreement with myNEO</w:t>
      </w:r>
    </w:p>
    <w:p>
      <w:pPr>
        <w:spacing w:after="0" w:line="22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May 12, 2022, we entered into a Research and Option Agreement (“R&amp;O”) with myNEO, pursuant to which, as amended in January 2023, we will both collaborate to identify specific antigens found on the surface of tumors for the development of novel mRNA immunotherapies. To achieve this goal, myNEO will leverage its biological datasets, its integrated machine learning and bioinformatics platform to identify and validate specific antigen targets predicted to elicit a strong immune response. Under the R&amp;O, we aim to develop and commercialize at least two new medicinal products for the treatment of non-small cell lung cancer and melanoma (the “Main Indications”) and potentially other indications. We are required to use commercially reasonable efforts to develop at least one product for each of the Main Indications, to file marketing approval applications for such products and commercialize such products in at least one of certain countries. Under the R&amp;O, myNEO will own all intellectual property rights generated solely by myNEO or jointly with us during the first three phases of the R&amp;D plan (the “R&amp;D Project IP”). We receive a non-exclusive, royalty-free, non-assignable, sublicensable, worldwide license under certain patents and know-how owned by myNEO and R&amp;D Project IP to the extent required to perform our research and development obligations under the agreement until the completion of a certain phase of the R&amp;D plan. We were also granted an exclusive option to acquire all of myNEO’s rights under certain R&amp;D Project IP relating to certain target lists, which we exercised on April 12, 2023. myNEO receives a non-exclusive, royalty-free, perpetual license back to such IP to make, use or sell certain targets in the field of patient-specific vaccines. Under the R&amp;O, myNEO agrees to work exclusively with us to develop and validate shared antigens for the Main Indications until the earlier of the date of the first phase I clinical trial for either Main Indication or 24 months after we exercised our option. On October 9, 2023, we notified myNEO that we reached a research and development milestone where we selected four antigens for further development, which we intend to use in a clinical candidate for the indication head and neck squamous-cell carcinoma, which is an indication other than the Main Indication.</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Under the R&amp;O, we paid myNEO an upfront one-time technology access fee of €138,000 and myNEO is eligible to receive up to €17.5 million in research and development milestone payments with respect to the Main Indications, up to €175,000 in research and development milestone payments with respect to indications other than the Main Indications, up to €30 million in commercial milestone payments with respect to the Main Indications and up to €7.5 million in commercial milestone payments with respect to indications other than the Main Indications, as well as low single-digit percentage royalties on the net sales of licensed products in the Main Indications and sub single-digit percentage royalties on the net sales of licensed products for indications other than the Main Indications. Our royalty obligations continue on a product-by-product and country-by-country basis until the earlier of the date when there are no valid patent claims covering such licensed product in such country and 10 years following the date of first commercial sale of such licensed product in such country.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Advance Purchase Agreement for our First-Generation COVID-19 Vaccine Candidate</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November 30, 2020, we entered into an APA with the EC, acting on behalf and in the name of all Member States of the European Union, which provided for the advance purchase by the Member States of 225 million doses of the vaccine to be allocated among the Member States and the option to purchase up to an additional 180 million doses. Pursuant to the APA, we received an upfront payment of €450 million. Such upfront payment had to be used solely for the development and commercial supply of CVnCoV. We are required to return any unspent amounts of the upfront payment if, among others, we fail to successfully develop CVnCoV or if we successfully develop CVnCoV, but we do not receive EU marketing authorization or fail to supply any doses of CVnCoV to any of the Member States by late 2021, unless we and the EC mutually agree to a later date. In October 2021, we notified the EC of the withdrawal of our regulatory approval application for CVnCoV, which notification automatically terminated the APA. According to the APA, in such case of termination, CureVac would only return the unspent amount of the upfront payment. In the context of the APA, “spent” means either costs incurred or commitments made in connection with the purposes set forth in the APA. On March 8, 2022, we received a letter signed by the EC acknowledging and outlining that we will not be required to return any portion of the upfront payment. Due to the termination of the APA, we will not receive any further payments related to the APA.</w:t>
      </w:r>
    </w:p>
    <w:p>
      <w:pPr>
        <w:spacing w:after="0" w:line="14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other respects, upon the EC’s request, we will transfer any raw materials and/or primary components paid for with the upfront payment that were not used as of the termination date. Additionally, should the EC request, or should we successfully sell, any raw materials and/or primary components, then an applicable portion of such raw materials, primary components or proceeds, as the case may be, will be remitted to the EC. This repayment agreement expired at the end of 2022 and an amount of €4.1 million was paid to the EC as of December 31,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 of Frame Pharmaceuticals</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June 8, 2022, we entered into a Share Purchase Agreement (“SPA”), to acquire all of the issued and outstanding shares of Frame Pharmaceuticals B.V., domiciled in Amsterdam, the Netherlands, a private company with limited liability (</w:t>
      </w:r>
      <w:r>
        <w:rPr>
          <w:rFonts w:ascii="Times New Roman" w:cs="Times New Roman" w:eastAsia="Times New Roman" w:hAnsi="Times New Roman"/>
          <w:sz w:val="18"/>
          <w:szCs w:val="18"/>
          <w:i w:val="1"/>
          <w:iCs w:val="1"/>
          <w:color w:val="auto"/>
        </w:rPr>
        <w:t>besloten vennootschap met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beperkte aansprakelijkheid</w:t>
      </w:r>
      <w:r>
        <w:rPr>
          <w:rFonts w:ascii="Times New Roman" w:cs="Times New Roman" w:eastAsia="Times New Roman" w:hAnsi="Times New Roman"/>
          <w:sz w:val="18"/>
          <w:szCs w:val="18"/>
          <w:color w:val="auto"/>
        </w:rPr>
        <w:t>), organized and existing under the laws of the Netherlands, focused on advanced genomics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bioinformatics to identify both unique and shared neoantigens across different cancer types. Under the SPA, the total consideration for the purchase was €34 million, conditioned on certain development milestone payments, as described therein. This acquisition serves to complement and strengthen our discovery capabilities to identify and validate promising neoantigens for our mRNA cancer vaccine programs and could strongly increase the likelihood of developing highly effective cancer vaccines for patients.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2023</w:t>
      </w:r>
    </w:p>
    <w:p>
      <w:pPr>
        <w:spacing w:after="0" w:line="189" w:lineRule="exact"/>
        <w:rPr>
          <w:sz w:val="20"/>
          <w:szCs w:val="20"/>
          <w:color w:val="auto"/>
        </w:rPr>
      </w:pPr>
    </w:p>
    <w:p>
      <w:pPr>
        <w:ind w:right="220" w:firstLine="324"/>
        <w:spacing w:after="0" w:line="289" w:lineRule="auto"/>
        <w:rPr>
          <w:sz w:val="20"/>
          <w:szCs w:val="20"/>
          <w:color w:val="auto"/>
        </w:rPr>
      </w:pPr>
      <w:r>
        <w:rPr>
          <w:rFonts w:ascii="Times New Roman" w:cs="Times New Roman" w:eastAsia="Times New Roman" w:hAnsi="Times New Roman"/>
          <w:sz w:val="17"/>
          <w:szCs w:val="17"/>
          <w:color w:val="auto"/>
        </w:rPr>
        <w:t>We have based the following discussion of our financial condition and results of operations on our audited consolidated financial statements as of and for the years ended December 31, 2022 and 2023, and the notes thereto, included elsewhere in this Annual Report and which have been retrospectively adjusted to reflect the impact of the share split resulting from the Corporate Reorganization.</w:t>
      </w:r>
    </w:p>
    <w:p>
      <w:pPr>
        <w:spacing w:after="0" w:line="13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consolidated results of operations for each of the years ended December 31, 2022 and December 31, 2023. This information is derived from our accompanying consolidated financial statements prepared in accordance with IFRS as issued by IASB.</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fiscal year ended December 31, 2022 and 2023:</w:t>
      </w:r>
    </w:p>
    <w:p>
      <w:pPr>
        <w:spacing w:after="0" w:line="192"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For Years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7820" w:type="dxa"/>
            <w:vAlign w:val="bottom"/>
          </w:tcPr>
          <w:p>
            <w:pPr>
              <w:spacing w:after="0"/>
              <w:rPr>
                <w:sz w:val="9"/>
                <w:szCs w:val="9"/>
                <w:color w:val="auto"/>
              </w:rPr>
            </w:pPr>
          </w:p>
        </w:tc>
        <w:tc>
          <w:tcPr>
            <w:tcW w:w="940" w:type="dxa"/>
            <w:vAlign w:val="bottom"/>
          </w:tcPr>
          <w:p>
            <w:pPr>
              <w:jc w:val="right"/>
              <w:spacing w:after="0" w:line="104"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220" w:type="dxa"/>
            <w:vAlign w:val="bottom"/>
            <w:vMerge w:val="continue"/>
          </w:tcPr>
          <w:p>
            <w:pPr>
              <w:spacing w:after="0"/>
              <w:rPr>
                <w:sz w:val="9"/>
                <w:szCs w:val="9"/>
                <w:color w:val="auto"/>
              </w:rPr>
            </w:pPr>
          </w:p>
        </w:tc>
        <w:tc>
          <w:tcPr>
            <w:tcW w:w="940" w:type="dxa"/>
            <w:vAlign w:val="bottom"/>
          </w:tcPr>
          <w:p>
            <w:pPr>
              <w:jc w:val="right"/>
              <w:ind w:right="52"/>
              <w:spacing w:after="0" w:line="104" w:lineRule="exact"/>
              <w:rPr>
                <w:sz w:val="20"/>
                <w:szCs w:val="20"/>
                <w:color w:val="auto"/>
              </w:rPr>
            </w:pPr>
            <w:r>
              <w:rPr>
                <w:rFonts w:ascii="Times New Roman" w:cs="Times New Roman" w:eastAsia="Times New Roman" w:hAnsi="Times New Roman"/>
                <w:sz w:val="12"/>
                <w:szCs w:val="12"/>
                <w:b w:val="1"/>
                <w:bCs w:val="1"/>
                <w:color w:val="auto"/>
              </w:rPr>
              <w:t>euros, except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820" w:type="dxa"/>
            <w:vAlign w:val="bottom"/>
          </w:tcPr>
          <w:p>
            <w:pPr>
              <w:spacing w:after="0"/>
              <w:rPr>
                <w:sz w:val="15"/>
                <w:szCs w:val="15"/>
                <w:color w:val="auto"/>
              </w:rPr>
            </w:pPr>
          </w:p>
        </w:tc>
        <w:tc>
          <w:tcPr>
            <w:tcW w:w="21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and Comprehensive Income (Loss) Data:</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(183,993)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(2,817)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(62,550)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(104,178)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release of governmental contract liabilities</w:t>
            </w:r>
          </w:p>
        </w:tc>
        <w:tc>
          <w:tcPr>
            <w:tcW w:w="11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1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(1,271)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(249,457)</w:t>
            </w:r>
          </w:p>
        </w:tc>
        <w:tc>
          <w:tcPr>
            <w:tcW w:w="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(3,707)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(249,155)</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(249,029)</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Items that may be subsequently reclassified to profit or loss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(249,134)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(1.32)</w:t>
            </w:r>
          </w:p>
        </w:tc>
        <w:tc>
          <w:tcPr>
            <w:tcW w:w="220" w:type="dxa"/>
            <w:vAlign w:val="bottom"/>
            <w:vMerge w:val="continue"/>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Revenue was €53.8 million for the year ended December 31, 2023, representing a decrease of €13.7 million, or 20%, from €67.4 million for the year ended December 31, 2022. The decrease was primarily driven by lower revenues recognized from collaborations with GSK due to changes in the timeline of certain projects. For the full year ended December 31, 2023 and 2022, €47.1 million and €62.3 million, respectively, in revenue was recognized through the collaborations with GSK.</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Cost of sales was €124.4 million for the year ended December 31, 2023, representing a decrease of €59.6 million, or 32%, from</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€184.0 million for the year ended December 31, 2022. The decrease was primarily attributable to decrease in write-offs of raw materials, which were in prior periods procured for manufacturing products to sell to GSK and due to a change of contract termination provisions. Additionally, prior year period was impacted by a higher impairment of CMO equipment identified for sale. Personnel expenses increased mainly due to increased workforce. We recognize in Cost of Sales costs related to all R&amp;D-services that we provide to GSK and all other collaboration partners as well as costs from set-up and quality assurance activities for our production processes, including those relating to pharmaceutical products which are under development in our collaboration agreements and for which we have not yet generated revenues.</w:t>
      </w:r>
    </w:p>
    <w:p>
      <w:pPr>
        <w:spacing w:after="0" w:line="195"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29"/>
        </w:trPr>
        <w:tc>
          <w:tcPr>
            <w:tcW w:w="7820" w:type="dxa"/>
            <w:vAlign w:val="bottom"/>
          </w:tcPr>
          <w:p>
            <w:pPr>
              <w:spacing w:after="0"/>
              <w:rPr>
                <w:sz w:val="11"/>
                <w:szCs w:val="11"/>
                <w:color w:val="auto"/>
              </w:rPr>
            </w:pPr>
          </w:p>
        </w:tc>
        <w:tc>
          <w:tcPr>
            <w:tcW w:w="116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940" w:type="dxa"/>
            <w:vAlign w:val="bottom"/>
          </w:tcPr>
          <w:p>
            <w:pPr>
              <w:jc w:val="right"/>
              <w:ind w:right="254"/>
              <w:spacing w:after="0" w:line="129" w:lineRule="exact"/>
              <w:rPr>
                <w:sz w:val="20"/>
                <w:szCs w:val="20"/>
                <w:color w:val="auto"/>
              </w:rPr>
            </w:pPr>
            <w:r>
              <w:rPr>
                <w:rFonts w:ascii="Times New Roman" w:cs="Times New Roman" w:eastAsia="Times New Roman" w:hAnsi="Times New Roman"/>
                <w:sz w:val="14"/>
                <w:szCs w:val="14"/>
                <w:b w:val="1"/>
                <w:bCs w:val="1"/>
                <w:color w:val="auto"/>
              </w:rPr>
              <w:t>of euros)</w:t>
            </w:r>
          </w:p>
        </w:tc>
        <w:tc>
          <w:tcPr>
            <w:tcW w:w="20" w:type="dxa"/>
            <w:vAlign w:val="bottom"/>
          </w:tcPr>
          <w:p>
            <w:pPr>
              <w:spacing w:after="0"/>
              <w:rPr>
                <w:sz w:val="11"/>
                <w:szCs w:val="1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(27,185)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(37,734)</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(88,891)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(59,641)</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services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(32,331)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lease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equipment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(24,948)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 w:type="dxa"/>
            <w:vAlign w:val="bottom"/>
          </w:tcPr>
          <w:p>
            <w:pPr>
              <w:spacing w:after="0"/>
              <w:rPr>
                <w:sz w:val="18"/>
                <w:szCs w:val="18"/>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(183,993)</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(124,366)</w:t>
            </w:r>
          </w:p>
        </w:tc>
        <w:tc>
          <w:tcPr>
            <w:tcW w:w="20" w:type="dxa"/>
            <w:vAlign w:val="bottom"/>
            <w:tcBorders>
              <w:bottom w:val="single" w:sz="8" w:color="auto"/>
            </w:tcBorders>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and Distribution Expenses</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Selling and distribution expenses were €3.9 million for the year ended December 31, 2023, representing an increase of €1.1 million, or 39%, from €2.8 million in the year ended December 31, 2022. The increase was primarily attributable to higher personnel expenses related to the satellite offices in Belgium and the United States.</w:t>
      </w:r>
    </w:p>
    <w:p>
      <w:pPr>
        <w:spacing w:after="0" w:line="183"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35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16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940" w:type="dxa"/>
            <w:vAlign w:val="bottom"/>
          </w:tcPr>
          <w:p>
            <w:pPr>
              <w:jc w:val="right"/>
              <w:ind w:right="255"/>
              <w:spacing w:after="0" w:line="129" w:lineRule="exact"/>
              <w:rPr>
                <w:sz w:val="20"/>
                <w:szCs w:val="20"/>
                <w:color w:val="auto"/>
              </w:rPr>
            </w:pPr>
            <w:r>
              <w:rPr>
                <w:rFonts w:ascii="Times New Roman" w:cs="Times New Roman" w:eastAsia="Times New Roman" w:hAnsi="Times New Roman"/>
                <w:sz w:val="14"/>
                <w:szCs w:val="14"/>
                <w:b w:val="1"/>
                <w:bCs w:val="1"/>
                <w:color w:val="auto"/>
              </w:rPr>
              <w:t>of euros)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5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lease</w:t>
            </w:r>
          </w:p>
        </w:tc>
        <w:tc>
          <w:tcPr>
            <w:tcW w:w="5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5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30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163</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Research and development costs were €115.7 million for the year ended December 31, 2023, representing an increase of €53.1 million, or 85%, from €62.6 million in the year ended December 31, 2022. The increase was primarily attributable to prior year impacts caused by (i) the reversal of provision for onerous contracts in the amount of €38.5 million as a result of more participants leaving the clinical trials, prior to completion, than originally estimated; and (ii) renegotiations of contracts with CROs. Additionally, in the prior year period, GSK took over the Group’s committed capacity at a CMO which resulted in a reduction in the estimated contract termination provisions in the amount of €25.1 million The net effect of these two events resulted in an overall gain within the Third-party services category. Personnel expenses increased mainly due to increased workforce and the acquisition of Frame Pharmaceuticals. Additionally, share-based payment expense was higher compared to prior year period. Materials decreased due to prior years impact of further write-off and scrap related to our first generation COVID-program, CVnCoV.</w:t>
      </w:r>
    </w:p>
    <w:p>
      <w:pPr>
        <w:spacing w:after="0" w:line="196"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28"/>
        </w:trPr>
        <w:tc>
          <w:tcPr>
            <w:tcW w:w="7820" w:type="dxa"/>
            <w:vAlign w:val="bottom"/>
          </w:tcPr>
          <w:p>
            <w:pPr>
              <w:spacing w:after="0"/>
              <w:rPr>
                <w:sz w:val="11"/>
                <w:szCs w:val="11"/>
                <w:color w:val="auto"/>
              </w:rPr>
            </w:pPr>
          </w:p>
        </w:tc>
        <w:tc>
          <w:tcPr>
            <w:tcW w:w="116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940" w:type="dxa"/>
            <w:vAlign w:val="bottom"/>
          </w:tcPr>
          <w:p>
            <w:pPr>
              <w:jc w:val="right"/>
              <w:ind w:right="254"/>
              <w:spacing w:after="0" w:line="129" w:lineRule="exact"/>
              <w:rPr>
                <w:sz w:val="20"/>
                <w:szCs w:val="20"/>
                <w:color w:val="auto"/>
              </w:rPr>
            </w:pPr>
            <w:r>
              <w:rPr>
                <w:rFonts w:ascii="Times New Roman" w:cs="Times New Roman" w:eastAsia="Times New Roman" w:hAnsi="Times New Roman"/>
                <w:sz w:val="14"/>
                <w:szCs w:val="14"/>
                <w:b w:val="1"/>
                <w:bCs w:val="1"/>
                <w:color w:val="auto"/>
              </w:rPr>
              <w:t>of euros)</w:t>
            </w:r>
          </w:p>
        </w:tc>
        <w:tc>
          <w:tcPr>
            <w:tcW w:w="20" w:type="dxa"/>
            <w:vAlign w:val="bottom"/>
          </w:tcPr>
          <w:p>
            <w:pPr>
              <w:spacing w:after="0"/>
              <w:rPr>
                <w:sz w:val="11"/>
                <w:szCs w:val="1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(32,982)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Personnel</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(33,944)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(43,267)</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Patents and fees to register a legal right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services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(28,587)</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lease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0" w:type="dxa"/>
            <w:vAlign w:val="bottom"/>
          </w:tcPr>
          <w:p>
            <w:pPr>
              <w:spacing w:after="0"/>
              <w:rPr>
                <w:sz w:val="18"/>
                <w:szCs w:val="18"/>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(62,550)</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(115,724)</w:t>
            </w:r>
          </w:p>
        </w:tc>
        <w:tc>
          <w:tcPr>
            <w:tcW w:w="20" w:type="dxa"/>
            <w:vAlign w:val="bottom"/>
            <w:tcBorders>
              <w:bottom w:val="single" w:sz="8" w:color="auto"/>
            </w:tcBorders>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our research and development costs for each of our programs for the year ended December 31, 2022 and 2023:</w:t>
      </w:r>
    </w:p>
    <w:p>
      <w:pPr>
        <w:spacing w:after="0" w:line="169"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29"/>
        </w:trPr>
        <w:tc>
          <w:tcPr>
            <w:tcW w:w="24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16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940" w:type="dxa"/>
            <w:vAlign w:val="bottom"/>
          </w:tcPr>
          <w:p>
            <w:pPr>
              <w:jc w:val="right"/>
              <w:ind w:right="254"/>
              <w:spacing w:after="0" w:line="129" w:lineRule="exact"/>
              <w:rPr>
                <w:sz w:val="20"/>
                <w:szCs w:val="20"/>
                <w:color w:val="auto"/>
              </w:rPr>
            </w:pPr>
            <w:r>
              <w:rPr>
                <w:rFonts w:ascii="Times New Roman" w:cs="Times New Roman" w:eastAsia="Times New Roman" w:hAnsi="Times New Roman"/>
                <w:sz w:val="14"/>
                <w:szCs w:val="14"/>
                <w:b w:val="1"/>
                <w:bCs w:val="1"/>
                <w:color w:val="auto"/>
              </w:rPr>
              <w:t>of euros)</w:t>
            </w:r>
          </w:p>
        </w:tc>
        <w:tc>
          <w:tcPr>
            <w:tcW w:w="20" w:type="dxa"/>
            <w:vAlign w:val="bottom"/>
          </w:tcPr>
          <w:p>
            <w:pPr>
              <w:spacing w:after="0"/>
              <w:rPr>
                <w:sz w:val="11"/>
                <w:szCs w:val="1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Programs (CV8102, CVGBM, SARS-CoV-2 and CVnCoV)</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CV8102</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CVGBM</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0" w:type="dxa"/>
            <w:vAlign w:val="bottom"/>
          </w:tcPr>
          <w:p>
            <w:pPr>
              <w:spacing w:after="0"/>
              <w:rPr>
                <w:sz w:val="18"/>
                <w:szCs w:val="18"/>
                <w:color w:val="auto"/>
              </w:rPr>
            </w:pPr>
          </w:p>
        </w:tc>
      </w:tr>
      <w:tr>
        <w:trPr>
          <w:trHeight w:val="216"/>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Second Generation COVID (CV0601, CV0701 and CV0501)</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(24,983)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2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CVnCoV</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20" w:type="dxa"/>
            <w:vAlign w:val="bottom"/>
          </w:tcPr>
          <w:p>
            <w:pPr>
              <w:spacing w:after="0"/>
              <w:rPr>
                <w:sz w:val="18"/>
                <w:szCs w:val="18"/>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2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Unallocated costs</w:t>
            </w:r>
            <w:r>
              <w:rPr>
                <w:rFonts w:ascii="Times New Roman" w:cs="Times New Roman" w:eastAsia="Times New Roman" w:hAnsi="Times New Roman"/>
                <w:sz w:val="25"/>
                <w:szCs w:val="25"/>
                <w:color w:val="auto"/>
                <w:vertAlign w:val="superscript"/>
              </w:rPr>
              <w:t>(1)</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(60,076)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(84,051)</w:t>
            </w:r>
          </w:p>
        </w:tc>
        <w:tc>
          <w:tcPr>
            <w:tcW w:w="20" w:type="dxa"/>
            <w:vAlign w:val="bottom"/>
          </w:tcPr>
          <w:p>
            <w:pPr>
              <w:spacing w:after="0"/>
              <w:rPr>
                <w:sz w:val="18"/>
                <w:szCs w:val="18"/>
                <w:color w:val="auto"/>
              </w:rPr>
            </w:pPr>
          </w:p>
        </w:tc>
      </w:tr>
      <w:tr>
        <w:trPr>
          <w:trHeight w:val="21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(62,550)</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(115,724)</w:t>
            </w:r>
          </w:p>
        </w:tc>
        <w:tc>
          <w:tcPr>
            <w:tcW w:w="20" w:type="dxa"/>
            <w:vAlign w:val="bottom"/>
            <w:tcBorders>
              <w:bottom w:val="single" w:sz="8" w:color="auto"/>
            </w:tcBorders>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40" w:right="180" w:hanging="332"/>
        <w:spacing w:after="0" w:line="312" w:lineRule="auto"/>
        <w:tabs>
          <w:tab w:leader="none" w:pos="3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Unallocated costs primarily consist of costs associated with personnel expenses, patents and fees to register a legal right, amortization and depreciation, maintenance and lease expenses, certain third-party service expenses and certain material expenses.</w:t>
      </w:r>
    </w:p>
    <w:p>
      <w:pPr>
        <w:spacing w:after="0" w:line="140"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that our research and development expenses will constitute the most substantial part of our expenses in future periods in line with the advance and expansion of the development of our product candidates.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Considering that, our research and development expenses primarily relate to the following key programs:</w:t>
      </w:r>
    </w:p>
    <w:p>
      <w:pPr>
        <w:spacing w:after="0" w:line="225" w:lineRule="exact"/>
        <w:rPr>
          <w:sz w:val="20"/>
          <w:szCs w:val="20"/>
          <w:color w:val="auto"/>
        </w:rPr>
      </w:pPr>
    </w:p>
    <w:p>
      <w:pPr>
        <w:ind w:left="680" w:right="20" w:hanging="321"/>
        <w:spacing w:after="0" w:line="256" w:lineRule="auto"/>
        <w:tabs>
          <w:tab w:leader="none" w:pos="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SARS-CoV-2, we are developing our modified mRNA vaccine candidates CV0601 (monovalent) and CV0701 (bivalent) in collaboration with GSK. While CV0601, encodes the Omicron BA.4-5 variant; CV0701, encodes the Omicron BA.4-5 variant as well as the original SARS-CoV-2 virus. Both candidates are currently tested in a Phase 2 study, comparing both candidates to a licensed bivalent mRNA-based COVID-19 comparator vaccine initiated on August 1, 2023. Positive data from a formal interim analysis were announced on January 5, 2024. Both vaccine candidates, CV0601 and CV0701, apply CureVac’s proprietary second-generation mRNA backbone.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56" w:lineRule="auto"/>
        <w:tabs>
          <w:tab w:leader="none" w:pos="6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oncology therapeutic area, we work on novel cancer vaccine candidates based on differentiated antigen discovery technologies and bioinformatics to target antigens that are overexpressed in tumor tissues with no or little expression in healthy tissues. Within this strategy, we follow two approaches: (1) the development of off-the-shelf cancer vaccines based on tumor antigens shared across different cancer indications and (2) the development of fully personalized cancer vaccines based on a patient’s individual tumor genomic profile. We plan to advance new antigens for both approaches based on our second-generation mRNA backbone.</w:t>
      </w:r>
    </w:p>
    <w:p>
      <w:pPr>
        <w:spacing w:after="0" w:line="187" w:lineRule="exact"/>
        <w:rPr>
          <w:rFonts w:ascii="Times New Roman" w:cs="Times New Roman" w:eastAsia="Times New Roman" w:hAnsi="Times New Roman"/>
          <w:sz w:val="18"/>
          <w:szCs w:val="18"/>
          <w:color w:val="auto"/>
        </w:rPr>
      </w:pPr>
    </w:p>
    <w:p>
      <w:pPr>
        <w:ind w:left="680" w:right="60" w:hanging="321"/>
        <w:spacing w:after="0" w:line="256" w:lineRule="auto"/>
        <w:tabs>
          <w:tab w:leader="none" w:pos="6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oncology program, CVGBM, is a single mRNA construct based on our second-generation mRNA backbone, encoding eight epitopes from known tumor associated antigens with demonstrated relevance in glioblastoma. It is currently being tested in a Phase 1 study to assess safety and tolerability as a monotherapy in patients with newly diagnosed and surgically resected MGMT-unmethylated glioblastoma or astrocytoma with a molecular signature of glioblastoma. The study consists of two parts, a dose-escalation part (Part A) and a dose-expansion part (Part B). In the currently ongoing Part A, patients receive a total of seven intramuscular administrations of CVGBM at escalating doses in the range of 12µg to 100µg.</w:t>
      </w:r>
    </w:p>
    <w:p>
      <w:pPr>
        <w:spacing w:after="0" w:line="187" w:lineRule="exact"/>
        <w:rPr>
          <w:rFonts w:ascii="Times New Roman" w:cs="Times New Roman" w:eastAsia="Times New Roman" w:hAnsi="Times New Roman"/>
          <w:sz w:val="18"/>
          <w:szCs w:val="18"/>
          <w:color w:val="auto"/>
        </w:rPr>
      </w:pPr>
    </w:p>
    <w:p>
      <w:pPr>
        <w:ind w:left="680" w:right="200" w:hanging="321"/>
        <w:spacing w:after="0" w:line="256" w:lineRule="auto"/>
        <w:tabs>
          <w:tab w:leader="none" w:pos="6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oncology program, CV8102, has completed a Phase 1 dose escalating clinical trial for four types of solid tumors as a monotherapy and in combination with anti-PD-1 and an expansion of the Phase 1 study to confirm the safety, tolerability and efficacy of CV8102 at a 600μg dose. In the context of our strategic focus on the development of novel mRNA-based cancer vaccines, current and upcoming clinical developments will provide the basis for any potential integration of CV8102 into this priority program as a strong immune-modulatory adjunct. Clinical development of CV8102 will only be considered in combination with a defined mRNA cancer vaccine.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€91.8 million for the year ended December 31, 2023, representing a decrease of €12.4 million, or 12%, from €104.2 million in the year ended December 31, 2022. The decrease was primarily attributable to less personnel expenses due to lower workforce in the corporate service functions and due to lower other expenses.</w:t>
      </w:r>
    </w:p>
    <w:p>
      <w:pPr>
        <w:spacing w:after="0" w:line="183"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28"/>
        </w:trPr>
        <w:tc>
          <w:tcPr>
            <w:tcW w:w="7820" w:type="dxa"/>
            <w:vAlign w:val="bottom"/>
          </w:tcPr>
          <w:p>
            <w:pPr>
              <w:spacing w:after="0"/>
              <w:rPr>
                <w:sz w:val="11"/>
                <w:szCs w:val="11"/>
                <w:color w:val="auto"/>
              </w:rPr>
            </w:pPr>
          </w:p>
        </w:tc>
        <w:tc>
          <w:tcPr>
            <w:tcW w:w="116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940" w:type="dxa"/>
            <w:vAlign w:val="bottom"/>
          </w:tcPr>
          <w:p>
            <w:pPr>
              <w:jc w:val="right"/>
              <w:ind w:right="254"/>
              <w:spacing w:after="0" w:line="129" w:lineRule="exact"/>
              <w:rPr>
                <w:sz w:val="20"/>
                <w:szCs w:val="20"/>
                <w:color w:val="auto"/>
              </w:rPr>
            </w:pPr>
            <w:r>
              <w:rPr>
                <w:rFonts w:ascii="Times New Roman" w:cs="Times New Roman" w:eastAsia="Times New Roman" w:hAnsi="Times New Roman"/>
                <w:sz w:val="14"/>
                <w:szCs w:val="14"/>
                <w:b w:val="1"/>
                <w:bCs w:val="1"/>
                <w:color w:val="auto"/>
              </w:rPr>
              <w:t>of euros)</w:t>
            </w:r>
          </w:p>
        </w:tc>
        <w:tc>
          <w:tcPr>
            <w:tcW w:w="20" w:type="dxa"/>
            <w:vAlign w:val="bottom"/>
          </w:tcPr>
          <w:p>
            <w:pPr>
              <w:spacing w:after="0"/>
              <w:rPr>
                <w:sz w:val="11"/>
                <w:szCs w:val="1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(36,765)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lease costs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services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(27,669)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(29,920)</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Legal and other professional services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(10,394)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20" w:type="dxa"/>
            <w:vAlign w:val="bottom"/>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0" w:type="dxa"/>
            <w:vAlign w:val="bottom"/>
          </w:tcPr>
          <w:p>
            <w:pPr>
              <w:spacing w:after="0"/>
              <w:rPr>
                <w:sz w:val="18"/>
                <w:szCs w:val="18"/>
                <w:color w:val="auto"/>
              </w:rPr>
            </w:pPr>
          </w:p>
        </w:tc>
      </w:tr>
      <w:tr>
        <w:trPr>
          <w:trHeight w:val="210"/>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(91,758)</w:t>
            </w:r>
          </w:p>
        </w:tc>
        <w:tc>
          <w:tcPr>
            <w:tcW w:w="2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Operating Income</w:t>
      </w:r>
    </w:p>
    <w:p>
      <w:pPr>
        <w:spacing w:after="0" w:line="22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Other operating income was €9.2 million in the year ended December 31, 2023, representing a decrease of €28.8 million or 76%, from €37.9 million for the year ended December 31, 2022.</w:t>
      </w:r>
    </w:p>
    <w:p>
      <w:pPr>
        <w:spacing w:after="0" w:line="162"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decrease was primarily attributable to the impacts of the amendments to the 2020 GSK Agreement and the GSK COVID Agreement, under which CureVac was entitled to further compensation by GSK for set-up activities undertaken by CureVac (€20.5 million) and for reimbursement of prepayments (€12.0 million) in prior year period.</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January 2024, we have been granted the positive research allowance notice by the German Federal Ministry of Education and Research for the years 2020-2026. The Group recognized EUR €3.1 million as other operating income for the year ended December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Operating Expense</w:t>
      </w:r>
    </w:p>
    <w:p>
      <w:pPr>
        <w:spacing w:after="0" w:line="227"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Other operating expense was €1.4 million in the year ended December 31, 2023 representing an increase of €0.1 million, or 7%, from €1.3 million for the year ended December 31, 2022. Other operating expense related primarily to compensation expense of our supervisory board.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Finance Income</w:t>
      </w:r>
    </w:p>
    <w:p>
      <w:pPr>
        <w:spacing w:after="0" w:line="227" w:lineRule="exact"/>
        <w:rPr>
          <w:sz w:val="20"/>
          <w:szCs w:val="20"/>
          <w:color w:val="auto"/>
        </w:rPr>
      </w:pPr>
    </w:p>
    <w:p>
      <w:pPr>
        <w:ind w:right="120" w:firstLine="324"/>
        <w:spacing w:after="0" w:line="312" w:lineRule="auto"/>
        <w:rPr>
          <w:sz w:val="20"/>
          <w:szCs w:val="20"/>
          <w:color w:val="auto"/>
        </w:rPr>
      </w:pPr>
      <w:r>
        <w:rPr>
          <w:rFonts w:ascii="Times New Roman" w:cs="Times New Roman" w:eastAsia="Times New Roman" w:hAnsi="Times New Roman"/>
          <w:sz w:val="17"/>
          <w:szCs w:val="17"/>
          <w:color w:val="auto"/>
        </w:rPr>
        <w:t>Finance income was €16.7 million for the year ended December 31, 2023, representing an increase of €12.7 million, or 317%, from €4.0 million for the year ended December 31, 2022. The increase was primarily attributable to interest income on cash investments.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Finance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Finance expenses were €2.5 million for the year ended December 31, 2023, representing a decrease of €1.2 million, or 33%,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 million for the year ended December 31, 2022. The decrease was mainly related to prior year impacted by negative interest on cash.</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227"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An income tax expense of €0.2 million was generated for the year ended December 31, 2023, representing an increase of €0.3 million, from an income tax benefit of €0.1 million generated for the year ended December 31, 2022. The increase to an expense was primarily attributable to income tax expense of CureVac Belgium S.A. and release of DTA at CureVac Corporate Services GmbH.</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Compared to Year Ended December 31, 2022</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have based the following discussion of our financial condition and results of operations on our audited consolidated financial statements for the years ended December 31, 2021 and 2022, and the notes thereto, included elsewhere in this Annual Report and which have been retrospectively adjusted to reflect the impact of the share split resulting from the Corporate Reorganization.</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consolidated results of operations for each of the years ended December 31, 2021 and December 31, 2022. This information is derived from our accompanying consolidated financial statements prepared in accordance with IFRS as issued by IASB.</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fiscal year ended December 31, 2021 and 2022:</w:t>
      </w:r>
    </w:p>
    <w:p>
      <w:pPr>
        <w:spacing w:after="0" w:line="23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For Years Ended</w:t>
      </w:r>
    </w:p>
    <w:p>
      <w:pPr>
        <w:ind w:left="84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of</w:t>
            </w: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7820" w:type="dxa"/>
            <w:vAlign w:val="bottom"/>
          </w:tcPr>
          <w:p>
            <w:pPr>
              <w:spacing w:after="0"/>
              <w:rPr>
                <w:sz w:val="9"/>
                <w:szCs w:val="9"/>
                <w:color w:val="auto"/>
              </w:rPr>
            </w:pPr>
          </w:p>
        </w:tc>
        <w:tc>
          <w:tcPr>
            <w:tcW w:w="940" w:type="dxa"/>
            <w:vAlign w:val="bottom"/>
          </w:tcPr>
          <w:p>
            <w:pPr>
              <w:jc w:val="right"/>
              <w:spacing w:after="0" w:line="104"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220" w:type="dxa"/>
            <w:vAlign w:val="bottom"/>
            <w:vMerge w:val="continue"/>
          </w:tcPr>
          <w:p>
            <w:pPr>
              <w:spacing w:after="0"/>
              <w:rPr>
                <w:sz w:val="9"/>
                <w:szCs w:val="9"/>
                <w:color w:val="auto"/>
              </w:rPr>
            </w:pPr>
          </w:p>
        </w:tc>
        <w:tc>
          <w:tcPr>
            <w:tcW w:w="940" w:type="dxa"/>
            <w:vAlign w:val="bottom"/>
          </w:tcPr>
          <w:p>
            <w:pPr>
              <w:jc w:val="right"/>
              <w:ind w:right="72"/>
              <w:spacing w:after="0" w:line="104" w:lineRule="exact"/>
              <w:rPr>
                <w:sz w:val="20"/>
                <w:szCs w:val="20"/>
                <w:color w:val="auto"/>
              </w:rPr>
            </w:pPr>
            <w:r>
              <w:rPr>
                <w:rFonts w:ascii="Times New Roman" w:cs="Times New Roman" w:eastAsia="Times New Roman" w:hAnsi="Times New Roman"/>
                <w:sz w:val="12"/>
                <w:szCs w:val="12"/>
                <w:b w:val="1"/>
                <w:bCs w:val="1"/>
                <w:color w:val="auto"/>
              </w:rPr>
              <w:t>euros, except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820" w:type="dxa"/>
            <w:vAlign w:val="bottom"/>
          </w:tcPr>
          <w:p>
            <w:pPr>
              <w:spacing w:after="0"/>
              <w:rPr>
                <w:sz w:val="15"/>
                <w:szCs w:val="15"/>
                <w:color w:val="auto"/>
              </w:rPr>
            </w:pPr>
          </w:p>
        </w:tc>
        <w:tc>
          <w:tcPr>
            <w:tcW w:w="21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and Comprehensive Income (Loss) Data:</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(238,195)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(1,743)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(815,907)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(100,402)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release of governmental contract liabilities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574,502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1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(1,210)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(412,263)</w:t>
            </w:r>
          </w:p>
        </w:tc>
        <w:tc>
          <w:tcPr>
            <w:tcW w:w="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(10,338)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(412,498)</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(411,716)</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Items that may be subsequently reclassified to profit or loss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1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(91)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(411,807)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(2.21)</w:t>
            </w:r>
          </w:p>
        </w:tc>
        <w:tc>
          <w:tcPr>
            <w:tcW w:w="220" w:type="dxa"/>
            <w:vAlign w:val="bottom"/>
            <w:vMerge w:val="continue"/>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(1.32)</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was €67.4 million for the year ended December 31, 2022, representing a decrease of €35.6 million, or 35%, from €103.0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year ended December 31, 2021. The decrease was primarily driven by the termination of the Boehringer Agreement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which led to a recognition of the remaining contract liability, option fee payment and development milestone in revenue amounting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€26.0 million for the full year ended December 31, 2021. For the full year ended December 31, 2022 and 2021, €62.3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€74.3 million, respectively, in revenue was recognized under the collaboration agreements with GSK, for both the 2020 GSK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GSK COVID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sales was €184.0 million for the year ended December 31, 2022, representing a decrease of €54.2 million, or 23%,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€238.2 million for the year ended December 31, 2021. The decrease was primarily attributable to less expenses on CMO services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2021 was highly impacted by significant expenses for the set-up of a CMO network), partially offset by increased write-offs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scrap of raw materials amounting to €80.0 million in 2022, which were procured for manufacturing of products to sell to GSK that are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 expected to be sold to them or were determined to be excess materials on hand. We recognize in Cost of Sales costs related to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R&amp;D-services that we provide to GSK and all other collaboration partners as well as costs from set-up and quality assurance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production processes, including those relating to pharmaceutical products which are under development in our collaboration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and for which we have not yet generated revenues.</w:t>
      </w:r>
    </w:p>
    <w:p>
      <w:pPr>
        <w:spacing w:after="0" w:line="21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2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3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r>
      <w:tr>
        <w:trPr>
          <w:trHeight w:val="128"/>
        </w:trPr>
        <w:tc>
          <w:tcPr>
            <w:tcW w:w="7360" w:type="dxa"/>
            <w:vAlign w:val="bottom"/>
          </w:tcPr>
          <w:p>
            <w:pPr>
              <w:spacing w:after="0"/>
              <w:rPr>
                <w:sz w:val="11"/>
                <w:szCs w:val="11"/>
                <w:color w:val="auto"/>
              </w:rPr>
            </w:pPr>
          </w:p>
        </w:tc>
        <w:tc>
          <w:tcPr>
            <w:tcW w:w="142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jc w:val="right"/>
              <w:ind w:right="494"/>
              <w:spacing w:after="0" w:line="129" w:lineRule="exact"/>
              <w:rPr>
                <w:sz w:val="20"/>
                <w:szCs w:val="20"/>
                <w:color w:val="auto"/>
              </w:rPr>
            </w:pPr>
            <w:r>
              <w:rPr>
                <w:rFonts w:ascii="Times New Roman" w:cs="Times New Roman" w:eastAsia="Times New Roman" w:hAnsi="Times New Roman"/>
                <w:sz w:val="14"/>
                <w:szCs w:val="14"/>
                <w:b w:val="1"/>
                <w:bCs w:val="1"/>
                <w:color w:val="auto"/>
              </w:rPr>
              <w:t>of euros)</w:t>
            </w:r>
          </w:p>
        </w:tc>
        <w:tc>
          <w:tcPr>
            <w:tcW w:w="20" w:type="dxa"/>
            <w:vAlign w:val="bottom"/>
          </w:tcPr>
          <w:p>
            <w:pPr>
              <w:spacing w:after="0"/>
              <w:rPr>
                <w:sz w:val="11"/>
                <w:szCs w:val="1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(22,159)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(27,185)</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(46,250)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(88,891)</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services</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(139,975)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(32,331)</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lease</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(2,874)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depreciation and derecognition</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(3,992)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equipment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(22,810)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0" w:type="dxa"/>
            <w:vAlign w:val="bottom"/>
          </w:tcPr>
          <w:p>
            <w:pPr>
              <w:spacing w:after="0"/>
              <w:rPr>
                <w:sz w:val="18"/>
                <w:szCs w:val="18"/>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(238,195)</w:t>
            </w:r>
          </w:p>
        </w:tc>
        <w:tc>
          <w:tcPr>
            <w:tcW w:w="3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(183,993)</w:t>
            </w:r>
          </w:p>
        </w:tc>
        <w:tc>
          <w:tcPr>
            <w:tcW w:w="20" w:type="dxa"/>
            <w:vAlign w:val="bottom"/>
            <w:tcBorders>
              <w:bottom w:val="single" w:sz="8" w:color="auto"/>
            </w:tcBorders>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and Distribution Expenses</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Selling and distribution expenses were €2.8 million for the year ended December 31, 2022, representing an increase of €1.1 million, or 65%, from €1.7 million in the year ended December 31, 2021. The increase was primarily attributable to higher personnel expenses due to an increase in headcount.</w:t>
      </w:r>
    </w:p>
    <w:p>
      <w:pPr>
        <w:spacing w:after="0" w:line="183"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2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35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5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42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jc w:val="right"/>
              <w:ind w:right="496"/>
              <w:spacing w:after="0" w:line="129" w:lineRule="exact"/>
              <w:rPr>
                <w:sz w:val="20"/>
                <w:szCs w:val="20"/>
                <w:color w:val="auto"/>
              </w:rPr>
            </w:pPr>
            <w:r>
              <w:rPr>
                <w:rFonts w:ascii="Times New Roman" w:cs="Times New Roman" w:eastAsia="Times New Roman" w:hAnsi="Times New Roman"/>
                <w:sz w:val="14"/>
                <w:szCs w:val="14"/>
                <w:b w:val="1"/>
                <w:bCs w:val="1"/>
                <w:color w:val="auto"/>
              </w:rPr>
              <w:t>of euros)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52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(1,369)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5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2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w:t>
            </w:r>
          </w:p>
        </w:tc>
        <w:tc>
          <w:tcPr>
            <w:tcW w:w="3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840" w:type="dxa"/>
            <w:vAlign w:val="bottom"/>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168</w:t>
            </w: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Research and development costs were €62.6 million for the year ended December 31, 2022, representing a decrease of €753.3 million, or 92%, from €815.9 million in the year ended December 31, 2021. The decrease was primarily attributable to significantly lower research and development costs. Fiscal year 2021 was highly impacted from the start of our Phase 2/3 clinical trial for CVnCoV. As of December 2021, we had recognized a provision for all remaining costs related to the CVnCoV clinical trials. During 2022, we were able to renegotiate the existing contracts such that our estimated remaining costs decreased, and more participants exited the trials earlier than originally estimated. As a result of these changes, we recognized a gain from the reversal of €38.5 million of the provision. Additionally, during this period, we recognized a net gain of €25.1 million for a change of estimate in the contract termination provisions as a result of GSK taking over our committed capacity at a CMO. As a result of these gains, we experienced a net gain in third-party services costs.</w:t>
      </w:r>
    </w:p>
    <w:p>
      <w:pPr>
        <w:spacing w:after="0" w:line="19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2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3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r>
      <w:tr>
        <w:trPr>
          <w:trHeight w:val="128"/>
        </w:trPr>
        <w:tc>
          <w:tcPr>
            <w:tcW w:w="7360" w:type="dxa"/>
            <w:vAlign w:val="bottom"/>
          </w:tcPr>
          <w:p>
            <w:pPr>
              <w:spacing w:after="0"/>
              <w:rPr>
                <w:sz w:val="11"/>
                <w:szCs w:val="11"/>
                <w:color w:val="auto"/>
              </w:rPr>
            </w:pPr>
          </w:p>
        </w:tc>
        <w:tc>
          <w:tcPr>
            <w:tcW w:w="142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jc w:val="right"/>
              <w:ind w:right="494"/>
              <w:spacing w:after="0" w:line="129" w:lineRule="exact"/>
              <w:rPr>
                <w:sz w:val="20"/>
                <w:szCs w:val="20"/>
                <w:color w:val="auto"/>
              </w:rPr>
            </w:pPr>
            <w:r>
              <w:rPr>
                <w:rFonts w:ascii="Times New Roman" w:cs="Times New Roman" w:eastAsia="Times New Roman" w:hAnsi="Times New Roman"/>
                <w:sz w:val="14"/>
                <w:szCs w:val="14"/>
                <w:b w:val="1"/>
                <w:bCs w:val="1"/>
                <w:color w:val="auto"/>
              </w:rPr>
              <w:t>of euros)</w:t>
            </w:r>
          </w:p>
        </w:tc>
        <w:tc>
          <w:tcPr>
            <w:tcW w:w="20" w:type="dxa"/>
            <w:vAlign w:val="bottom"/>
          </w:tcPr>
          <w:p>
            <w:pPr>
              <w:spacing w:after="0"/>
              <w:rPr>
                <w:sz w:val="11"/>
                <w:szCs w:val="1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(232,292)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(32,982)</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Personnel</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(33,733)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(33,944)</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(4,259)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Patents and fees to register a legal right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(11,157)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services</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(531,827)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lease</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(2,292)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0" w:type="dxa"/>
            <w:vAlign w:val="bottom"/>
          </w:tcPr>
          <w:p>
            <w:pPr>
              <w:spacing w:after="0"/>
              <w:rPr>
                <w:sz w:val="18"/>
                <w:szCs w:val="18"/>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(815,907)</w:t>
            </w:r>
          </w:p>
        </w:tc>
        <w:tc>
          <w:tcPr>
            <w:tcW w:w="3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(62,550)</w:t>
            </w:r>
          </w:p>
        </w:tc>
        <w:tc>
          <w:tcPr>
            <w:tcW w:w="20" w:type="dxa"/>
            <w:vAlign w:val="bottom"/>
            <w:tcBorders>
              <w:bottom w:val="single" w:sz="8" w:color="auto"/>
            </w:tcBorders>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our research and development costs for each of our programs for the year ended December 31, 2021 and 2022:</w:t>
      </w:r>
    </w:p>
    <w:p>
      <w:pPr>
        <w:spacing w:after="0" w:line="16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r>
      <w:tr>
        <w:trPr>
          <w:trHeight w:val="128"/>
        </w:trPr>
        <w:tc>
          <w:tcPr>
            <w:tcW w:w="248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42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jc w:val="right"/>
              <w:ind w:right="494"/>
              <w:spacing w:after="0" w:line="129" w:lineRule="exact"/>
              <w:rPr>
                <w:sz w:val="20"/>
                <w:szCs w:val="20"/>
                <w:color w:val="auto"/>
              </w:rPr>
            </w:pPr>
            <w:r>
              <w:rPr>
                <w:rFonts w:ascii="Times New Roman" w:cs="Times New Roman" w:eastAsia="Times New Roman" w:hAnsi="Times New Roman"/>
                <w:sz w:val="14"/>
                <w:szCs w:val="14"/>
                <w:b w:val="1"/>
                <w:bCs w:val="1"/>
                <w:color w:val="auto"/>
              </w:rPr>
              <w:t>of euros)</w:t>
            </w:r>
          </w:p>
        </w:tc>
        <w:tc>
          <w:tcPr>
            <w:tcW w:w="20" w:type="dxa"/>
            <w:vAlign w:val="bottom"/>
          </w:tcPr>
          <w:p>
            <w:pPr>
              <w:spacing w:after="0"/>
              <w:rPr>
                <w:sz w:val="11"/>
                <w:szCs w:val="1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Programs (CV8102, CV7202, CV2CoV and CVnCoV)</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CV8102</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(6,591)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CV7202</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8"/>
                <w:szCs w:val="18"/>
                <w:color w:val="auto"/>
              </w:rPr>
            </w:pPr>
          </w:p>
        </w:tc>
      </w:tr>
      <w:tr>
        <w:trPr>
          <w:trHeight w:val="216"/>
        </w:trPr>
        <w:tc>
          <w:tcPr>
            <w:tcW w:w="7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CV2CoV</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(5,782)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CVnCoV</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(753,627)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39,458</w:t>
            </w:r>
          </w:p>
        </w:tc>
        <w:tc>
          <w:tcPr>
            <w:tcW w:w="20" w:type="dxa"/>
            <w:vAlign w:val="bottom"/>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(4,610)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2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costs(1)</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(44,779)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(60,076)</w:t>
            </w:r>
          </w:p>
        </w:tc>
        <w:tc>
          <w:tcPr>
            <w:tcW w:w="20" w:type="dxa"/>
            <w:vAlign w:val="bottom"/>
          </w:tcPr>
          <w:p>
            <w:pPr>
              <w:spacing w:after="0"/>
              <w:rPr>
                <w:sz w:val="18"/>
                <w:szCs w:val="18"/>
                <w:color w:val="auto"/>
              </w:rPr>
            </w:pPr>
          </w:p>
        </w:tc>
      </w:tr>
      <w:tr>
        <w:trPr>
          <w:trHeight w:val="20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(815,907)</w:t>
            </w:r>
          </w:p>
        </w:tc>
        <w:tc>
          <w:tcPr>
            <w:tcW w:w="3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(62,550)</w:t>
            </w:r>
          </w:p>
        </w:tc>
        <w:tc>
          <w:tcPr>
            <w:tcW w:w="20" w:type="dxa"/>
            <w:vAlign w:val="bottom"/>
            <w:tcBorders>
              <w:bottom w:val="single" w:sz="8" w:color="auto"/>
            </w:tcBorders>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4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40" w:right="180" w:hanging="332"/>
        <w:spacing w:after="0" w:line="312" w:lineRule="auto"/>
        <w:tabs>
          <w:tab w:leader="none" w:pos="3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Unallocated costs primarily consist of costs associated with personnel expenses, patents and fees to register a legal right, amortization and depreciation, maintenance and lease expenses, certain third-party service expenses and certain material expenses.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right="120"/>
        <w:spacing w:after="0" w:line="26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constitute the most substantial part of our expenses in future periods in line with the advance and expansion of the development of our product candidates. Considering that, our research and development expenses primarily relate to the following key programs:</w:t>
      </w:r>
    </w:p>
    <w:p>
      <w:pPr>
        <w:spacing w:after="0" w:line="176" w:lineRule="exact"/>
        <w:rPr>
          <w:sz w:val="20"/>
          <w:szCs w:val="20"/>
          <w:color w:val="auto"/>
        </w:rPr>
      </w:pPr>
    </w:p>
    <w:p>
      <w:pPr>
        <w:ind w:left="680" w:right="120" w:hanging="321"/>
        <w:spacing w:after="0" w:line="253" w:lineRule="auto"/>
        <w:tabs>
          <w:tab w:leader="none" w:pos="6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modified mRNA vaccine candidate against SARS-CoV-2, CV0501, a monovalent construct, developed in collaboration with GSK. A Phase 1 study was initiated in August 2022. We reported positive preliminary data in early 2023. A Phase 2 clinical study, expected to start later in 2023, will assess monovalent and/or bivalent vaccine candidates designed to target clinically relevant variants. Novel cancer vaccine candidates based on differentiated antigen discovery technologies and bioinformatics to target antigens that are overexpressed in tumor tissues with no or little expression on healthy tissues. Within this strategy, we follow two approaches. The first approach assesses tumor antigens shared by different cancer patients for the development of off-the-shelf cancer vaccines. The second approach is tailored to the individual tumor setup of a patient for personalized therapy. We plan to advance new antigens for both approaches based on our second-generation mRNA backbone. To assess the safety and immunogenicity of our second-generation backbone in an oncology setting, we expect to initiate a proof-of-principle study in the second quarter of 2023, assessing an mRNA construct encoding eight epitopes from tumor associated antigens in patients with surgically resected Glioblastoma Multiforme.</w:t>
      </w:r>
    </w:p>
    <w:p>
      <w:pPr>
        <w:spacing w:after="0" w:line="191" w:lineRule="exact"/>
        <w:rPr>
          <w:rFonts w:ascii="Times New Roman" w:cs="Times New Roman" w:eastAsia="Times New Roman" w:hAnsi="Times New Roman"/>
          <w:sz w:val="18"/>
          <w:szCs w:val="18"/>
          <w:color w:val="auto"/>
        </w:rPr>
      </w:pPr>
    </w:p>
    <w:p>
      <w:pPr>
        <w:ind w:left="660" w:right="80" w:hanging="314"/>
        <w:spacing w:after="0" w:line="261"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oncology program, CV8102, which is currently in a Phase 1 dose escalating clinical trial for four types of solid tumors as a monotherapy and in combination with anti-PD1 and an expansion of the Phase 1 study to evaluate the safety, tolerability and efficacy of CV8102 at a 600μg dose in patients with PD-1 refractory melanoma – also as a monotherapy and in combinations with anti-PD-1 antibodies.</w:t>
      </w:r>
    </w:p>
    <w:p>
      <w:pPr>
        <w:spacing w:after="0" w:line="179"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vaccine program, CV7202, which is currently in a Phase 1 clinical trial as a vaccine candidate for rabies.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€104.2 million for the year ended December 31, 2022, representing an increase of €3.8 million, or 4%, from €100.4 million in the year ended December 31, 2021. The increase was primarily attributable to increased amortization and depreciation expenses due to increased depreciation expense of right-of-use assets.</w:t>
      </w:r>
    </w:p>
    <w:p>
      <w:pPr>
        <w:spacing w:after="0" w:line="183"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3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r>
      <w:tr>
        <w:trPr>
          <w:trHeight w:val="128"/>
        </w:trPr>
        <w:tc>
          <w:tcPr>
            <w:tcW w:w="7360" w:type="dxa"/>
            <w:vAlign w:val="bottom"/>
          </w:tcPr>
          <w:p>
            <w:pPr>
              <w:spacing w:after="0"/>
              <w:rPr>
                <w:sz w:val="11"/>
                <w:szCs w:val="11"/>
                <w:color w:val="auto"/>
              </w:rPr>
            </w:pPr>
          </w:p>
        </w:tc>
        <w:tc>
          <w:tcPr>
            <w:tcW w:w="142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jc w:val="right"/>
              <w:ind w:right="494"/>
              <w:spacing w:after="0" w:line="129" w:lineRule="exact"/>
              <w:rPr>
                <w:sz w:val="20"/>
                <w:szCs w:val="20"/>
                <w:color w:val="auto"/>
              </w:rPr>
            </w:pPr>
            <w:r>
              <w:rPr>
                <w:rFonts w:ascii="Times New Roman" w:cs="Times New Roman" w:eastAsia="Times New Roman" w:hAnsi="Times New Roman"/>
                <w:sz w:val="14"/>
                <w:szCs w:val="14"/>
                <w:b w:val="1"/>
                <w:bCs w:val="1"/>
                <w:color w:val="auto"/>
              </w:rPr>
              <w:t>of euros)</w:t>
            </w:r>
          </w:p>
        </w:tc>
        <w:tc>
          <w:tcPr>
            <w:tcW w:w="20" w:type="dxa"/>
            <w:vAlign w:val="bottom"/>
          </w:tcPr>
          <w:p>
            <w:pPr>
              <w:spacing w:after="0"/>
              <w:rPr>
                <w:sz w:val="11"/>
                <w:szCs w:val="1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(37,393)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(36,765)</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lease costs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(4,306)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services</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(28,875)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(27,669)</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Legal and other professional services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(9,230)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(8,895)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2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20" w:type="dxa"/>
            <w:vAlign w:val="bottom"/>
          </w:tcPr>
          <w:p>
            <w:pPr>
              <w:spacing w:after="0"/>
              <w:rPr>
                <w:sz w:val="18"/>
                <w:szCs w:val="18"/>
                <w:color w:val="auto"/>
              </w:rPr>
            </w:pPr>
          </w:p>
        </w:tc>
      </w:tr>
      <w:tr>
        <w:trPr>
          <w:trHeight w:val="210"/>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(104,178)</w:t>
            </w:r>
          </w:p>
        </w:tc>
        <w:tc>
          <w:tcPr>
            <w:tcW w:w="2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from release of governmental contract liabilities</w:t>
      </w:r>
    </w:p>
    <w:p>
      <w:pPr>
        <w:spacing w:after="0" w:line="227"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Due to the withdrawal of the EMA regulatory approval application for CVnCoV in October 2021, CureVac recorded in 2021 an “Income from release of governmental contract liabilities” amounting to €574.5 million (refer to the “Year Ended December 31, 2020 Compared to Year Ended December 31, 2021” section for additional information regarding this prior year event). There was no such event occurring in 2022.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Operating Income</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Other operating income was €37.9 million in the year ended December 31, 2022, representing a decrease of €29.8 million or 44%, from €67.7 million for the year ended December 31,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March 2022, CureVac SE (as the surviving entity from the merger of CureVac AG and CureVac Beteiligungsverwaltungs AG) and GlaxoSmithKline Biologicals SA amended and restated the 2020 GSK Agreement and the GSK COVID Agreement in connection with GSK entering into a direct Agreement with Novartis relating to the use of Novartis as CMO at the same time as CureVac exits its CMO agreement with Novartis and is released from its pre-existing capacity commitments under the agreement. As a result, the Company avoided an outflow of resources. Additionally, under the restated agreement, CureVac was entitled to further compensation by GSK. The compensation mainly consists of consideration for set-up activities undertaken by CureVac (€20.5 million) and for reimbursement of prepayments (€12.0 million).</w:t>
      </w:r>
    </w:p>
    <w:p>
      <w:pPr>
        <w:spacing w:after="0" w:line="18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2021 the other operating income was primarily attributable to amounts recognized from grants from government agencies and similar bodies, primarily the German Federal Ministry of Education and Research, or BMBF.</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Operating Expense</w:t>
      </w:r>
    </w:p>
    <w:p>
      <w:pPr>
        <w:spacing w:after="0" w:line="227"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Other operating expense was €1.3 million in the year ended December 31, 2022 representing an increase of €0.1 million, or 8%, from €1.2 million for the year ended December 31, 2021. Other operating expense related primarily to compensation expense of our supervisory board.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Finance Income</w:t>
      </w:r>
    </w:p>
    <w:p>
      <w:pPr>
        <w:spacing w:after="0" w:line="227"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Finance income was €4.0 million for the year ended December 31, 2022, representing an decrease of €6.1 million, or 60%, from €10.1 million for the year ended December 31, 2021. The decrease was mainly attributable to less foreign exchange gains partially compensated by positive interest on cash investments.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Finance Expenses</w:t>
      </w:r>
    </w:p>
    <w:p>
      <w:pPr>
        <w:spacing w:after="0" w:line="22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Finance expenses were €3.7 million for the year ended December 31, 2022, representing an decrease of €6.6 million, or 64%, from €10.3 million for the year ended December 31, 2021. The decrease was mainly related to less foreign exchange losses and less negative interest on cash.</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An income tax benefit of €0.1 million for the year ended December 31, 2022, representing a decrease of €0.7 million, or 88%, from €0.8 million for the year ended December 31, 2021. The change was primarily attributable to decreased deferred tax benefits.</w:t>
      </w:r>
    </w:p>
    <w:p>
      <w:pPr>
        <w:spacing w:after="0" w:line="158" w:lineRule="exact"/>
        <w:rPr>
          <w:sz w:val="20"/>
          <w:szCs w:val="20"/>
          <w:color w:val="auto"/>
        </w:rPr>
      </w:pPr>
    </w:p>
    <w:p>
      <w:pPr>
        <w:ind w:right="7940" w:firstLine="8"/>
        <w:spacing w:after="0" w:line="500" w:lineRule="auto"/>
        <w:tabs>
          <w:tab w:leader="none" w:pos="30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For the year ended December 31, 2022 and 2023, we incurred net losses of €249.0 million and €260.2 million, respectively. To date, we have financed our operations primarily through the IPO in August 2020, follow-on public offerings, private placements of equity securities, issuance of convertible debt, grants from government agencies and similar bodies and payments for collaborative research and development services. Our cash and cash equivalents as of December 31, 2023, were €402.5 million. Our primary cash needs are to fund our non-clinical and clinical development programs, for working capital requirements and for capital expenditures. The expected cost of completion for GMP IV is €171.1 million, and as of December 31, 2023, we have spent €170.6 million on completing the GMP IV facility. We believe that our existing cash, cash equivalents and short-term investments will enable us to fund our operating expenses and capital expenditure requirements at least through the fourth quarter of 2025. We have based this estimate on assumptions that may prove to be wrong, and we could exhaust our available capital resources sooner than we expect.</w:t>
      </w:r>
    </w:p>
    <w:p>
      <w:pPr>
        <w:spacing w:after="0" w:line="194"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In February 2023, we sold an additional 27,027,028 common shares in an underwritten public offering at an offering price of $9.25 per share raising $234.2 million in net proceeds, after deducting underwriting discounts and commissions and offering expenses payable by us.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2021, we entered into a sales agreement, the Open Sale Agreement, with Jefferies LLC and SVB Leerink LLC, as sales agents, to establish an at-the-market offering (ATM) program, pursuant to which we may sell, from time to time, ordinary shares for aggregate gross proceeds of up to $600 million. As of December 31, 2023, we had issued 8,656,711 common shares through the ATM program, resulting in $87 million in gross proceeds to us. Following these issuances, the remaining value authorized for sale under the at-the-market program is $513 million.</w:t>
      </w:r>
    </w:p>
    <w:p>
      <w:pPr>
        <w:spacing w:after="0" w:line="18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financial condition and liquidity is and will continue to be influenced by a variety of factors, including our ability to generate cash flows from our operations, future indebtedness and the interest we are obligated to pay on this indebtedness, the availability of public and private debt and equity financing, changes in exchange rates which will impact our generation of cash flows from operations when measured in euros and our capital expenditure requirements, which are described in more detail at “Item 3. Key Information — D. Property, Plant and Equipment.”</w:t>
      </w:r>
    </w:p>
    <w:p>
      <w:pPr>
        <w:spacing w:after="0" w:line="18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2023, and the effects, including estimated interest payments, that such obligations are expected to have on our liquidity and cash flows in future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5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5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3"/>
                <w:szCs w:val="13"/>
                <w:color w:val="auto"/>
              </w:rPr>
            </w:pP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80" w:type="dxa"/>
            <w:vAlign w:val="bottom"/>
          </w:tcPr>
          <w:p>
            <w:pPr>
              <w:spacing w:after="0"/>
              <w:rPr>
                <w:sz w:val="13"/>
                <w:szCs w:val="13"/>
                <w:color w:val="auto"/>
              </w:rPr>
            </w:pP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 of euros)</w:t>
            </w:r>
          </w:p>
        </w:tc>
        <w:tc>
          <w:tcPr>
            <w:tcW w:w="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commitments</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3,269</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53,656</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56,925</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10,523</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7,096</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5,977</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5,633</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4,875</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22,821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various agreements with collaborators, including licensing agreements. These agreements provide for us to make milestone and royalty payments that are conditional on the achievement of certain development, regulatory and commercial milestones and certain of these agreements provide us an option to obtain further licenses which could additionally require us to make such milestone and royalty payments. As of December 31, 2023, the aggregate amount of such potential milestone payments, including those relating to licenses acquired from exercised options, under all such collaboration agreements, was up to $192.4 million. The timing of these payments, and whether they become due, is conditional on achieving the applicable milestones.</w:t>
      </w:r>
    </w:p>
    <w:p>
      <w:pPr>
        <w:spacing w:after="0" w:line="18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have not included milestone or royalty payments or other contractual payment obligations in the table above if the timing and amount of such obligations are unknown or uncertain.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European Investment Bank Loan</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June 2020, we signed a financing arrangement with the European Investment Bank, or EIB, under which EIB agreed to provide us with a line of credit in an amount of up to €75 million for the partial financing of our clinical developments and large-scale production of our infectious diseases vaccine candidates including our vaccine against SARS-CoV-2, or the Investment, provided that the amount of financing does not exceed 50% of the cost of the Investment.</w:t>
      </w:r>
    </w:p>
    <w:p>
      <w:pPr>
        <w:spacing w:after="0" w:line="180"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2020, we had drawn €25 million under the first of the three tranches. In November 2020, a land charge (mortgage) amounting to €75 million was registered in favor of the EIB to secure the loan.</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2021, we issued a prepayment request and cancellation notice to the EIB, pursuant to which we voluntarily repaid the €25 million in principal in addition to accrued interest in December 2021 and canceled the remaining €50 million available under the EIB loan. The mortgage was deleted from the land register in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BMBF Grant</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received from BMBF a grant to support the development of our first-generation COVID-19 vaccine candidate, CVnCoV of up to €252 million. In July 2020, we had applied to that grant as part of a special program to accelerate the research and development of urgently needed vaccines against SARS-CoV-2. In addition to the further development of our first-generation COVID-19 vaccine candidate, CVnCoV, against COVID-19, the grant was used for the rapid expansion of the vaccine production. Payments were contingent on reaching predefined milestones. Amounts incurred in 2020 and 2021 were eligible for reimbursement through the grant. Due to the withdrawal of the regulatory approval application for CVnCoV, we were not able to reach all predefined milestones for 2021 under the grant. We received funding of €103 million in 2020 and funding of €93 million in 2021. As of December 31, 2021, we had drawn €196 million of the grant. In November 2021, we notified BMG of our inability to supply CVnCoV, thereby triggering automatic termination of the supply arrangement.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Advance Purchase Agreement for our First-Generation COVID-19 Vaccine Candidate</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November 30, 2020, we entered into an APA with the EC, acting on behalf and in the name of all Member States of the European Union, which provides for the advance purchase by the Member States of 225 million doses of the vaccine to be allocated among the Member States, and the option to purchase up to an additional 180 million doses. Pursuant to the APA, we received an upfront payment of €450 million. Such upfront payment had to be used solely for the development and commercial supply of CVnCoV. We are required to return any unspent amounts of the upfront payment if, among others, we fail to successfully develop CVnCoV or if we successfully develop CVnCoV, but we do not receive EU marketing authorization or fail to supply any doses of CVnCoV to any of the Member States by late 2021, unless we and the EC mutually agree to a later date. In October 2021, we notified the EC of the withdrawal of our regulatory approval application for CVnCoV, which notification automatically terminated the APA. According to the APA, in such case of termination, we would only return the unspent amount of the upfront payment. In the context of the APA, “spent” means either costs occurred, or commitments made in relation to the purpose as set out in the APA. We were able to demonstrate that the upfront payment was used in accordance with the contract and no repayment was required.</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Comparative Cash Flows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2022 and 2023</w:t>
      </w:r>
    </w:p>
    <w:p>
      <w:pPr>
        <w:spacing w:after="0" w:line="234"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29"/>
        </w:trPr>
        <w:tc>
          <w:tcPr>
            <w:tcW w:w="7820" w:type="dxa"/>
            <w:vAlign w:val="bottom"/>
          </w:tcPr>
          <w:p>
            <w:pPr>
              <w:spacing w:after="0"/>
              <w:rPr>
                <w:sz w:val="11"/>
                <w:szCs w:val="11"/>
                <w:color w:val="auto"/>
              </w:rPr>
            </w:pPr>
          </w:p>
        </w:tc>
        <w:tc>
          <w:tcPr>
            <w:tcW w:w="116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940" w:type="dxa"/>
            <w:vAlign w:val="bottom"/>
          </w:tcPr>
          <w:p>
            <w:pPr>
              <w:jc w:val="right"/>
              <w:ind w:right="255"/>
              <w:spacing w:after="0" w:line="129" w:lineRule="exact"/>
              <w:rPr>
                <w:sz w:val="20"/>
                <w:szCs w:val="20"/>
                <w:color w:val="auto"/>
              </w:rPr>
            </w:pPr>
            <w:r>
              <w:rPr>
                <w:rFonts w:ascii="Times New Roman" w:cs="Times New Roman" w:eastAsia="Times New Roman" w:hAnsi="Times New Roman"/>
                <w:sz w:val="14"/>
                <w:szCs w:val="14"/>
                <w:b w:val="1"/>
                <w:bCs w:val="1"/>
                <w:color w:val="auto"/>
              </w:rPr>
              <w:t>of euros)</w:t>
            </w:r>
          </w:p>
        </w:tc>
        <w:tc>
          <w:tcPr>
            <w:tcW w:w="20" w:type="dxa"/>
            <w:vAlign w:val="bottom"/>
          </w:tcPr>
          <w:p>
            <w:pPr>
              <w:spacing w:after="0"/>
              <w:rPr>
                <w:sz w:val="11"/>
                <w:szCs w:val="1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provided by (used in):</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(286,177)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(267,887)</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(93,499)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20" w:type="dxa"/>
            <w:vAlign w:val="bottom"/>
          </w:tcPr>
          <w:p>
            <w:pPr>
              <w:spacing w:after="0"/>
              <w:rPr>
                <w:sz w:val="18"/>
                <w:szCs w:val="18"/>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230,893</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currency translation gains on cash and cash equivalents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Overall cash inflow/(outflow)</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(315,667)</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(93,345)</w:t>
            </w:r>
          </w:p>
        </w:tc>
        <w:tc>
          <w:tcPr>
            <w:tcW w:w="20" w:type="dxa"/>
            <w:vAlign w:val="bottom"/>
            <w:tcBorders>
              <w:bottom w:val="single" w:sz="8" w:color="auto"/>
            </w:tcBorders>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€267.9 million as compared to net cash used by operating activities of €286.2 million for the year ended December 31, 2022. The decrease in net cash used in operating activities was primarily attributable to less payments for service agreements with contract manufacturing organizations and raw material suppliers.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€55.2 million as compared to net cash used in investing activities of €93.5 million for the year ended December 31, 2022. The change in cash flows used in investing activities was primarily attributable to decreased purchases of property, plant and equipment for manufacturing facilities and intangible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€230.9 million for the year ended December 31, 2023, as compared to €63.2 million for the year ended December 31, 2022. The increase in cash flows provided by financing activities was mainly attributable to the raising of cash in the follow-on underwritten public offering conducted in February 2023.</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2022</w:t>
      </w:r>
    </w:p>
    <w:p>
      <w:pPr>
        <w:spacing w:after="0" w:line="234"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r>
      <w:tr>
        <w:trPr>
          <w:trHeight w:val="128"/>
        </w:trPr>
        <w:tc>
          <w:tcPr>
            <w:tcW w:w="7820" w:type="dxa"/>
            <w:vAlign w:val="bottom"/>
          </w:tcPr>
          <w:p>
            <w:pPr>
              <w:spacing w:after="0"/>
              <w:rPr>
                <w:sz w:val="11"/>
                <w:szCs w:val="11"/>
                <w:color w:val="auto"/>
              </w:rPr>
            </w:pPr>
          </w:p>
        </w:tc>
        <w:tc>
          <w:tcPr>
            <w:tcW w:w="116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940" w:type="dxa"/>
            <w:vAlign w:val="bottom"/>
          </w:tcPr>
          <w:p>
            <w:pPr>
              <w:jc w:val="right"/>
              <w:ind w:right="255"/>
              <w:spacing w:after="0" w:line="129" w:lineRule="exact"/>
              <w:rPr>
                <w:sz w:val="20"/>
                <w:szCs w:val="20"/>
                <w:color w:val="auto"/>
              </w:rPr>
            </w:pPr>
            <w:r>
              <w:rPr>
                <w:rFonts w:ascii="Times New Roman" w:cs="Times New Roman" w:eastAsia="Times New Roman" w:hAnsi="Times New Roman"/>
                <w:sz w:val="14"/>
                <w:szCs w:val="14"/>
                <w:b w:val="1"/>
                <w:bCs w:val="1"/>
                <w:color w:val="auto"/>
              </w:rPr>
              <w:t>of euros)</w:t>
            </w:r>
          </w:p>
        </w:tc>
        <w:tc>
          <w:tcPr>
            <w:tcW w:w="20" w:type="dxa"/>
            <w:vAlign w:val="bottom"/>
          </w:tcPr>
          <w:p>
            <w:pPr>
              <w:spacing w:after="0"/>
              <w:rPr>
                <w:sz w:val="11"/>
                <w:szCs w:val="1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provided by (used in):</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(733,128)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(286,177)</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(127,901)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(93,499)</w:t>
            </w:r>
          </w:p>
        </w:tc>
        <w:tc>
          <w:tcPr>
            <w:tcW w:w="20" w:type="dxa"/>
            <w:vAlign w:val="bottom"/>
          </w:tcPr>
          <w:p>
            <w:pPr>
              <w:spacing w:after="0"/>
              <w:rPr>
                <w:sz w:val="18"/>
                <w:szCs w:val="18"/>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344,964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63,173</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currency translation gains on cash and cash equivalents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Overall cash inflow/(outflow)</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(511,129)</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(315,667)</w:t>
            </w:r>
          </w:p>
        </w:tc>
        <w:tc>
          <w:tcPr>
            <w:tcW w:w="20" w:type="dxa"/>
            <w:vAlign w:val="bottom"/>
            <w:tcBorders>
              <w:bottom w:val="single" w:sz="8" w:color="auto"/>
            </w:tcBorders>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€286.2 million as compared to net cash provided by operating activities of €733.1 million for the year ended December 31, 2021. The decrease in net cash used in operating activities was primarily attributable to less payments for service agreements with contract research organizations and contract manufacturing organizations, including related settlements which were driving the cash outflows in the year ended December 31, 2021.</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€93.5 million as compared to net cash used in investing activities of €127.9 million for the year ended December 31, 2021. The change in cash flows used in investing activities was primarily attributable to decreased purchases of property, plant and equipment for use in contract manufacturing facilities.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€63.2 million for the year ended December 31, 2022, as compared to €345.0 million for the year ended December 31, 2021. The decrease in cash flows provided by financing activities was mainly attributable to the proceeds in 2022 from the at-the-market offering program being lesser than those from the follow-on public offering, which closed in February 2021.</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Research and Development, Patents and Licenses, etc.</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and preclinical and clinical development activities, including our product discovery efforts and certain activities relating to the design of GMP-manufacturing facilities. Research and development expenses contain wages and salaries, share-based compensation, fringe benefits and other personnel costs, the costs of clinical testing and the associated clinical production costs, research material production costs, fees for contractual partners, consultants and other third parties, fees to register legal rights, amortization of licensed software and intellectual property as well as costs for plant and facilities. Research and development expenses contain costs for independent research and development work as well as work carried out in the context of collaboration and licensing agreements; such expenses include all costs related to research and development services delivered under our collaboration arrangements. Additionally, prior to initial regulatory approval, if any, costs relating to production of products are expensed as research and development expenses in the period incurred. If pre-launch products are sold, the respective product gross margin may be higher compared to the expected recurring margin as the underlying costs will not be included in cost of sales as they will have been recognized in research and development expense in the period incurred.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also have partnered programs as further described under “Item 4. Information on the Company —  B. Business Overview —  Collaborations” and “Item 4. Information on the Company — B. Business Overview — Advance Purchase Agreements,” for which we incur additional expenses. In addition, our research and development expenses relate to our preclinical studies of further product candidates and discovery activities. These expenses mainly consist of salaries, share based-compensation, costs for production of preclinical compounds and costs paid to contract research organizations.</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expenses as incurred. We recognize costs for certain development activities, such as preclinical studies and clinical trials, based on an evaluation of the progress to completion of specific tasks. We use information provided to us by our vendors such as patient enrollment or clinical site activations for services received and efforts expended. We expect research and development costs, including manufacturing, to support these activities, to increase significantly for the foreseeable future as our current development programs progress and new programs are added.</w:t>
      </w:r>
    </w:p>
    <w:p>
      <w:pPr>
        <w:spacing w:after="0" w:line="179" w:lineRule="exact"/>
        <w:rPr>
          <w:sz w:val="20"/>
          <w:szCs w:val="20"/>
          <w:color w:val="auto"/>
        </w:rPr>
      </w:pPr>
    </w:p>
    <w:p>
      <w:pPr>
        <w:ind w:left="320" w:hanging="312"/>
        <w:spacing w:after="0"/>
        <w:tabs>
          <w:tab w:leader="none" w:pos="3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discussion of trend information, see “Item 5. Operating and Financial Review and Prospects.”</w:t>
      </w:r>
    </w:p>
    <w:p>
      <w:pPr>
        <w:spacing w:after="0" w:line="248"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that have or are reasonably likely to have a current or future effect on our financial condition, revenues or expenses, results of operations, liquidity, capital expenditures or capital resources, except for those noncancellable contractual obligations from certain of our arrangements with contract manufacturing organizations disclosed in “Item 5. Operating and Financial Review and Prospects — B. 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Safe Harbor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“Forward-Looking Statements.”</w:t>
      </w:r>
    </w:p>
    <w:p>
      <w:pPr>
        <w:spacing w:after="0" w:line="2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Critical Accounting Policies and Estimates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IFRS as issued by the IASB. Some of the accounting methods and policies used in preparing the financial statements under IFRS are based on complex and subjective assessments by our management or on estimates based on past experience and assumptions deemed realistic and reasonable based on the circumstances concerned. The actual value of our assets, liabilities and shareholders’ equity and of our earnings could differ from the value derived from these estimates if conditions changed and these changes had an impact on the assumptions adopted.</w:t>
      </w:r>
    </w:p>
    <w:p>
      <w:pPr>
        <w:spacing w:after="0" w:line="183"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that we believe to be critical to the judgments and estimates used in the preparation of our financial statements are included in “note 2 — Significant accounting policies” and “note 10 — Share-based payments” to our consolidated financial statements included elsewhere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right="6960" w:firstLine="8"/>
        <w:spacing w:after="0" w:line="502" w:lineRule="auto"/>
        <w:tabs>
          <w:tab w:leader="none" w:pos="31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 Board Structure</w:t>
      </w:r>
    </w:p>
    <w:p>
      <w:pPr>
        <w:ind w:right="720" w:firstLine="324"/>
        <w:spacing w:after="0" w:line="284" w:lineRule="auto"/>
        <w:rPr>
          <w:sz w:val="20"/>
          <w:szCs w:val="20"/>
          <w:color w:val="auto"/>
        </w:rPr>
      </w:pPr>
      <w:r>
        <w:rPr>
          <w:rFonts w:ascii="Times New Roman" w:cs="Times New Roman" w:eastAsia="Times New Roman" w:hAnsi="Times New Roman"/>
          <w:sz w:val="18"/>
          <w:szCs w:val="18"/>
          <w:color w:val="auto"/>
        </w:rPr>
        <w:t>We have a two-tier board structure consisting of a management board (</w:t>
      </w:r>
      <w:r>
        <w:rPr>
          <w:rFonts w:ascii="Times New Roman" w:cs="Times New Roman" w:eastAsia="Times New Roman" w:hAnsi="Times New Roman"/>
          <w:sz w:val="18"/>
          <w:szCs w:val="18"/>
          <w:i w:val="1"/>
          <w:iCs w:val="1"/>
          <w:color w:val="auto"/>
        </w:rPr>
        <w:t>bestuur</w:t>
      </w:r>
      <w:r>
        <w:rPr>
          <w:rFonts w:ascii="Times New Roman" w:cs="Times New Roman" w:eastAsia="Times New Roman" w:hAnsi="Times New Roman"/>
          <w:sz w:val="18"/>
          <w:szCs w:val="18"/>
          <w:color w:val="auto"/>
        </w:rPr>
        <w:t>) and a separate supervisory board (</w:t>
      </w:r>
      <w:r>
        <w:rPr>
          <w:rFonts w:ascii="Times New Roman" w:cs="Times New Roman" w:eastAsia="Times New Roman" w:hAnsi="Times New Roman"/>
          <w:sz w:val="18"/>
          <w:szCs w:val="18"/>
          <w:i w:val="1"/>
          <w:iCs w:val="1"/>
          <w:color w:val="auto"/>
        </w:rPr>
        <w:t>raad van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commissarissen</w:t>
      </w:r>
      <w:r>
        <w:rPr>
          <w:rFonts w:ascii="Times New Roman" w:cs="Times New Roman" w:eastAsia="Times New Roman" w:hAnsi="Times New Roman"/>
          <w:sz w:val="18"/>
          <w:szCs w:val="18"/>
          <w:color w:val="auto"/>
        </w:rPr>
        <w:t>). There are no family relationships among any of our managing directors and supervisory directors.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Board</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management board is composed of four members, who we refer to as our managing directors and who we consider to be our executive officers. Each managing director of CureVac N.V. holds office for the term set by our general meeting (as set forth in the table below), except in the case of his or her earlier death, resignation or removal. Our managing directors do not have a retirement age requirement under our articles of association.</w:t>
      </w:r>
    </w:p>
    <w:p>
      <w:pPr>
        <w:spacing w:after="0" w:line="180"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Our managing directors are responsible for the management and representation of our company. Our senior management has an average of 25 years of experience in the biopharmaceutical industry.</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lists our current managing directors who are also executive officers, as well as their ages, term served, the year of expiration of their term as managing directors of CureVac N.V. and position: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Age</w:t>
            </w:r>
          </w:p>
        </w:tc>
        <w:tc>
          <w:tcPr>
            <w:tcW w:w="14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Term Served</w:t>
            </w:r>
          </w:p>
        </w:tc>
        <w:tc>
          <w:tcPr>
            <w:tcW w:w="11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Year in which</w:t>
            </w:r>
          </w:p>
        </w:tc>
        <w:tc>
          <w:tcPr>
            <w:tcW w:w="160" w:type="dxa"/>
            <w:vAlign w:val="bottom"/>
          </w:tcPr>
          <w:p>
            <w:pPr>
              <w:spacing w:after="0"/>
              <w:rPr>
                <w:sz w:val="13"/>
                <w:szCs w:val="13"/>
                <w:color w:val="auto"/>
              </w:rPr>
            </w:pPr>
          </w:p>
        </w:tc>
        <w:tc>
          <w:tcPr>
            <w:tcW w:w="286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73"/>
        </w:trPr>
        <w:tc>
          <w:tcPr>
            <w:tcW w:w="302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1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160" w:type="dxa"/>
            <w:vAlign w:val="bottom"/>
          </w:tcPr>
          <w:p>
            <w:pPr>
              <w:spacing w:after="0"/>
              <w:rPr>
                <w:sz w:val="15"/>
                <w:szCs w:val="15"/>
                <w:color w:val="auto"/>
              </w:rPr>
            </w:pPr>
          </w:p>
        </w:tc>
        <w:tc>
          <w:tcPr>
            <w:tcW w:w="2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8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Alexander Zehnder, MD, MBA</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4/2023 – Present</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6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Pierre Kemula, B.Sc.</w:t>
            </w:r>
          </w:p>
        </w:tc>
        <w:tc>
          <w:tcPr>
            <w:tcW w:w="114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11/2016 – Present</w:t>
            </w:r>
          </w:p>
        </w:tc>
        <w:tc>
          <w:tcPr>
            <w:tcW w:w="114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7"/>
              </w:rPr>
              <w:t>2024</w:t>
            </w:r>
            <w:r>
              <w:rPr>
                <w:rFonts w:ascii="Times New Roman" w:cs="Times New Roman" w:eastAsia="Times New Roman" w:hAnsi="Times New Roman"/>
                <w:sz w:val="25"/>
                <w:szCs w:val="25"/>
                <w:color w:val="auto"/>
                <w:w w:val="97"/>
                <w:vertAlign w:val="superscript"/>
              </w:rPr>
              <w:t>(3)</w:t>
            </w:r>
          </w:p>
        </w:tc>
        <w:tc>
          <w:tcPr>
            <w:tcW w:w="3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Myriam Mendila, MD</w:t>
            </w:r>
            <w:r>
              <w:rPr>
                <w:rFonts w:ascii="Times New Roman" w:cs="Times New Roman" w:eastAsia="Times New Roman" w:hAnsi="Times New Roman"/>
                <w:sz w:val="25"/>
                <w:szCs w:val="25"/>
                <w:color w:val="auto"/>
                <w:vertAlign w:val="superscript"/>
              </w:rPr>
              <w:t>(2)</w:t>
            </w:r>
          </w:p>
        </w:tc>
        <w:tc>
          <w:tcPr>
            <w:tcW w:w="114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2/2023 – Present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3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Development Officer</w:t>
            </w:r>
          </w:p>
        </w:tc>
        <w:tc>
          <w:tcPr>
            <w:tcW w:w="0" w:type="dxa"/>
            <w:vAlign w:val="bottom"/>
          </w:tcPr>
          <w:p>
            <w:pPr>
              <w:spacing w:after="0"/>
              <w:rPr>
                <w:sz w:val="1"/>
                <w:szCs w:val="1"/>
                <w:color w:val="auto"/>
              </w:rPr>
            </w:pPr>
          </w:p>
        </w:tc>
      </w:tr>
      <w:tr>
        <w:trPr>
          <w:trHeight w:val="23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Malte Greune, Ph.D</w:t>
            </w:r>
          </w:p>
        </w:tc>
        <w:tc>
          <w:tcPr>
            <w:tcW w:w="114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7/2021 – Present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3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9"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Zehnder was formally appointed as a managing director of CureVac N.V. on March 28, 2023.</w:t>
      </w:r>
    </w:p>
    <w:p>
      <w:pPr>
        <w:spacing w:after="0" w:line="27" w:lineRule="exact"/>
        <w:rPr>
          <w:rFonts w:ascii="Times New Roman" w:cs="Times New Roman" w:eastAsia="Times New Roman" w:hAnsi="Times New Roman"/>
          <w:sz w:val="18"/>
          <w:szCs w:val="18"/>
          <w:color w:val="auto"/>
        </w:rPr>
      </w:pPr>
    </w:p>
    <w:p>
      <w:pPr>
        <w:ind w:left="340" w:right="680" w:hanging="332"/>
        <w:spacing w:after="0" w:line="250"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Mendila joined the executive team as Chief Development Officer on February 1, 2023. She was formally appointed as a managing director of CureVac N.V. on March 28, 2023.</w:t>
      </w:r>
    </w:p>
    <w:p>
      <w:pPr>
        <w:jc w:val="both"/>
        <w:ind w:left="340" w:right="200" w:hanging="332"/>
        <w:spacing w:after="0" w:line="253"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lapse of his term in office as managing director on October 31, 2023 and with effect from November 1, 2023, Pierre Kemula was appointed as a managing director in the event of absence or inability to act of a managing director until the end of the AGM 2024 and his date of initial appointment includes the term of office served as managing director of CureVac SE (at that time named: CureVac AG).</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above table does not include Dr. Antony Blanc and Dr. Igor Splawski, who each resigned as a managing director of CureVac N.V. on November 30, 2023 and July 14, 2023, respectively.</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brief summary of the prior business experience and principal business activities performed outside of CureVac of our managing directors. Unless otherwise indicated, the current business addresses for each managing director is Friedrich-Miescher-Strasse 15, 72076 Tübingen, Germany.</w:t>
      </w:r>
    </w:p>
    <w:p>
      <w:pPr>
        <w:spacing w:after="0" w:line="17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Alexander Zehnder, MD, MBA </w:t>
      </w:r>
      <w:r>
        <w:rPr>
          <w:rFonts w:ascii="Times New Roman" w:cs="Times New Roman" w:eastAsia="Times New Roman" w:hAnsi="Times New Roman"/>
          <w:sz w:val="18"/>
          <w:szCs w:val="18"/>
          <w:color w:val="auto"/>
        </w:rPr>
        <w:t>became our chief executive officer in April 2023. Dr. Zehnder earned his degree as a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Doctor from the University of Bern, Switzerland, and completed an MBA at IMD Business School in Lausanne, Switzerland. He has held roles of increasing complexity and responsibility in the pharmaceutical industry for more than 20 years, across multiple business units and functional areas in Europe, the United States and Japan. Prior to joining CureVac, Dr. Zehnder was the Global Head of Oncology at Sanofi and previously held leadership positions at Sanofi at both the headquarter and country level since 2014. Prior to Sanofi, Dr. Zehnder worked at Roche/Genentech where he served as Vice President, Global Product Strategy and Global Franchise Head Avastin, the company’s blockbuster oncology drug.</w:t>
      </w:r>
    </w:p>
    <w:p>
      <w:pPr>
        <w:spacing w:after="0" w:line="183" w:lineRule="exact"/>
        <w:rPr>
          <w:sz w:val="20"/>
          <w:szCs w:val="20"/>
          <w:color w:val="auto"/>
        </w:rPr>
      </w:pPr>
    </w:p>
    <w:p>
      <w:pPr>
        <w:ind w:right="40" w:firstLine="324"/>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Pierre Kemula, B.Sc. </w:t>
      </w:r>
      <w:r>
        <w:rPr>
          <w:rFonts w:ascii="Times New Roman" w:cs="Times New Roman" w:eastAsia="Times New Roman" w:hAnsi="Times New Roman"/>
          <w:sz w:val="18"/>
          <w:szCs w:val="18"/>
          <w:color w:val="auto"/>
        </w:rPr>
        <w:t>has been our chief financial officer since 2016. Previously, he was the chief financial officer of Pixium 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2014 until 2016, where he successfully contributed to the listing of the company on Euronext in Paris, and Vice President of Corporate Finance, Treasury and Financial Markets, as well as Director of Investor Relations, Vice President of Investor Relations and Investor Relations Officer at lpsen from 2008 until 2014. Earlier in his career, Mr. Kemula worked with major strategy consulting firms (Roland Berger, Bossard Consultants and Gemini Consulting). He holds a Bachelor of Science in Management Sciences from the London School of Economics, or LSE, in the United Kingdom.</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Myriam Mendila, MD </w:t>
      </w:r>
      <w:r>
        <w:rPr>
          <w:rFonts w:ascii="Times New Roman" w:cs="Times New Roman" w:eastAsia="Times New Roman" w:hAnsi="Times New Roman"/>
          <w:sz w:val="18"/>
          <w:szCs w:val="18"/>
          <w:color w:val="auto"/>
        </w:rPr>
        <w:t>has been our chief development officer since February 2023. She has more than 20 years of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product development, medical affairs, pharmacovigilance and healthcare compliance as well as global product strategy, including commercial strategy at Roche, Genentech and Novartis. Over the last 5 years, she has held the position of Worldwide Head of Medical Affairs and Chief Medical Officer Oncology at Novartis Pharma AG, Switzerland where she drives and oversees the development and cross-functional execution of the long-range global medical affairs vision and strategy for the Novartis oncology portfolio. Myriam earned her medical degree and subsequently doctoral degree from the Medical University of Hanover, Germany.</w:t>
      </w:r>
    </w:p>
    <w:p>
      <w:pPr>
        <w:spacing w:after="0" w:line="18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Malte Greune, Ph.D. </w:t>
      </w:r>
      <w:r>
        <w:rPr>
          <w:rFonts w:ascii="Times New Roman" w:cs="Times New Roman" w:eastAsia="Times New Roman" w:hAnsi="Times New Roman"/>
          <w:sz w:val="18"/>
          <w:szCs w:val="18"/>
          <w:color w:val="auto"/>
        </w:rPr>
        <w:t>has been our chief operating officer since July 2021. Dr. Greune joins CureVac from Sanofi-Aventis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Deutschland GmbH, where he held various management positions for almost ten years. As General Manager and Vice President Cartridges, Devices &amp; Insulin Technology Group, he was responsible for several manufacturing sites in Frankfurt. Under his leadership, six isolator filling lines for insulins, oncology drugs and biologics were set up including one for a COVID-19 vaccine. Prior to his position as Head of Diabetes, Oncology and Devices at Sanofi, he worked as the Senior Vice President of Animal Health Manufacturing for the Merck Manufacturing Division, USA, where he led an international network of 28 sites, including 18 integrated vaccine sites. Furthermore, he held various leadership roles at the pharmaceutical companies Schering-Plough and Intervet International B.V. Dr. Greune started his career at Hoechst AG in Corporate Planning. Dr. Greune received his Ph.D. in Economics from the University of Cologne, Germany, graduated from the University of Trier, Germany, and completed a Master of Business Administration at Clark University in Worcester, USA.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Supervisory Board</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supervisory board is composed of seven current members, who we refer to as our supervisory directors. Each supervisory director holds office for the term set by our general meeting (as set forth in the table below), except in the case of his or her earlier death, resignation or removal. Our supervisory directors do not have a retirement age requirement under our articles of association.</w:t>
      </w:r>
    </w:p>
    <w:p>
      <w:pPr>
        <w:spacing w:after="0" w:line="17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and functions of our current supervisory directors, their ages, term served and the year of expiration of their term as supervisory director of CureVac N.V.</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Age</w:t>
            </w:r>
          </w:p>
        </w:tc>
        <w:tc>
          <w:tcPr>
            <w:tcW w:w="1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 Served</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Year in which</w:t>
            </w:r>
          </w:p>
        </w:tc>
        <w:tc>
          <w:tcPr>
            <w:tcW w:w="304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Functions</w:t>
            </w:r>
          </w:p>
        </w:tc>
        <w:tc>
          <w:tcPr>
            <w:tcW w:w="0" w:type="dxa"/>
            <w:vAlign w:val="bottom"/>
          </w:tcPr>
          <w:p>
            <w:pPr>
              <w:spacing w:after="0"/>
              <w:rPr>
                <w:sz w:val="1"/>
                <w:szCs w:val="1"/>
                <w:color w:val="auto"/>
              </w:rPr>
            </w:pPr>
          </w:p>
        </w:tc>
      </w:tr>
      <w:tr>
        <w:trPr>
          <w:trHeight w:val="173"/>
        </w:trPr>
        <w:tc>
          <w:tcPr>
            <w:tcW w:w="320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3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 Jean Stéphenne, MSc, MBA</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8/2015 – Present</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Supervisory Director</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Mathias Hothum, Ph.D.</w:t>
            </w:r>
          </w:p>
        </w:tc>
        <w:tc>
          <w:tcPr>
            <w:tcW w:w="10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8/2015 – Present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Supervisory Director</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A. Tooman, MBA</w:t>
            </w:r>
          </w:p>
        </w:tc>
        <w:tc>
          <w:tcPr>
            <w:tcW w:w="10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6/2019 – Present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Supervisory Director</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Viola Bronsema, Ph.D.</w:t>
            </w:r>
          </w:p>
        </w:tc>
        <w:tc>
          <w:tcPr>
            <w:tcW w:w="10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8/2020 – Present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Supervisory Director</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Debra Barker, MD</w:t>
            </w:r>
          </w:p>
        </w:tc>
        <w:tc>
          <w:tcPr>
            <w:tcW w:w="10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6/2022 – Present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Supervisory Director</w:t>
            </w:r>
          </w:p>
        </w:tc>
        <w:tc>
          <w:tcPr>
            <w:tcW w:w="0" w:type="dxa"/>
            <w:vAlign w:val="bottom"/>
          </w:tcPr>
          <w:p>
            <w:pPr>
              <w:spacing w:after="0"/>
              <w:rPr>
                <w:sz w:val="1"/>
                <w:szCs w:val="1"/>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Klaus Schollmeier Ph.D.</w:t>
            </w:r>
          </w:p>
        </w:tc>
        <w:tc>
          <w:tcPr>
            <w:tcW w:w="10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6/2022 – Present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Supervisory Director</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Brosnan BSc.</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6/2023 – Present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Supervisory Director</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Mr. Brosnan joined the Supervisory Board on June 19, 2023.</w:t>
      </w:r>
    </w:p>
    <w:p>
      <w:pPr>
        <w:spacing w:after="0" w:line="22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above table does not include Dr. Hans Christoph Tanner and Dr. Ralf Clemens, who each resigned from the Supervisory Board on June 19, 2023 and September 30, 2023, respectively.</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brief summary of the prior business experience and principal business activities performed outside of CureVac of our supervisory directors. Unless otherwise indicated, the current business addresses for each of our supervisory directors is Friedrich-Miescher-Strasse 15, 72076 Tübingen, Germany.</w:t>
      </w:r>
    </w:p>
    <w:p>
      <w:pPr>
        <w:spacing w:after="0" w:line="172"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Baron Jean Stéphenne, MSc, MBA </w:t>
      </w:r>
      <w:r>
        <w:rPr>
          <w:rFonts w:ascii="Times New Roman" w:cs="Times New Roman" w:eastAsia="Times New Roman" w:hAnsi="Times New Roman"/>
          <w:sz w:val="18"/>
          <w:szCs w:val="18"/>
          <w:color w:val="auto"/>
        </w:rPr>
        <w:t>has served as a supervisory director since 2015. Mr. Stéphenne was the CEO of GSK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Biologicals from 1989 until 2012 and the President of GSK Biologicals from 2002 until 2012, where he was instrumental in building one of the world’s leading vaccine companies. In 1974, Mr. Stéphenne joined SmithKline-Rit, as engineer in biology in research and development. He also served as the President of UWE (Union Wallonne des Entreprises) from 1997 until 2000. Mr. Stéphenne was the chairman of BESIX Group S.A./N.V. and TiGenix N.V., IBA Wallonia Foreign Trade and Investment Agency, Henogen S.A., Aseptic Technologies and Bone Therapeutics (now BioSenic SA). He was also a director of Fortis bank, GBL and Bone Therapeutics.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Mathias Hothum, Ph.D. </w:t>
      </w:r>
      <w:r>
        <w:rPr>
          <w:rFonts w:ascii="Times New Roman" w:cs="Times New Roman" w:eastAsia="Times New Roman" w:hAnsi="Times New Roman"/>
          <w:sz w:val="18"/>
          <w:szCs w:val="18"/>
          <w:color w:val="auto"/>
        </w:rPr>
        <w:t>has served as a supervisory director since 2015. Dr. Hothum is the managing director of dievini Hopp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BioTech holding GmbH &amp; Co. KG, or dievini. dievini manages the biotech investments of SAP co-founder Dietmar Hopp. For the past 25 years, Dr. Hothum has worked as a health economist in the healthcare, health services and life sciences sectors. Dr. Hothum specializes in financing, pricing, reimbursement and in the evaluation of mid-sized companies as well as of publicly owned/market-listed companies. He is the owner and founder of HMM-Consulting. Furthermore, Dr. Hothum serves as a supervisory director of a few biotech companies, including Heidelberg Pharma AG, Apogenix AG, Weinheim 216 GmbH, Novaliq GmbH, Molecular Health GmbH and Joimax GmbH. He received his Ph.D. in economics from the University of Magdeburg and degree in economics from the University of Mannheim.</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Craig A. Tooman, MBA </w:t>
      </w:r>
      <w:r>
        <w:rPr>
          <w:rFonts w:ascii="Times New Roman" w:cs="Times New Roman" w:eastAsia="Times New Roman" w:hAnsi="Times New Roman"/>
          <w:sz w:val="18"/>
          <w:szCs w:val="18"/>
          <w:color w:val="auto"/>
        </w:rPr>
        <w:t>has served as a supervisory director since 2019. Mr. Tooman has experience in the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spanning more than 30 years, including more than 15 years of such experience as the Chief Executive Officer and Chief Financial Officer at several public companies. Mr. Tooman currently serves as the President, Chief Executive Officer and as a member of the board of directors of Silence Therapeutics. He was previously the Chief Financial Officer of Silence. Prior to joining Silence, from September 2019 to January 2021, he served as CFO and COO at Vyome Therapeutics, Inc. and prior to his tenure at Vyome, from November 2013 to July 2019, Mr. Tooman served as CFO, and then subsequently as CEO and Board Director of Aratana Therapeutics, where he successfully negotiated a merger with Elanco. Before Aratana, from 2005 to 2010, Mr. Tooman served as the CFO of Enzon Pharmaceuticals until its acquisition by Sigma Tau, and prior to that led the $1.1 billion M&amp;A initiative and integration of ILEX Oncology and Genzyme Corporation. Mr. Tooman has also held key positions at Pharmacia, and Upjohn. Mr. Tooman also serves on the Board of Directors of Ondine Biomedical Inc. Mr. Tooman earned his MBA in finance from the University of Chicago and a Bachelor of Arts degree in economics from Kalamazoo College.</w:t>
      </w:r>
    </w:p>
    <w:p>
      <w:pPr>
        <w:spacing w:after="0" w:line="18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Viola Bronsema, Ph.D. </w:t>
      </w:r>
      <w:r>
        <w:rPr>
          <w:rFonts w:ascii="Times New Roman" w:cs="Times New Roman" w:eastAsia="Times New Roman" w:hAnsi="Times New Roman"/>
          <w:sz w:val="18"/>
          <w:szCs w:val="18"/>
          <w:color w:val="auto"/>
        </w:rPr>
        <w:t>has served as a supervisory director since August 2020. Dr. Bronsema has been Secretary General and CEO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BIO Deutschland, Germany’s Biotechnology Industry Association, since 2006. With its 390 corporate members, the sector association represents the interests of Germany’s biotechnology industry nationally and internationally. Currently, she is member of the Advisory Boards of the German Federal Government (Bioeconomy Advisory Board, Council for technological Sovereignty), and one of the oldest German economic policy associations (WPCD e.V.). Previously, Dr. Bronsema was Head of Communications of Roche Diagnostics GmbH and of Roche Diagnostics Europe, Middle East, Africa, and before that, of Lilly Pharma Holding GmbH. She earned her Ph.D. at the Centre for Molecular Biology (ZMBH) at the University of Heidelberg, Germany.</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Debra Barker, MD </w:t>
      </w:r>
      <w:r>
        <w:rPr>
          <w:rFonts w:ascii="Times New Roman" w:cs="Times New Roman" w:eastAsia="Times New Roman" w:hAnsi="Times New Roman"/>
          <w:sz w:val="18"/>
          <w:szCs w:val="18"/>
          <w:color w:val="auto"/>
        </w:rPr>
        <w:t>has served as a supervisory director since June 2022. Dr. Barker is a seasoned pharmaceutical executive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than 25 years of experience in drug development and commercialization from Novartis, Roche, SmithKline Beecham and Knall in Europe, the Americas and Asia. She currently serves as a Non-Executive Director for two additional public companies including BergenBio ASA, a Norwegian Oncology company, and Destiny Pharma PLC, a late-stage British Anti-infective company. Previously, Dr. Barker led as Chief Medical and Development Officer at Polyphor LTD for two years. From 2006 to 2017 she held various leadership positions at Novartis, where she most recently served as Vice President, Medical Affairs Franchise Head for Ophthalmology as well as interim Franchise Head for Neuroscience. In addition, she held the role of Regional Medical Director, Asia Pacific for Novartis where she led teams to develop and execute medical communication, clinical trial and opinion leader development activities across the franchises. Dr. Barker holds a degree in pharmaceutical medicine and received a master’s degree in immunology from King’s College in London and a medical degree from Queens’ College, Cambridge, UK.</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Klaus Schollmeier, Ph.D </w:t>
      </w:r>
      <w:r>
        <w:rPr>
          <w:rFonts w:ascii="Times New Roman" w:cs="Times New Roman" w:eastAsia="Times New Roman" w:hAnsi="Times New Roman"/>
          <w:sz w:val="18"/>
          <w:szCs w:val="18"/>
          <w:color w:val="auto"/>
        </w:rPr>
        <w:t>has served as a supervisory director since June 2022. Dr. Schollmeier is an advisor to the Pharma/Biotech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He was Chief Executive Officer of SuppreMol in Munich from 2013 until 2015, when the company was sold to Baxalta. From 2004 to 2011, he served as CEO of Santhera in Basel, and as Chairman of the Board of Santhera until 2013. Dr. Schollmeier joined Graffinity Pharmaceuticals AG in Heidelberg, Germany as CEO in 2003 and merged the company with MyoContract AG, Basel in 2004 to form Santhera. Prior to joining the biotechnology industry in 2003, he was managing director of the healthcare/biotechnology group at ING-BHF Bank for ING Group Europe. Before that, he spent 16 years in the pharmaceutical industry at BASF, Knoll and Abbott. Dr. Schollmeier is member of the board and chairman of several biotech companies including Tacalyx (Germany), Modra Pharmaceuticals (Netherlands), Affiris Pharma (Austria) and Eternygen (Germany).He holds a Ph.D. in biology from the University of Düsseldorf, Germany, and is currently an adjunct research associate professor at the Boston University Medical School, Massachusetts.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Michael Brosnan, BSc </w:t>
      </w:r>
      <w:r>
        <w:rPr>
          <w:rFonts w:ascii="Times New Roman" w:cs="Times New Roman" w:eastAsia="Times New Roman" w:hAnsi="Times New Roman"/>
          <w:sz w:val="18"/>
          <w:szCs w:val="18"/>
          <w:color w:val="auto"/>
        </w:rPr>
        <w:t>has served as a supervisory director since June 2023. Mr. Brosnan currently serves as chairman of the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member of the supervisory board at MorphoSys AG, a biotechnology company. He also is chairman of the audit committee and member of the supervisory board of Daimler Truck AG. Until his retirement in 2019, he was the CFO of Fresenius Medical Care (“FMC”), headquartered in Germany, a worldwide leader in dialysis products and services. FMC is dual listed in New York and Frankfurt. Prior to taking over management roles in financial departments at FMC in 2003, he was an audit partner at KPMG. Mr. Brosnan holds a degree in business administration and accounting from Northeastern University, Boston.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provides certain information regarding the diversity of our supervisory board members as of the date of this Annual Report.</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31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Supervisory Board Diversity Matrix</w:t>
            </w:r>
          </w:p>
        </w:tc>
        <w:tc>
          <w:tcPr>
            <w:tcW w:w="18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right w:val="single" w:sz="8" w:color="auto"/>
            </w:tcBorders>
          </w:tcPr>
          <w:p>
            <w:pPr>
              <w:spacing w:after="0"/>
              <w:rPr>
                <w:sz w:val="19"/>
                <w:szCs w:val="19"/>
                <w:color w:val="auto"/>
              </w:rPr>
            </w:pPr>
          </w:p>
        </w:tc>
      </w:tr>
      <w:tr>
        <w:trPr>
          <w:trHeight w:val="187"/>
        </w:trPr>
        <w:tc>
          <w:tcPr>
            <w:tcW w:w="2840" w:type="dxa"/>
            <w:vAlign w:val="bottom"/>
            <w:tcBorders>
              <w:left w:val="single" w:sz="8" w:color="auto"/>
              <w:right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Country of Principal Executive</w:t>
            </w:r>
          </w:p>
        </w:tc>
        <w:tc>
          <w:tcPr>
            <w:tcW w:w="3840" w:type="dxa"/>
            <w:vAlign w:val="bottom"/>
            <w:gridSpan w:val="3"/>
          </w:tcPr>
          <w:p>
            <w:pPr>
              <w:ind w:left="120"/>
              <w:spacing w:after="0" w:line="188" w:lineRule="exact"/>
              <w:rPr>
                <w:sz w:val="20"/>
                <w:szCs w:val="20"/>
                <w:color w:val="auto"/>
              </w:rPr>
            </w:pPr>
            <w:r>
              <w:rPr>
                <w:rFonts w:ascii="Times New Roman" w:cs="Times New Roman" w:eastAsia="Times New Roman" w:hAnsi="Times New Roman"/>
                <w:sz w:val="18"/>
                <w:szCs w:val="18"/>
                <w:color w:val="auto"/>
              </w:rPr>
              <w:t>Germany</w:t>
            </w:r>
          </w:p>
        </w:tc>
        <w:tc>
          <w:tcPr>
            <w:tcW w:w="188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38"/>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209"/>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Foreign Private Issuer</w:t>
            </w: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Yes</w:t>
            </w:r>
          </w:p>
        </w:tc>
        <w:tc>
          <w:tcPr>
            <w:tcW w:w="10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187"/>
        </w:trPr>
        <w:tc>
          <w:tcPr>
            <w:tcW w:w="2840" w:type="dxa"/>
            <w:vAlign w:val="bottom"/>
            <w:tcBorders>
              <w:left w:val="single" w:sz="8" w:color="auto"/>
              <w:right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Disclosure Prohibited under</w:t>
            </w:r>
          </w:p>
        </w:tc>
        <w:tc>
          <w:tcPr>
            <w:tcW w:w="70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Yes</w:t>
            </w:r>
          </w:p>
        </w:tc>
        <w:tc>
          <w:tcPr>
            <w:tcW w:w="1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38"/>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Home Country Law</w:t>
            </w: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187"/>
        </w:trPr>
        <w:tc>
          <w:tcPr>
            <w:tcW w:w="2840" w:type="dxa"/>
            <w:vAlign w:val="bottom"/>
            <w:tcBorders>
              <w:left w:val="single" w:sz="8" w:color="auto"/>
              <w:right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Total Number of Supervisory</w:t>
            </w:r>
          </w:p>
        </w:tc>
        <w:tc>
          <w:tcPr>
            <w:tcW w:w="70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7</w:t>
            </w:r>
          </w:p>
        </w:tc>
        <w:tc>
          <w:tcPr>
            <w:tcW w:w="1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38"/>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Board Members</w:t>
            </w: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187"/>
        </w:trPr>
        <w:tc>
          <w:tcPr>
            <w:tcW w:w="2840" w:type="dxa"/>
            <w:vAlign w:val="bottom"/>
            <w:tcBorders>
              <w:left w:val="single" w:sz="8" w:color="auto"/>
              <w:right w:val="single" w:sz="8" w:color="auto"/>
            </w:tcBorders>
            <w:shd w:val="clear" w:color="auto" w:fill="D9D9D9"/>
          </w:tcPr>
          <w:p>
            <w:pPr>
              <w:spacing w:after="0"/>
              <w:rPr>
                <w:sz w:val="16"/>
                <w:szCs w:val="16"/>
                <w:color w:val="auto"/>
              </w:rPr>
            </w:pPr>
          </w:p>
        </w:tc>
        <w:tc>
          <w:tcPr>
            <w:tcW w:w="700" w:type="dxa"/>
            <w:vAlign w:val="bottom"/>
            <w:shd w:val="clear" w:color="auto" w:fill="D9D9D9"/>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Female</w:t>
            </w:r>
          </w:p>
        </w:tc>
        <w:tc>
          <w:tcPr>
            <w:tcW w:w="1020" w:type="dxa"/>
            <w:vAlign w:val="bottom"/>
            <w:tcBorders>
              <w:right w:val="single" w:sz="8" w:color="auto"/>
            </w:tcBorders>
            <w:shd w:val="clear" w:color="auto" w:fill="D9D9D9"/>
          </w:tcPr>
          <w:p>
            <w:pPr>
              <w:spacing w:after="0"/>
              <w:rPr>
                <w:sz w:val="16"/>
                <w:szCs w:val="16"/>
                <w:color w:val="auto"/>
              </w:rPr>
            </w:pPr>
          </w:p>
        </w:tc>
        <w:tc>
          <w:tcPr>
            <w:tcW w:w="2120" w:type="dxa"/>
            <w:vAlign w:val="bottom"/>
            <w:tcBorders>
              <w:right w:val="single" w:sz="8" w:color="auto"/>
            </w:tcBorders>
            <w:shd w:val="clear" w:color="auto" w:fill="D9D9D9"/>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Male</w:t>
            </w:r>
          </w:p>
        </w:tc>
        <w:tc>
          <w:tcPr>
            <w:tcW w:w="1880" w:type="dxa"/>
            <w:vAlign w:val="bottom"/>
            <w:tcBorders>
              <w:right w:val="single" w:sz="8" w:color="auto"/>
            </w:tcBorders>
            <w:shd w:val="clear" w:color="auto" w:fill="D9D9D9"/>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Non-Binary</w:t>
            </w:r>
          </w:p>
        </w:tc>
        <w:tc>
          <w:tcPr>
            <w:tcW w:w="1360" w:type="dxa"/>
            <w:vAlign w:val="bottom"/>
            <w:tcBorders>
              <w:right w:val="single" w:sz="8" w:color="auto"/>
            </w:tcBorders>
            <w:shd w:val="clear" w:color="auto" w:fill="D9D9D9"/>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Did not</w:t>
            </w:r>
          </w:p>
        </w:tc>
      </w:tr>
      <w:tr>
        <w:trPr>
          <w:trHeight w:val="238"/>
        </w:trPr>
        <w:tc>
          <w:tcPr>
            <w:tcW w:w="284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700" w:type="dxa"/>
            <w:vAlign w:val="bottom"/>
            <w:tcBorders>
              <w:bottom w:val="single" w:sz="8" w:color="auto"/>
            </w:tcBorders>
            <w:shd w:val="clear" w:color="auto" w:fill="D9D9D9"/>
          </w:tcPr>
          <w:p>
            <w:pPr>
              <w:spacing w:after="0"/>
              <w:rPr>
                <w:sz w:val="20"/>
                <w:szCs w:val="20"/>
                <w:color w:val="auto"/>
              </w:rPr>
            </w:pPr>
          </w:p>
        </w:tc>
        <w:tc>
          <w:tcPr>
            <w:tcW w:w="1020" w:type="dxa"/>
            <w:vAlign w:val="bottom"/>
            <w:tcBorders>
              <w:bottom w:val="single" w:sz="8" w:color="auto"/>
              <w:right w:val="single" w:sz="8" w:color="auto"/>
            </w:tcBorders>
            <w:shd w:val="clear" w:color="auto" w:fill="D9D9D9"/>
          </w:tcPr>
          <w:p>
            <w:pPr>
              <w:spacing w:after="0"/>
              <w:rPr>
                <w:sz w:val="20"/>
                <w:szCs w:val="20"/>
                <w:color w:val="auto"/>
              </w:rPr>
            </w:pPr>
          </w:p>
        </w:tc>
        <w:tc>
          <w:tcPr>
            <w:tcW w:w="2120" w:type="dxa"/>
            <w:vAlign w:val="bottom"/>
            <w:tcBorders>
              <w:bottom w:val="single" w:sz="8" w:color="auto"/>
              <w:right w:val="single" w:sz="8" w:color="auto"/>
            </w:tcBorders>
            <w:shd w:val="clear" w:color="auto" w:fill="D9D9D9"/>
          </w:tcPr>
          <w:p>
            <w:pPr>
              <w:spacing w:after="0"/>
              <w:rPr>
                <w:sz w:val="20"/>
                <w:szCs w:val="20"/>
                <w:color w:val="auto"/>
              </w:rPr>
            </w:pPr>
          </w:p>
        </w:tc>
        <w:tc>
          <w:tcPr>
            <w:tcW w:w="1880" w:type="dxa"/>
            <w:vAlign w:val="bottom"/>
            <w:tcBorders>
              <w:bottom w:val="single" w:sz="8" w:color="auto"/>
              <w:right w:val="single" w:sz="8" w:color="auto"/>
            </w:tcBorders>
            <w:shd w:val="clear" w:color="auto" w:fill="D9D9D9"/>
          </w:tcPr>
          <w:p>
            <w:pPr>
              <w:spacing w:after="0"/>
              <w:rPr>
                <w:sz w:val="20"/>
                <w:szCs w:val="20"/>
                <w:color w:val="auto"/>
              </w:rPr>
            </w:pPr>
          </w:p>
        </w:tc>
        <w:tc>
          <w:tcPr>
            <w:tcW w:w="1360" w:type="dxa"/>
            <w:vAlign w:val="bottom"/>
            <w:tcBorders>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Disclose</w:t>
            </w:r>
          </w:p>
        </w:tc>
      </w:tr>
      <w:tr>
        <w:trPr>
          <w:trHeight w:val="209"/>
        </w:trPr>
        <w:tc>
          <w:tcPr>
            <w:tcW w:w="2840" w:type="dxa"/>
            <w:vAlign w:val="bottom"/>
            <w:tcBorders>
              <w:left w:val="single" w:sz="8" w:color="auto"/>
              <w:bottom w:val="single" w:sz="8" w:color="auto"/>
              <w:right w:val="single" w:sz="8" w:color="D9D9D9"/>
            </w:tcBorders>
            <w:shd w:val="clear" w:color="auto" w:fill="D9D9D9"/>
          </w:tcPr>
          <w:p>
            <w:pPr>
              <w:ind w:left="16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700" w:type="dxa"/>
            <w:vAlign w:val="bottom"/>
            <w:tcBorders>
              <w:bottom w:val="single" w:sz="8" w:color="auto"/>
            </w:tcBorders>
            <w:shd w:val="clear" w:color="auto" w:fill="D9D9D9"/>
          </w:tcPr>
          <w:p>
            <w:pPr>
              <w:spacing w:after="0"/>
              <w:rPr>
                <w:sz w:val="18"/>
                <w:szCs w:val="18"/>
                <w:color w:val="auto"/>
              </w:rPr>
            </w:pPr>
          </w:p>
        </w:tc>
        <w:tc>
          <w:tcPr>
            <w:tcW w:w="1020" w:type="dxa"/>
            <w:vAlign w:val="bottom"/>
            <w:tcBorders>
              <w:bottom w:val="single" w:sz="8" w:color="auto"/>
              <w:right w:val="single" w:sz="8" w:color="D9D9D9"/>
            </w:tcBorders>
            <w:shd w:val="clear" w:color="auto" w:fill="D9D9D9"/>
          </w:tcPr>
          <w:p>
            <w:pPr>
              <w:spacing w:after="0"/>
              <w:rPr>
                <w:sz w:val="18"/>
                <w:szCs w:val="18"/>
                <w:color w:val="auto"/>
              </w:rPr>
            </w:pPr>
          </w:p>
        </w:tc>
        <w:tc>
          <w:tcPr>
            <w:tcW w:w="2120" w:type="dxa"/>
            <w:vAlign w:val="bottom"/>
            <w:tcBorders>
              <w:bottom w:val="single" w:sz="8" w:color="auto"/>
              <w:right w:val="single" w:sz="8" w:color="D9D9D9"/>
            </w:tcBorders>
            <w:shd w:val="clear" w:color="auto" w:fill="D9D9D9"/>
          </w:tcPr>
          <w:p>
            <w:pPr>
              <w:spacing w:after="0"/>
              <w:rPr>
                <w:sz w:val="18"/>
                <w:szCs w:val="18"/>
                <w:color w:val="auto"/>
              </w:rPr>
            </w:pPr>
          </w:p>
        </w:tc>
        <w:tc>
          <w:tcPr>
            <w:tcW w:w="1880" w:type="dxa"/>
            <w:vAlign w:val="bottom"/>
            <w:tcBorders>
              <w:bottom w:val="single" w:sz="8" w:color="auto"/>
              <w:right w:val="single" w:sz="8" w:color="D9D9D9"/>
            </w:tcBorders>
            <w:shd w:val="clear" w:color="auto" w:fill="D9D9D9"/>
          </w:tcPr>
          <w:p>
            <w:pPr>
              <w:spacing w:after="0"/>
              <w:rPr>
                <w:sz w:val="18"/>
                <w:szCs w:val="18"/>
                <w:color w:val="auto"/>
              </w:rPr>
            </w:pPr>
          </w:p>
        </w:tc>
        <w:tc>
          <w:tcPr>
            <w:tcW w:w="136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10"/>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Supervisory Board Members</w:t>
            </w: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1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840" w:type="dxa"/>
            <w:vAlign w:val="bottom"/>
            <w:tcBorders>
              <w:left w:val="single" w:sz="8" w:color="auto"/>
              <w:bottom w:val="single" w:sz="8" w:color="auto"/>
              <w:right w:val="single" w:sz="8" w:color="D9D9D9"/>
            </w:tcBorders>
            <w:shd w:val="clear" w:color="auto" w:fill="D9D9D9"/>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Part II: Demographic Background</w:t>
            </w:r>
          </w:p>
        </w:tc>
        <w:tc>
          <w:tcPr>
            <w:tcW w:w="700" w:type="dxa"/>
            <w:vAlign w:val="bottom"/>
            <w:tcBorders>
              <w:bottom w:val="single" w:sz="8" w:color="auto"/>
            </w:tcBorders>
            <w:shd w:val="clear" w:color="auto" w:fill="D9D9D9"/>
          </w:tcPr>
          <w:p>
            <w:pPr>
              <w:spacing w:after="0"/>
              <w:rPr>
                <w:sz w:val="18"/>
                <w:szCs w:val="18"/>
                <w:color w:val="auto"/>
              </w:rPr>
            </w:pPr>
          </w:p>
        </w:tc>
        <w:tc>
          <w:tcPr>
            <w:tcW w:w="1020" w:type="dxa"/>
            <w:vAlign w:val="bottom"/>
            <w:tcBorders>
              <w:bottom w:val="single" w:sz="8" w:color="auto"/>
              <w:right w:val="single" w:sz="8" w:color="D9D9D9"/>
            </w:tcBorders>
            <w:shd w:val="clear" w:color="auto" w:fill="D9D9D9"/>
          </w:tcPr>
          <w:p>
            <w:pPr>
              <w:spacing w:after="0"/>
              <w:rPr>
                <w:sz w:val="18"/>
                <w:szCs w:val="18"/>
                <w:color w:val="auto"/>
              </w:rPr>
            </w:pPr>
          </w:p>
        </w:tc>
        <w:tc>
          <w:tcPr>
            <w:tcW w:w="2120" w:type="dxa"/>
            <w:vAlign w:val="bottom"/>
            <w:tcBorders>
              <w:bottom w:val="single" w:sz="8" w:color="auto"/>
              <w:right w:val="single" w:sz="8" w:color="D9D9D9"/>
            </w:tcBorders>
            <w:shd w:val="clear" w:color="auto" w:fill="D9D9D9"/>
          </w:tcPr>
          <w:p>
            <w:pPr>
              <w:spacing w:after="0"/>
              <w:rPr>
                <w:sz w:val="18"/>
                <w:szCs w:val="18"/>
                <w:color w:val="auto"/>
              </w:rPr>
            </w:pPr>
          </w:p>
        </w:tc>
        <w:tc>
          <w:tcPr>
            <w:tcW w:w="1880" w:type="dxa"/>
            <w:vAlign w:val="bottom"/>
            <w:tcBorders>
              <w:bottom w:val="single" w:sz="8" w:color="auto"/>
              <w:right w:val="single" w:sz="8" w:color="D9D9D9"/>
            </w:tcBorders>
            <w:shd w:val="clear" w:color="auto" w:fill="D9D9D9"/>
          </w:tcPr>
          <w:p>
            <w:pPr>
              <w:spacing w:after="0"/>
              <w:rPr>
                <w:sz w:val="18"/>
                <w:szCs w:val="18"/>
                <w:color w:val="auto"/>
              </w:rPr>
            </w:pPr>
          </w:p>
        </w:tc>
        <w:tc>
          <w:tcPr>
            <w:tcW w:w="136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187"/>
        </w:trPr>
        <w:tc>
          <w:tcPr>
            <w:tcW w:w="2840" w:type="dxa"/>
            <w:vAlign w:val="bottom"/>
            <w:tcBorders>
              <w:left w:val="single" w:sz="8" w:color="auto"/>
              <w:right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Underrepresented individual in</w:t>
            </w: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38"/>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Germany</w:t>
            </w: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209"/>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LGBTQ+</w:t>
            </w: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187"/>
        </w:trPr>
        <w:tc>
          <w:tcPr>
            <w:tcW w:w="2840" w:type="dxa"/>
            <w:vAlign w:val="bottom"/>
            <w:tcBorders>
              <w:left w:val="single" w:sz="8" w:color="auto"/>
              <w:right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Did Not Disclose Demographic</w:t>
            </w: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38"/>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Background</w:t>
            </w: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diversity objectives with respect to the composition of our management board and supervisory board as part of our diversity policy. We are committed to supporting, valuing and leveraging diversity and we recognize and welcome diversity with respect to gender, age, race, ethnicity, nationality, sexual orientation and other important cultural differences. In its evaluation of new candidates, the nomination and corporate governance committee may consider race or ethnicity, nationality, gender, sexual orientation, age, background, education skills and experience, as well as the restrictions, requirements and recommendations concerning those matters under applicable law, Nasdaq rules or best practice provisions of the Dutch Corporate Governance Code in relation to the full our management board, supervisory board and/or individual directors or director candidates. However, we also believe that there is a fine line between diversity and unintentional discrimination. For that reason, the importance of diversity, in and of itself, should not set aside the overriding principle that someone should be recommended, nominated and appointed for being “the right person for the job.”</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Although we have not yet set specific targets with respect to certain elements of diversity (other than with regard to gender as required by section 2:166(2) of the Dutch Civil Code), we believe that it is important for the management board, supervisory board and our senior management to represent a diverse composite mix of personal backgrounds, experiences, qualifications, knowledge, abilities and viewpoints, consistent with the principles outlined above. We also seek to combine the skills and experience of long-standing members of the management board, supervisory board and our senior management with the fresh perspectives, insights, skills and experiences of new candidates from time to time. To further increase the range of viewpoints, perspectives, talents and experience, we strive for a mix of experience among the management board, supervisory board and its senior management, but we have not set a specific target in this respect.</w:t>
      </w:r>
    </w:p>
    <w:p>
      <w:pPr>
        <w:spacing w:after="0" w:line="19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Three of our managing directors are male and one is female. We believe that we are on a trajectory to achieve our diversity objectives with respect to the management board.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Five of our supervisory directors are male and two are female. We believe that we are on a trajectory to achieve our diversity objectives with respect to the supervisory board.</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diversity objectives, we have defined our senior management as employees at the vice president position and above. Seven out of our thirty-four senior management members are female. We believe that we are on a trajectory to achieve our diversity objectives with respect to our senior management.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taken the following activities and measures for a more balanced gender ratio within the organization:</w:t>
      </w:r>
    </w:p>
    <w:p>
      <w:pPr>
        <w:spacing w:after="0" w:line="225" w:lineRule="exact"/>
        <w:rPr>
          <w:sz w:val="20"/>
          <w:szCs w:val="20"/>
          <w:color w:val="auto"/>
        </w:rPr>
      </w:pPr>
    </w:p>
    <w:p>
      <w:pPr>
        <w:ind w:left="680" w:hanging="321"/>
        <w:spacing w:after="0"/>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that support equal opportunities for employees, senior management and applicants for employment;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and enforcing respectful communication and cooperation among all employees and senior management;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a corporate culture where employees and senior management are treated with dignity, respect and understanding;</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encouraging employees and officers who feel that they have been subjected to discrimination or harassment to report this to their supervisor, to our human resources department or via our Speak-Up tool;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review our corporate policies to ensure equal treatment.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Given the gender ratios both in the management board, supervisory board and as well as senior management, we are satisfied overall with our efforts towards improving gender diversity and we believe that our activities, training, mentoring and programs will continue to enhance our diversity objectives.</w:t>
      </w:r>
    </w:p>
    <w:p>
      <w:pPr>
        <w:spacing w:after="0" w:line="1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and Other Benefits to Supervisory and Managing Directors as of December 31, 2023</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a foreign private issuer, in accordance with Nasdaq listing requirements, we must comply with home country compensation requirements and certain exemptions thereunder rather than complying with Nasdaq compensation requirements. Dutch law does not provide for limitations with respect to the aggregate annual compensation paid to our managing directors or supervisory directors, provided that such compensation is consistent with our compensation policy. Such compensation policy requires approval by the general meeting. The supervisory board, in conjunction with our compensation committee, determines the remuneration of individual managing directors with due observance of the compensation policy. A proposal with respect to remuneration schemes in the form of shares or rights to shares in which managing directors may participate is subject to approval by our general meeting. Such a proposal must set out at least the maximum number of shares or rights to subscribe for shares to be granted to the managing directors and the criteria for granting or amendment. The compensation for our supervisory directors is set by the general meeting.</w:t>
      </w:r>
    </w:p>
    <w:p>
      <w:pPr>
        <w:spacing w:after="0" w:line="18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compensation policy authorizes our supervisory board to determine the amount, level and structure of the compensation packages of our managing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supervisory board.</w:t>
      </w:r>
    </w:p>
    <w:p>
      <w:pPr>
        <w:spacing w:after="0" w:line="18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did not provide pension, retirement or similar benefits to our managing directors and supervisory directors in the year ended December 31, 2023.</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Supervisory Board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Supervisory Directors</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cash compensation paid to our supervisory directors for services in all capacities was €673,742. The following table sets forth the aggregate compensation and benefits provided to our supervisory board members for services in the year ended December 31,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7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75"/>
        </w:trPr>
        <w:tc>
          <w:tcPr>
            <w:tcW w:w="7540" w:type="dxa"/>
            <w:vAlign w:val="bottom"/>
            <w:gridSpan w:val="3"/>
            <w:vMerge w:val="continue"/>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(4)</w:t>
            </w:r>
          </w:p>
        </w:tc>
        <w:tc>
          <w:tcPr>
            <w:tcW w:w="0" w:type="dxa"/>
            <w:vAlign w:val="bottom"/>
          </w:tcPr>
          <w:p>
            <w:pPr>
              <w:spacing w:after="0"/>
              <w:rPr>
                <w:sz w:val="1"/>
                <w:szCs w:val="1"/>
                <w:color w:val="auto"/>
              </w:rPr>
            </w:pPr>
          </w:p>
        </w:tc>
      </w:tr>
      <w:tr>
        <w:trPr>
          <w:trHeight w:val="210"/>
        </w:trPr>
        <w:tc>
          <w:tcPr>
            <w:tcW w:w="7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 Jean Stéphenne, MSc, MBA</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194,500</w:t>
            </w:r>
          </w:p>
        </w:tc>
        <w:tc>
          <w:tcPr>
            <w:tcW w:w="0" w:type="dxa"/>
            <w:vAlign w:val="bottom"/>
          </w:tcPr>
          <w:p>
            <w:pPr>
              <w:spacing w:after="0"/>
              <w:rPr>
                <w:sz w:val="1"/>
                <w:szCs w:val="1"/>
                <w:color w:val="auto"/>
              </w:rPr>
            </w:pPr>
          </w:p>
        </w:tc>
      </w:tr>
      <w:tr>
        <w:trPr>
          <w:trHeight w:val="216"/>
        </w:trPr>
        <w:tc>
          <w:tcPr>
            <w:tcW w:w="75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Ralf Clemens, MD, PhD </w:t>
            </w:r>
            <w:r>
              <w:rPr>
                <w:rFonts w:ascii="Times New Roman" w:cs="Times New Roman" w:eastAsia="Times New Roman" w:hAnsi="Times New Roman"/>
                <w:sz w:val="25"/>
                <w:szCs w:val="25"/>
                <w:color w:val="auto"/>
                <w:vertAlign w:val="superscript"/>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94,400</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Mathias Hothum, PhD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128,598</w:t>
            </w:r>
          </w:p>
        </w:tc>
        <w:tc>
          <w:tcPr>
            <w:tcW w:w="0" w:type="dxa"/>
            <w:vAlign w:val="bottom"/>
          </w:tcPr>
          <w:p>
            <w:pPr>
              <w:spacing w:after="0"/>
              <w:rPr>
                <w:sz w:val="1"/>
                <w:szCs w:val="1"/>
                <w:color w:val="auto"/>
              </w:rPr>
            </w:pPr>
          </w:p>
        </w:tc>
      </w:tr>
      <w:tr>
        <w:trPr>
          <w:trHeight w:val="216"/>
        </w:trPr>
        <w:tc>
          <w:tcPr>
            <w:tcW w:w="75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Hans Christoph Tanner, PhD </w:t>
            </w:r>
            <w:r>
              <w:rPr>
                <w:rFonts w:ascii="Times New Roman" w:cs="Times New Roman" w:eastAsia="Times New Roman" w:hAnsi="Times New Roman"/>
                <w:sz w:val="25"/>
                <w:szCs w:val="25"/>
                <w:color w:val="auto"/>
                <w:vertAlign w:val="superscript"/>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70,942</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A. Tooman, MBA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116,741</w:t>
            </w:r>
          </w:p>
        </w:tc>
        <w:tc>
          <w:tcPr>
            <w:tcW w:w="0" w:type="dxa"/>
            <w:vAlign w:val="bottom"/>
          </w:tcPr>
          <w:p>
            <w:pPr>
              <w:spacing w:after="0"/>
              <w:rPr>
                <w:sz w:val="1"/>
                <w:szCs w:val="1"/>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Viola Bronsema, PhD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68,750</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Debra Barker, MD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96,140</w:t>
            </w:r>
          </w:p>
        </w:tc>
        <w:tc>
          <w:tcPr>
            <w:tcW w:w="0" w:type="dxa"/>
            <w:vAlign w:val="bottom"/>
          </w:tcPr>
          <w:p>
            <w:pPr>
              <w:spacing w:after="0"/>
              <w:rPr>
                <w:sz w:val="1"/>
                <w:szCs w:val="1"/>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Klaus Schollmeier PhD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73,002</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Michael Brosnan BSc. </w:t>
            </w:r>
            <w:r>
              <w:rPr>
                <w:rFonts w:ascii="Times New Roman" w:cs="Times New Roman" w:eastAsia="Times New Roman" w:hAnsi="Times New Roman"/>
                <w:sz w:val="25"/>
                <w:szCs w:val="25"/>
                <w:color w:val="auto"/>
                <w:vertAlign w:val="superscript"/>
              </w:rPr>
              <w:t>(3)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51,026</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4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Clemens resigned from the Supervisory Board of CureVac N.V. on September 30, 2023.</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Tanner resigned from the Supervisory Board of CureVac N.V. on June 19,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Brosnan joined the Supervisory Board of CureVac on June 19, 2023.</w:t>
      </w:r>
    </w:p>
    <w:p>
      <w:pPr>
        <w:spacing w:after="0" w:line="9" w:lineRule="exact"/>
        <w:rPr>
          <w:rFonts w:ascii="Times New Roman" w:cs="Times New Roman" w:eastAsia="Times New Roman" w:hAnsi="Times New Roman"/>
          <w:sz w:val="18"/>
          <w:szCs w:val="18"/>
          <w:color w:val="auto"/>
        </w:rPr>
      </w:pPr>
    </w:p>
    <w:p>
      <w:pPr>
        <w:ind w:left="320" w:right="220" w:hanging="312"/>
        <w:spacing w:after="0" w:line="260" w:lineRule="auto"/>
        <w:tabs>
          <w:tab w:leader="none" w:pos="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cash compensation and value of shares delivered in 2023 and does not include RSUs held by certain of the supervisory board members, as described in the share ownership section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Board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Managing Directors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aggregate compensation accrued or paid to our managing directors for services in all capacities was €5,627,583. The following table sets forth the compensation and benefits provided to our management board for services in the year ended December 31,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Bonus</w:t>
            </w:r>
            <w:r>
              <w:rPr>
                <w:rFonts w:ascii="Times New Roman" w:cs="Times New Roman" w:eastAsia="Times New Roman" w:hAnsi="Times New Roman"/>
                <w:sz w:val="21"/>
                <w:szCs w:val="21"/>
                <w:b w:val="1"/>
                <w:bCs w:val="1"/>
                <w:color w:val="auto"/>
                <w:w w:val="93"/>
                <w:vertAlign w:val="superscript"/>
              </w:rPr>
              <w:t>(1)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2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2"/>
                <w:szCs w:val="12"/>
                <w:b w:val="1"/>
                <w:bCs w:val="1"/>
                <w:color w:val="auto"/>
              </w:rPr>
              <w:t>Compensation</w:t>
            </w:r>
            <w:r>
              <w:rPr>
                <w:rFonts w:ascii="Times New Roman" w:cs="Times New Roman" w:eastAsia="Times New Roman" w:hAnsi="Times New Roman"/>
                <w:sz w:val="17"/>
                <w:szCs w:val="17"/>
                <w:b w:val="1"/>
                <w:bCs w:val="1"/>
                <w:color w:val="auto"/>
                <w:vertAlign w:val="superscript"/>
              </w:rPr>
              <w:t>(2)</w:t>
            </w:r>
          </w:p>
        </w:tc>
        <w:tc>
          <w:tcPr>
            <w:tcW w:w="1100" w:type="dxa"/>
            <w:vAlign w:val="bottom"/>
          </w:tcPr>
          <w:p>
            <w:pPr>
              <w:jc w:val="center"/>
              <w:spacing w:after="0" w:line="151" w:lineRule="exact"/>
              <w:rPr>
                <w:sz w:val="20"/>
                <w:szCs w:val="20"/>
                <w:color w:val="auto"/>
              </w:rPr>
            </w:pPr>
            <w:r>
              <w:rPr>
                <w:rFonts w:ascii="Times New Roman" w:cs="Times New Roman" w:eastAsia="Times New Roman" w:hAnsi="Times New Roman"/>
                <w:sz w:val="12"/>
                <w:szCs w:val="12"/>
                <w:b w:val="1"/>
                <w:bCs w:val="1"/>
                <w:color w:val="auto"/>
              </w:rPr>
              <w:t>Compensation</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173"/>
        </w:trPr>
        <w:tc>
          <w:tcPr>
            <w:tcW w:w="5140" w:type="dxa"/>
            <w:vAlign w:val="bottom"/>
            <w:gridSpan w:val="2"/>
            <w:vMerge w:val="continue"/>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Alexander Zehnder, MD, MBA </w:t>
            </w:r>
            <w:r>
              <w:rPr>
                <w:rFonts w:ascii="Times New Roman" w:cs="Times New Roman" w:eastAsia="Times New Roman" w:hAnsi="Times New Roman"/>
                <w:sz w:val="24"/>
                <w:szCs w:val="24"/>
                <w:color w:val="auto"/>
                <w:vertAlign w:val="superscript"/>
              </w:rPr>
              <w:t>(4)</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68,831</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818,831</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Franz-Werner Haas, LLD, LLM </w:t>
            </w:r>
            <w:r>
              <w:rPr>
                <w:rFonts w:ascii="Times New Roman" w:cs="Times New Roman" w:eastAsia="Times New Roman" w:hAnsi="Times New Roman"/>
                <w:sz w:val="25"/>
                <w:szCs w:val="25"/>
                <w:color w:val="auto"/>
                <w:vertAlign w:val="superscript"/>
              </w:rPr>
              <w:t>(5)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59,043</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1,046,543</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Pierre Kemula, B.Sc</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355,250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654,175</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Antony Blanc, Ph.D. </w:t>
            </w:r>
            <w:r>
              <w:rPr>
                <w:rFonts w:ascii="Times New Roman" w:cs="Times New Roman" w:eastAsia="Times New Roman" w:hAnsi="Times New Roman"/>
                <w:sz w:val="25"/>
                <w:szCs w:val="25"/>
                <w:color w:val="auto"/>
                <w:vertAlign w:val="superscript"/>
              </w:rPr>
              <w:t>(6)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313,834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557,607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1,047,316</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Igor Splawski, Ph.D., MSc </w:t>
            </w:r>
            <w:r>
              <w:rPr>
                <w:rFonts w:ascii="Times New Roman" w:cs="Times New Roman" w:eastAsia="Times New Roman" w:hAnsi="Times New Roman"/>
                <w:sz w:val="25"/>
                <w:szCs w:val="25"/>
                <w:color w:val="auto"/>
                <w:vertAlign w:val="superscript"/>
              </w:rPr>
              <w:t>(7)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176,556</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573,115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839,474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Myriam Mendila, MD </w:t>
            </w:r>
            <w:r>
              <w:rPr>
                <w:rFonts w:ascii="Times New Roman" w:cs="Times New Roman" w:eastAsia="Times New Roman" w:hAnsi="Times New Roman"/>
                <w:sz w:val="25"/>
                <w:szCs w:val="25"/>
                <w:color w:val="auto"/>
                <w:vertAlign w:val="superscript"/>
              </w:rPr>
              <w:t>(8)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359,239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581,795</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Malte Greune Ph.D.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355,250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600,736</w:t>
            </w:r>
          </w:p>
        </w:tc>
        <w:tc>
          <w:tcPr>
            <w:tcW w:w="0" w:type="dxa"/>
            <w:vAlign w:val="bottom"/>
          </w:tcPr>
          <w:p>
            <w:pPr>
              <w:spacing w:after="0"/>
              <w:rPr>
                <w:sz w:val="1"/>
                <w:szCs w:val="1"/>
                <w:color w:val="auto"/>
              </w:rPr>
            </w:pPr>
          </w:p>
        </w:tc>
      </w:tr>
      <w:tr>
        <w:trPr>
          <w:trHeight w:val="355"/>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Senta Ulrike Gnad-Vogt MD </w:t>
            </w:r>
            <w:r>
              <w:rPr>
                <w:rFonts w:ascii="Times New Roman" w:cs="Times New Roman" w:eastAsia="Times New Roman" w:hAnsi="Times New Roman"/>
                <w:sz w:val="26"/>
                <w:szCs w:val="26"/>
                <w:color w:val="auto"/>
                <w:vertAlign w:val="superscript"/>
              </w:rPr>
              <w:t>(9)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22,312</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 w:lineRule="exact"/>
        <w:rPr>
          <w:sz w:val="20"/>
          <w:szCs w:val="20"/>
          <w:color w:val="auto"/>
        </w:rPr>
      </w:pPr>
    </w:p>
    <w:p>
      <w:pPr>
        <w:jc w:val="both"/>
        <w:ind w:left="340" w:right="200" w:hanging="332"/>
        <w:spacing w:after="0" w:line="255"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annual variable amount accrued in full in 2023 for the year 2023 based on a percentage of yearly gross remuneration for reaching certain targets agreed upon with the supervisory board, as described further below. These amounts may differ from actual amounts that will be paid in 2024 as the Compensation Committee assesses the performance of the management team.</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other monetary benefits and contributions to social security insurance, if any.</w:t>
      </w:r>
    </w:p>
    <w:p>
      <w:pPr>
        <w:spacing w:after="0" w:line="9" w:lineRule="exact"/>
        <w:rPr>
          <w:rFonts w:ascii="Times New Roman" w:cs="Times New Roman" w:eastAsia="Times New Roman" w:hAnsi="Times New Roman"/>
          <w:sz w:val="18"/>
          <w:szCs w:val="18"/>
          <w:color w:val="auto"/>
        </w:rPr>
      </w:pPr>
    </w:p>
    <w:p>
      <w:pPr>
        <w:ind w:left="340" w:right="40" w:hanging="332"/>
        <w:spacing w:after="0" w:line="250"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does not include the virtual shares, options or RSUs held by certain of the management board members, as described in the “Virtual Share Ownership of Managing Directors” table below.</w:t>
      </w:r>
    </w:p>
    <w:p>
      <w:pPr>
        <w:ind w:left="340" w:hanging="332"/>
        <w:spacing w:after="0"/>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Zehnder was formally appointed as a managing director of CureVac N.V. on March 28, 2023.</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Haas resigned as a managing director of CureVac N.V. on March 31, 2023.</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20" w:hanging="312"/>
        <w:spacing w:after="0"/>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Blanc resigned as a managing director of CureVac N.V. on November 30, 2023.</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Splawski resigned as a managing director of CureVac N.V. on July 14, 2023. Amounts in USD (Conv.rate 1,1058).</w:t>
      </w:r>
    </w:p>
    <w:p>
      <w:pPr>
        <w:spacing w:after="0" w:line="9" w:lineRule="exact"/>
        <w:rPr>
          <w:rFonts w:ascii="Times New Roman" w:cs="Times New Roman" w:eastAsia="Times New Roman" w:hAnsi="Times New Roman"/>
          <w:sz w:val="18"/>
          <w:szCs w:val="18"/>
          <w:color w:val="auto"/>
        </w:rPr>
      </w:pPr>
    </w:p>
    <w:p>
      <w:pPr>
        <w:ind w:left="320" w:right="700" w:hanging="312"/>
        <w:spacing w:after="0" w:line="250" w:lineRule="auto"/>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Mendila joined the executive team as Chief Development Officer on February 1, 2023. She was formally appointed as a managing director of CureVac N.V. on March 28, 2023.</w:t>
      </w:r>
    </w:p>
    <w:p>
      <w:pPr>
        <w:ind w:left="340" w:hanging="332"/>
        <w:spacing w:after="0"/>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Gnad-Vogt served as our interim Chief Development Officer from July 1, 2022 until January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Plan</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maintain and implement a management bonus plan for our managing directors. Under the management bonus plan, we provide a variable bonus payment as a component of management compensation that ranges from 50% to 55% of the individual’s annual base salary, depending on management level. We agree upon the respective individual target bonus amount with each employee on an individual contractual basis. The annual performance review is used to measure the achievement of objectives. The Supervisory Board finally decides on the goal achievement of the Managing Directors. The bonus payment is calculated based on the individual’s degree of target bonus achievement, which is then calculated as a percentage of annual base salary, and is generally paid out in March of the following year. The bonus is calculated on a pro rata basis if the individual joins or leaves CureVac during the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maintain a virtual share plan (the “Prior VSOP”) for members of the management board and the supervisory board. As of December 31, 2023, there are 5,603,155 virtual shares outstanding and no awards are available for issuance under the Prior VSOP. Ten percent (10%) of each award under the Prior VSOP became exercisable upon expiration of the 180-day lock-up period following the closing of CureVac’s IPO, which occurred on February 9, 2021. The exercise case “Liquidity after IPO” which relates to certain minimum trading volumes of the CureVac N.V. shares and liquidity levels being reached led to a second 10% portion of the (vested) virtual shares becoming exercisable on the first anniversary after the IPO on August 14, 2021, a third 10% portion of the (vested) virtual shares becoming exercisable on the second anniversary of the IPO on August 14, 2022 and a fourth 10% portion of the (vested) virtual shares becoming exercisable on the third anniversary of the IPO on August 14, 2023. The remaining portion of each award may be exercised (in whole or in part) upon the occurrence of certain defined triggering events, including, but not limited to, drug approval or the sale by a majority shareholder of 5% of our outstanding shares, in each case subject to the terms and conditions of the Prior VSOP. All rights under the Prior VSOP will terminate following the ninth calendar year of our listing on Nasdaq. The Prior VSOP was restructured upon the completion of our Corporate Reorganization. Following this restructuring, upon vesting of virtual shares, the holder will be able to exchange his or her virtual shares (in whole or in part) for cash or common shares of CureVac N.V. (instead of shares of CureVac SE) on a 1 to 133.0778 basis.</w:t>
      </w:r>
    </w:p>
    <w:p>
      <w:pPr>
        <w:spacing w:after="0" w:line="19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Due to the increase in value of CureVac prior to our Corporate Reorganization, we modified our incentive program to allow members of the supervisory board, management board and other employees to participate in the value-increased business based on CureVac’s valuation at the time of the Corporate Reorganization subject to the occurrence of certain enumerated exercise cases reflecting such value-increase (the “New VSOP”). Each virtual share awarded under the New VSOP tracked one underlying series A share of CureVac SE (formerly CureVac AG). The New VSOP provides a cash-claim against CureVac in the amount of the positive difference between the value of CureVac per virtual share at the grant date (as determined by CureVac when the New VSOP was established) and the value per virtual share at the time of exercise of such virtual share (such value to be derived from the valuation of CureVac in the relevant triggering event), subject to CureVac’s discretion to provide tradable shares against payment of the value of CureVac per virtual share at the grant date. Such awards provided under the New VSOP have a term of ten years from the date of grant and vest over four years, where 25% vest after the first anniversary of the individual’s hire date and the remainder vesting monthly. These virtual shares were assumed by CureVac N.V. upon the completion of our Corporate Reorganization, and were converted into options, exercisable for common shares of CureVac N.V. on a 1 to 133.0778 basis. Following this conversion, subject to the same vesting, exercise and expiration terms discussed above, these option awards are governed by the Plan (as defined below).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our initial public offering, we established the Long Term Incentive Plan “LTIP” (the “Plan”) pursuant to which we may grant options, restricted stock, restricted stock units, share appreciation rights and other equity and equity-based awards to our employees, managing directors and supervisory directors, consultants or other advisors. As of December 31, 2023, there are 7,391,361 awards outstanding and 26,206,940 shares remained available for issuance under the Plan. The maximum number of common shares underlying awards granted pursuant to the Plan, including the awards granted under the New VSOP and the common shares underlying outstanding awards under the Prior VSOP, will not exceed an equivalent of 15% of our issued share capital from time to time. The Plan is administered jointly by our management board, supervisory board and compensation committee. Awards under the Plan may be granted to our employees, managing directors and supervisory directors, consultants or other advisors. Awards under the Plan may be conditioned upon the achievement or satisfaction of certain performance criteria. The vesting conditions for awards under the Plan are determined by the Committee and will be set forth in the applicable award documentation. The Plan provides for special provisions for good leavers and bad leavers as well as for a change in control of CureVac N.V.</w:t>
      </w:r>
    </w:p>
    <w:p>
      <w:pPr>
        <w:spacing w:after="0" w:line="215" w:lineRule="exact"/>
        <w:rPr>
          <w:sz w:val="20"/>
          <w:szCs w:val="20"/>
          <w:color w:val="auto"/>
        </w:rPr>
      </w:pPr>
    </w:p>
    <w:p>
      <w:pPr>
        <w:ind w:right="8360" w:firstLine="8"/>
        <w:spacing w:after="0" w:line="530" w:lineRule="auto"/>
        <w:tabs>
          <w:tab w:leader="none" w:pos="337"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Board Practices Committees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audit committee consists of Michael Brosnan (as chairman), Craig A. Tooman and Klaus Schollmeier. The audit committee assists the supervisory board in overseeing our accounting and financial reporting processes and the audits of our financial statements. In addition, the audit committee is responsible for the appointment, compensation, retention and oversight of the work of our independent registered public accounting firm. Our supervisory board has determined that Michael Brosnan, Craig A. Tooman and Klaus Schollmeier satisfy the “independence” requirements set forth in Rule 10A-3 under the Exchange Act and qualifies as an “audit committee financial expert,” as such term is defined in the rules of the SEC. The composition of our audit committee is consistent with the best practice provisions of the DCGC.</w:t>
      </w:r>
    </w:p>
    <w:p>
      <w:pPr>
        <w:spacing w:after="0" w:line="18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is governed by a charter that complies with applicable Nasdaq rules, which charter has been posted on our website.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consists of Craig A. Tooman (as chairman), Michael Brosnan, Mathias Hothum and Viola Bronsema. The compensation committee assists the supervisory board in determining compensation for our management and supervisory board members.</w:t>
      </w:r>
    </w:p>
    <w:p>
      <w:pPr>
        <w:spacing w:after="0" w:line="176"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composition of our compensation committee deviates from the best practice provisions of the DCGC, because half of its members are not independent within the meaning of the DCGC because of their affiliation with dievini. Under SEC and Nasdaq rules, there are heightened independence standards for members of the Committee, including a prohibition against the receipt of any compensation from us other than standard director fees. As permitted by the listing requirements of Nasdaq, we opted out of Nasdaq Listing Rule 5605(d), which requires that a compensation committee consist entirely of independent supervisory directors.</w:t>
      </w:r>
    </w:p>
    <w:p>
      <w:pPr>
        <w:spacing w:after="0" w:line="183"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is governed by a charter that complies with applicable Nasdaq rules, which has been posted on our website.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Nomination and Corporate Governance Committee</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nomination and corporate governance committee consists of Craig Tooman (as chairman), Mathias Hothum, Michael Brosnan and Viola Bronsema. The nomination and corporate governance committee assists our supervisory board in identifying individuals qualified to become our managing directors or supervisory directors consistent with criteria established by us and in developing our code of business conduct and ethics. The composition of our nomination and corporate governance committee deviates from the best practice provisions of the DCGC, because more than half of its members are not independent within the meaning of the DCGC because of their affiliation with dievini or KfW. As permitted by the listing requirements of Nasdaq, we opted out of Nasdaq Listing Rule 5605(e), which requires independent director oversight of director nominations.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is governed by a charter that complies with applicable Nasdaq rules, which has been posted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Committee</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Resolutions of our supervisory board to approve a resolution of our management board to exclude or limit pre-emption rights (except in connection with the ordinary operation of our equity incentive plans), or to issue shares against non-cash contribution, require approval by a special committee consisting of one supervisory director nominated by dievini (or its legal successors or permitted assigns under the KfW dievini Shareholders’ Agreement, as defined below) (during the initial nomination period for dievini), one supervisory director nominated by KfW (or its legal successors or permitted assigns under the KfW dievini Shareholders’ Agreement) (during the initial nomination period for KfW) and, if applicable, one supervisory director nominated by a nomination concert. In this special committee, the affirmative votes of one supervisory director nominated by dievini (or its legal successors or permitted assigns under the KfW dievini Shareholders’ Agreement) (during the initial nomination period for dievini) and the supervisory director nominated by KfW (or its legal successors or permitted assigns under the KfW dievini Shareholders’ Agreement) (during the initial nomination period for KfW) are required. See “Item 16G. Corporate Governance — Duties of Managing and Supervisory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Agreements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Craig Tooman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With the approval of the supervisory board, we entered into a consulting agreement with Craig Tooman, a current member of our supervisory board in January 2023 (the “Tooman Consulting Agreement”), whereby Mr. Tooman agreed to provide consulting services and to advise on the strategic and operative planning of CureVac´s organization. The Tooman Consulting Agreement was concluded for a term of one year, payment of certain travel and out-of-pocket expenses in addition to his consulting fee and restrictive covenants (including covenants related to confidentiality and proprietary information).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Debra Barker</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With the approval of the supervisory board, we entered into a consulting agreement with Debra Barker, a current member of our supervisory board in January 2023 (the “Barker Consulting Agreement”), whereby Ms. Barker agreed to provide consulting services and to advise on the strategic and operative planning of the fast-track build-up of state-of-the-art oncology clinical pipeline. The Barker Consulting Agreement was concluded for a term of one year, payment of certain travel and out-of-pocket expenses in addition to her consulting fee and restrictive covenants (including covenants related to confidentiality and proprietary information).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Ralf Clemens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With the approval of the supervisory board, we entered into a consulting agreement with Dr. Clemens, a former member of our supervisory directors in March 2013 (the “Clemens Consulting Agreement”), whereby Dr. Clemens agreed to provide consulting services and agreed to act as a member of our scientific advisory board for an indefinite period. The Clemens Consulting Agreement provides for a notice of termination period of four weeks, payment of certain travel and out-of-pocket expenses in addition to his consulting fee and restrictive covenants (including covenants related to confidentiality and proprietary information). In addition, we entered with the approval of the supervisory board into a consulting agreement with GRID EUROPE in June 2023 (the “GRID Consulting Agreement”). The consulting services were provided by Dr. Clemens. The Grid Consulting Agreement included the information of the Scientific Committee of the Supervisory Board on latest mRNA based clinical activities and global policies. The Grid Consulting Agreement was concluded for a term of six months, payment of certain travel and out-of-pocket expenses in addition to his consulting fee and restrictive covenants (including covenants related to confidentiality and proprietary information).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Management Board Service Contracts</w:t>
      </w:r>
    </w:p>
    <w:p>
      <w:pPr>
        <w:spacing w:after="0" w:line="229" w:lineRule="exact"/>
        <w:rPr>
          <w:sz w:val="20"/>
          <w:szCs w:val="20"/>
          <w:color w:val="auto"/>
        </w:rPr>
      </w:pPr>
    </w:p>
    <w:p>
      <w:pPr>
        <w:ind w:right="260" w:firstLine="324"/>
        <w:spacing w:after="0" w:line="254" w:lineRule="auto"/>
        <w:rPr>
          <w:sz w:val="20"/>
          <w:szCs w:val="20"/>
          <w:color w:val="auto"/>
        </w:rPr>
      </w:pPr>
      <w:r>
        <w:rPr>
          <w:rFonts w:ascii="Times New Roman" w:cs="Times New Roman" w:eastAsia="Times New Roman" w:hAnsi="Times New Roman"/>
          <w:sz w:val="18"/>
          <w:szCs w:val="18"/>
          <w:color w:val="auto"/>
        </w:rPr>
        <w:t>We entered into management board service agreements (the “Management Contracts”) with the following current or former managing directors: Dr. Gnad-Vogt, Dr. Haas, Mr. Kemula, Dr. Splawski, Dr. Greune, Dr. Blanc, Dr. Mendila and Dr. Zehnder. The Management Contracts generally provide for an initial term of three years, a 12-month notice period thereafter, a base salary, certain administrative allowances, an annual variable payment expressed as a percentage of annual base salary that is dependent on the achievement of certain objectives agreed to by the supervisory board and a severance payment upon termination of the Management Contracts. The supervisory board is entitled to grant managing directors additional compensation at its discretion. The managing directors are also eligible to participate in a virtual stock plan or equivalent plan that is established in a manner substantially similar to other of the executive officers.</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Management Contracts provide for the following restrictive covenants: (i) a non-compete during employment and for 12 months after termination; (ii) a non-solicit of employees during employment and for two years after termination; and (iii) a perpetual confidentiality covenant. Under the Management Contracts, we are obligated to pay the managing directors compensation for the duration of their post-employment non-compete period in monthly installments that are equal to half of the total compensation they received prior to their termination.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 with Senta Ulrike Gnad-Vogt</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entered into an employment contract with Dr. Gnad-Vogt in July 2011, as amended in September 2019, (the “Gnad-Vogt Employment Contract”), whereby Dr. Gnad-Vogt is employed for an indefinite period of time. The Gnad-Vogt Employment Contract provides for a notice of termination period of six months, which can be initiated in writing by either party, and restrictive covenants, including non-compete and non-solicitation covenants and a covenant related to confidentiality. Dr. Gnad-Vogt resigned as our interim chief development officer on July 31, 2021. Dr. Gnad-Vogt also served as our interim Chief Development Officer from July 1, 2022 until January 31, 2023.</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 with Franz-Werner Haas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entered into an addendum to the employment contract with Franz-Werner Haas in April 2022 (the “Haas Addendum”) pursuant to which Dr. Haas agreed to extend his service on the management board until March 31, 2023. Under Dr. Haas’s addendum, we awarded him 36,000 RSUs under the Plan on April 1, 2022, which vested immediately and became exercisable on or after January 1, 2023. The Haas Addendum also provides that Dr. Haas be entitled to the reimbursement of certain costs. On March 31, 2023, Dr. Haas stepped down as CureVac’s Chief Executive Officer.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 with Pierre Kemula</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entered into an addendum to the employment contract with Pierre Kemula in April 2022 (the “Kemula Addendum”) pursuant to which Mr. Kemula agreed to an indefinite extension of his service on the management board, subject to a notice period of 9 months, but in any case not before October 4, 2024. The Kemula Addendum also provides that Mr. Kemula be entitled to the reimbursement of certain administrative costs.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 with Igor Splawski</w:t>
      </w:r>
    </w:p>
    <w:p>
      <w:pPr>
        <w:spacing w:after="0" w:line="221" w:lineRule="exact"/>
        <w:rPr>
          <w:sz w:val="20"/>
          <w:szCs w:val="20"/>
          <w:color w:val="auto"/>
        </w:rPr>
      </w:pPr>
    </w:p>
    <w:p>
      <w:pPr>
        <w:ind w:right="20" w:firstLine="324"/>
        <w:spacing w:after="0" w:line="217" w:lineRule="auto"/>
        <w:rPr>
          <w:sz w:val="20"/>
          <w:szCs w:val="20"/>
          <w:color w:val="auto"/>
        </w:rPr>
      </w:pPr>
      <w:r>
        <w:rPr>
          <w:rFonts w:ascii="Times New Roman" w:cs="Times New Roman" w:eastAsia="Times New Roman" w:hAnsi="Times New Roman"/>
          <w:sz w:val="18"/>
          <w:szCs w:val="18"/>
          <w:color w:val="auto"/>
        </w:rPr>
        <w:t>We entered into an addendum to the employment contract with Igor Splawski in April 2022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Splawski Addendum”) pursuant to which Dr. Splawski is entitled to the reimbursement of certain administrative costs.</w:t>
      </w:r>
    </w:p>
    <w:p>
      <w:pPr>
        <w:spacing w:after="0" w:line="191" w:lineRule="exact"/>
        <w:rPr>
          <w:sz w:val="20"/>
          <w:szCs w:val="20"/>
          <w:color w:val="auto"/>
        </w:rPr>
      </w:pPr>
    </w:p>
    <w:p>
      <w:pPr>
        <w:ind w:right="340" w:firstLine="324"/>
        <w:spacing w:after="0" w:line="217" w:lineRule="auto"/>
        <w:rPr>
          <w:sz w:val="20"/>
          <w:szCs w:val="20"/>
          <w:color w:val="auto"/>
        </w:rPr>
      </w:pPr>
      <w:r>
        <w:rPr>
          <w:rFonts w:ascii="Times New Roman" w:cs="Times New Roman" w:eastAsia="Times New Roman" w:hAnsi="Times New Roman"/>
          <w:sz w:val="18"/>
          <w:szCs w:val="18"/>
          <w:color w:val="auto"/>
        </w:rPr>
        <w:t>We entered into another addendum to the employment contract with Igor Splawski in July 2022 (the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Splawski Addendum”) pursuant to which Dr. Splawksi agreed to relocate his place of work to the U.S.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July 14, 2023, Dr. Splawski stepped down as CureVac’s Chief Scientific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 with Malte Greune</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entered into an addendum to the employment contract with Malte Greune in April 2022 (the “Greune Addendum”) pursuant to which Dr. Greune agreed to an indefinite extension of his service on the management board, subject to a notice period of 12 months, but in any case not before July 31, 2024. The Greune Addendum also provides that Dr. Greune be entitled to the reimbursement of certain administrative costs.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 with Antony Blanc</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entered into an addendum to the employment contract with Antony Blanc in April 2022 (the “Blanc Addendum”) pursuant to which Dr. Blanc agreed to an indefinite extension of his service on the management board, subject to a notice period of 12 months, but in any case not before November 30, 2023. The Blanc Addendum also provides that Dr. Blanc be entitled to the reimbursement of certain administrative costs. Dr. Blanc stepped down as CureVac’s Chief Business Officer on November 30,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 with Myriam Mendila</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We entered into an employment contract with Myriam Mendila in June 2022 (the “Mendila Employment Contract”), pursuant to which Dr. Mendila agreed to serve on the management board with an indefinite term, subject to a notice period of 12 months. The Mendila Employment Contract also provides that Dr. Mendila be entitled to the reimbursement of certain administrative costs.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Contact with Alexander Zehnder</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entered into a future service agreement with Alexander Zehnder on January 6, 2023, and Dr. Zehnder became our CEO on April 1, 2023. On February 28, 2023, we entered into an addendum to the future service agreement with Dr. Zehnder (the “Zehnder addendum”) pursuant to which Dr. Zehnder agreed to an earlier start date into his new role already as of March 1, 2023.</w:t>
      </w:r>
    </w:p>
    <w:p>
      <w:pPr>
        <w:spacing w:after="0" w:line="1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tab/>
        <w:t>Employees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2023, we employed 1,172 total employees worldwide, 999 of whom were full-time, 294 of whom hold Ph.D. or M.D. degrees, 466 of whom were engaged directly or indirectly in production, 523 of whom were engaged in research and development activities, 48 of whom were engaged in clinical and regulatory activities, 15 of whom were engaged in marketing and sales activities, and 120 of whom were engaged in management, business development or marketing, finance, human resources or administrative support. Of our 1,172 total employees, 1,129 work in Germany, 13 work in Belgium, 22 work in the Netherlands and 8 work in the United States. We are not subject to collective bargaining agreements or similar labor contracts and have a workers’ council established since November 2021.</w:t>
      </w:r>
    </w:p>
    <w:p>
      <w:pPr>
        <w:spacing w:after="0" w:line="212"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Share Ownership of Supervisory Directors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share ownership of our supervisory directors as of March 15,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gridSpan w:val="2"/>
            <w:vMerge w:val="continue"/>
          </w:tcPr>
          <w:p>
            <w:pPr>
              <w:spacing w:after="0"/>
              <w:rPr>
                <w:sz w:val="12"/>
                <w:szCs w:val="12"/>
                <w:color w:val="auto"/>
              </w:rPr>
            </w:pPr>
          </w:p>
        </w:tc>
        <w:tc>
          <w:tcPr>
            <w:tcW w:w="130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Voting Rights</w:t>
            </w:r>
          </w:p>
        </w:tc>
        <w:tc>
          <w:tcPr>
            <w:tcW w:w="0" w:type="dxa"/>
            <w:vAlign w:val="bottom"/>
          </w:tcPr>
          <w:p>
            <w:pPr>
              <w:spacing w:after="0"/>
              <w:rPr>
                <w:sz w:val="1"/>
                <w:szCs w:val="1"/>
                <w:color w:val="auto"/>
              </w:rPr>
            </w:pPr>
          </w:p>
        </w:tc>
      </w:tr>
      <w:tr>
        <w:trPr>
          <w:trHeight w:val="173"/>
        </w:trPr>
        <w:tc>
          <w:tcPr>
            <w:tcW w:w="6240" w:type="dxa"/>
            <w:vAlign w:val="bottom"/>
            <w:gridSpan w:val="3"/>
            <w:vMerge w:val="continue"/>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 Jean Stéphenne, MSc, MBA</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Mathias Hothum, Ph.D.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106,349</w:t>
            </w:r>
          </w:p>
        </w:tc>
        <w:tc>
          <w:tcPr>
            <w:tcW w:w="1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106,349</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A. Tooman, MBA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Viola Bronsema, Ph.D.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Debra Barker, MD.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16"/>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Klaus Schollmeier, Ph.D.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80" w:type="dxa"/>
            <w:vAlign w:val="bottom"/>
          </w:tcPr>
          <w:p>
            <w:pPr>
              <w:spacing w:after="0"/>
              <w:rPr>
                <w:sz w:val="18"/>
                <w:szCs w:val="18"/>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0" w:type="dxa"/>
            <w:vAlign w:val="bottom"/>
          </w:tcPr>
          <w:p>
            <w:pPr>
              <w:spacing w:after="0"/>
              <w:rPr>
                <w:sz w:val="1"/>
                <w:szCs w:val="1"/>
                <w:color w:val="auto"/>
              </w:rPr>
            </w:pPr>
          </w:p>
        </w:tc>
      </w:tr>
      <w:tr>
        <w:trPr>
          <w:trHeight w:val="216"/>
        </w:trPr>
        <w:tc>
          <w:tcPr>
            <w:tcW w:w="62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Michael Brosnan BSc. </w:t>
            </w:r>
            <w:r>
              <w:rPr>
                <w:rFonts w:ascii="Times New Roman" w:cs="Times New Roman" w:eastAsia="Times New Roman" w:hAnsi="Times New Roman"/>
                <w:sz w:val="25"/>
                <w:szCs w:val="25"/>
                <w:color w:val="auto"/>
                <w:vertAlign w:val="superscript"/>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Mr. Brosnan joined the Supervisory Board of CureVac on June 19, 2023.</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Ownership of Supervisory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restricted stock unit (RSU) ownership of our supervisory directors as of March 15,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21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260" w:type="dxa"/>
            <w:vAlign w:val="bottom"/>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Vesting Date</w:t>
            </w: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 Jean Stéphenne</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6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CureVac LTIP 2022 RSUs</w:t>
            </w:r>
          </w:p>
        </w:tc>
        <w:tc>
          <w:tcPr>
            <w:tcW w:w="16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 31, 2024</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Baron Jean Stéphenne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160" w:type="dxa"/>
            <w:vAlign w:val="bottom"/>
          </w:tcPr>
          <w:p>
            <w:pPr>
              <w:spacing w:after="0"/>
              <w:rPr>
                <w:sz w:val="18"/>
                <w:szCs w:val="18"/>
                <w:color w:val="auto"/>
              </w:rPr>
            </w:pP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CureVac LTIP 2023 RSUs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on Dec 31, 2024 &amp; 1/2 on Dec 31, 2025</w:t>
            </w: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Mathias Hothum, Ph.D.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CureVac LTIP 2022 RSUs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 31, 2024</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Mathias Hothum, Ph.D.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60" w:type="dxa"/>
            <w:vAlign w:val="bottom"/>
          </w:tcPr>
          <w:p>
            <w:pPr>
              <w:spacing w:after="0"/>
              <w:rPr>
                <w:sz w:val="18"/>
                <w:szCs w:val="18"/>
                <w:color w:val="auto"/>
              </w:rPr>
            </w:pP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CureVac LTIP 2023 RSUs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on Dec 31, 2024 &amp; 1/2 on Dec 31, 2025</w:t>
            </w: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A. Tooman, MBA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CureVac LTIP 2022 RSUs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 31, 2024</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A. Tooman, MBA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60" w:type="dxa"/>
            <w:vAlign w:val="bottom"/>
          </w:tcPr>
          <w:p>
            <w:pPr>
              <w:spacing w:after="0"/>
              <w:rPr>
                <w:sz w:val="18"/>
                <w:szCs w:val="18"/>
                <w:color w:val="auto"/>
              </w:rPr>
            </w:pP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CureVac LTIP 2023 RSUs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on Dec 31, 2024 &amp; 1/2 on Dec 31, 2025</w:t>
            </w: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Viola Bronsema, Ph.D.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Debra Barker, MD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60" w:type="dxa"/>
            <w:vAlign w:val="bottom"/>
          </w:tcPr>
          <w:p>
            <w:pPr>
              <w:spacing w:after="0"/>
              <w:rPr>
                <w:sz w:val="18"/>
                <w:szCs w:val="18"/>
                <w:color w:val="auto"/>
              </w:rPr>
            </w:pP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CureVac LTIP 2022 RSUs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on Dec 31, 2024</w:t>
            </w: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Debra Barker, MD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1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CureVac LTIP 2023 RSUs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on Dec 31, 2024 &amp; 1/2 on Dec 31, 2025</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Klaus Schollmeier, Ph.D.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60" w:type="dxa"/>
            <w:vAlign w:val="bottom"/>
          </w:tcPr>
          <w:p>
            <w:pPr>
              <w:spacing w:after="0"/>
              <w:rPr>
                <w:sz w:val="18"/>
                <w:szCs w:val="18"/>
                <w:color w:val="auto"/>
              </w:rPr>
            </w:pP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CureVac LTIP 2022 RSUs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 31, 2024</w:t>
            </w: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Klaus Schollmeier, Ph.D.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CureVac LTIP 2023 RSUs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on Dec 31, 2024 &amp; 1/2 on Dec 31, 2025</w:t>
            </w:r>
          </w:p>
        </w:tc>
      </w:tr>
      <w:tr>
        <w:trPr>
          <w:trHeight w:val="355"/>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Brosnan BSc.</w:t>
            </w:r>
            <w:r>
              <w:rPr>
                <w:rFonts w:ascii="Times New Roman" w:cs="Times New Roman" w:eastAsia="Times New Roman" w:hAnsi="Times New Roman"/>
                <w:sz w:val="26"/>
                <w:szCs w:val="26"/>
                <w:color w:val="auto"/>
                <w:vertAlign w:val="superscript"/>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60" w:type="dxa"/>
            <w:vAlign w:val="bottom"/>
          </w:tcPr>
          <w:p>
            <w:pPr>
              <w:spacing w:after="0"/>
              <w:rPr>
                <w:sz w:val="24"/>
                <w:szCs w:val="24"/>
                <w:color w:val="auto"/>
              </w:rPr>
            </w:pPr>
          </w:p>
        </w:tc>
        <w:tc>
          <w:tcPr>
            <w:tcW w:w="2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CureVac LTIP 2023 RSUs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on Dec 31, 2024 &amp; 1/2 on Dec 31,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Mr. Brosnan joined the Supervisory Board of CureVac on June 19, 2023.</w:t>
      </w:r>
    </w:p>
    <w:p>
      <w:pPr>
        <w:spacing w:after="0" w:line="22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RSU awards which have vested and have been delivered as shares are not included in the table above. The RSUs included in the table above which have not yet vested or been settled (delivered as shares) are not included in the fully diluted shares outstanding.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Ownership of Managing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share ownership of our managing directors as of March 15,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80" w:type="dxa"/>
            <w:vAlign w:val="bottom"/>
            <w:gridSpan w:val="2"/>
            <w:vMerge w:val="continue"/>
          </w:tcPr>
          <w:p>
            <w:pPr>
              <w:spacing w:after="0"/>
              <w:rPr>
                <w:sz w:val="12"/>
                <w:szCs w:val="12"/>
                <w:color w:val="auto"/>
              </w:rPr>
            </w:pPr>
          </w:p>
        </w:tc>
        <w:tc>
          <w:tcPr>
            <w:tcW w:w="144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Voting Rights</w:t>
            </w:r>
          </w:p>
        </w:tc>
        <w:tc>
          <w:tcPr>
            <w:tcW w:w="0" w:type="dxa"/>
            <w:vAlign w:val="bottom"/>
          </w:tcPr>
          <w:p>
            <w:pPr>
              <w:spacing w:after="0"/>
              <w:rPr>
                <w:sz w:val="1"/>
                <w:szCs w:val="1"/>
                <w:color w:val="auto"/>
              </w:rPr>
            </w:pPr>
          </w:p>
        </w:tc>
      </w:tr>
      <w:tr>
        <w:trPr>
          <w:trHeight w:val="173"/>
        </w:trPr>
        <w:tc>
          <w:tcPr>
            <w:tcW w:w="5860" w:type="dxa"/>
            <w:vAlign w:val="bottom"/>
            <w:gridSpan w:val="2"/>
            <w:vMerge w:val="continue"/>
          </w:tcPr>
          <w:p>
            <w:pPr>
              <w:spacing w:after="0"/>
              <w:rPr>
                <w:sz w:val="15"/>
                <w:szCs w:val="15"/>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0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Alexander Zehnder, MD, MBA </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Pierre Kemula, B.Sc</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79,013</w:t>
            </w: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79,013</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Myriam Mendila, MD </w:t>
            </w:r>
            <w:r>
              <w:rPr>
                <w:rFonts w:ascii="Times New Roman" w:cs="Times New Roman" w:eastAsia="Times New Roman" w:hAnsi="Times New Roman"/>
                <w:sz w:val="25"/>
                <w:szCs w:val="25"/>
                <w:color w:val="auto"/>
                <w:vertAlign w:val="superscript"/>
              </w:rPr>
              <w:t>(2)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0" w:type="dxa"/>
            <w:vAlign w:val="bottom"/>
          </w:tcPr>
          <w:p>
            <w:pPr>
              <w:spacing w:after="0"/>
              <w:rPr>
                <w:sz w:val="1"/>
                <w:szCs w:val="1"/>
                <w:color w:val="auto"/>
              </w:rPr>
            </w:pPr>
          </w:p>
        </w:tc>
      </w:tr>
      <w:tr>
        <w:trPr>
          <w:trHeight w:val="23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Malte Greune, Ph.D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180" w:type="dxa"/>
            <w:vAlign w:val="bottom"/>
          </w:tcPr>
          <w:p>
            <w:pPr>
              <w:spacing w:after="0"/>
              <w:rPr>
                <w:sz w:val="20"/>
                <w:szCs w:val="20"/>
                <w:color w:val="auto"/>
              </w:rPr>
            </w:pPr>
          </w:p>
        </w:tc>
        <w:tc>
          <w:tcPr>
            <w:tcW w:w="14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Zehnder was formally appointed as a managing director of CureVac N.V. on March 28, 2023.</w:t>
      </w:r>
    </w:p>
    <w:p>
      <w:pPr>
        <w:spacing w:after="0" w:line="27" w:lineRule="exact"/>
        <w:rPr>
          <w:rFonts w:ascii="Times New Roman" w:cs="Times New Roman" w:eastAsia="Times New Roman" w:hAnsi="Times New Roman"/>
          <w:sz w:val="18"/>
          <w:szCs w:val="18"/>
          <w:color w:val="auto"/>
        </w:rPr>
      </w:pPr>
    </w:p>
    <w:p>
      <w:pPr>
        <w:ind w:left="320" w:right="700" w:hanging="312"/>
        <w:spacing w:after="0" w:line="260" w:lineRule="auto"/>
        <w:tabs>
          <w:tab w:leader="none" w:pos="3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Mendila joined the executive team as Chief Development Officer on February 1, 2023. She was formally appointed as a managing director of CureVac N.V. on March 28, 2023.</w:t>
      </w:r>
    </w:p>
    <w:p>
      <w:pPr>
        <w:spacing w:after="0" w:line="17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Option Ownership of Managing Directors</w:t>
      </w:r>
    </w:p>
    <w:p>
      <w:pPr>
        <w:spacing w:after="0" w:line="22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option ownership of our managing directors as of March 15,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vMerge w:val="continue"/>
          </w:tcPr>
          <w:p>
            <w:pPr>
              <w:spacing w:after="0"/>
              <w:rPr>
                <w:sz w:val="12"/>
                <w:szCs w:val="12"/>
                <w:color w:val="auto"/>
              </w:rPr>
            </w:pPr>
          </w:p>
        </w:tc>
        <w:tc>
          <w:tcPr>
            <w:tcW w:w="21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4740" w:type="dxa"/>
            <w:vAlign w:val="bottom"/>
            <w:gridSpan w:val="3"/>
            <w:vMerge w:val="continue"/>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100" w:type="dxa"/>
            <w:vAlign w:val="bottom"/>
            <w:gridSpan w:val="2"/>
            <w:vMerge w:val="continue"/>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USD)</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Alexander Zehnder </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144,379</w:t>
            </w:r>
          </w:p>
        </w:tc>
        <w:tc>
          <w:tcPr>
            <w:tcW w:w="1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LTIP Option Award 2023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 2033</w:t>
            </w: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Pierre Kemula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18"/>
                <w:szCs w:val="18"/>
                <w:color w:val="auto"/>
              </w:rPr>
            </w:pP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LTIP Option Award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 2032</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Myriam Mendila </w:t>
            </w:r>
            <w:r>
              <w:rPr>
                <w:rFonts w:ascii="Times New Roman" w:cs="Times New Roman" w:eastAsia="Times New Roman" w:hAnsi="Times New Roman"/>
                <w:sz w:val="25"/>
                <w:szCs w:val="25"/>
                <w:color w:val="auto"/>
                <w:vertAlign w:val="superscript"/>
              </w:rPr>
              <w:t>(2)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Malte Greune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18"/>
                <w:szCs w:val="18"/>
                <w:color w:val="auto"/>
              </w:rPr>
            </w:pP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LTIP Option Award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 2025</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LTIP Option Award 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 2032</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Zehnder was formally appointed as a managing director of CureVac N.V. on March 28, 2023.</w:t>
      </w:r>
    </w:p>
    <w:p>
      <w:pPr>
        <w:spacing w:after="0" w:line="27" w:lineRule="exact"/>
        <w:rPr>
          <w:rFonts w:ascii="Times New Roman" w:cs="Times New Roman" w:eastAsia="Times New Roman" w:hAnsi="Times New Roman"/>
          <w:sz w:val="18"/>
          <w:szCs w:val="18"/>
          <w:color w:val="auto"/>
        </w:rPr>
      </w:pPr>
    </w:p>
    <w:p>
      <w:pPr>
        <w:ind w:left="320" w:right="700" w:hanging="312"/>
        <w:spacing w:after="0" w:line="260" w:lineRule="auto"/>
        <w:tabs>
          <w:tab w:leader="none" w:pos="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Mendila joined the executive team as Chief Development Officer on February 1, 2023. She was formally appointed as a managing director of CureVac N.V. on March 28, 2023.</w:t>
      </w:r>
    </w:p>
    <w:p>
      <w:pPr>
        <w:sectPr>
          <w:pgSz w:w="11900" w:h="16838" w:orient="portrait"/>
          <w:cols w:equalWidth="0" w:num="1">
            <w:col w:w="9920"/>
          </w:cols>
          <w:pgMar w:left="980" w:top="661" w:right="99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Ownership of Managing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restricted stock unit (RSU) ownership of our managing directors as of March 15,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460" w:type="dxa"/>
            <w:vAlign w:val="bottom"/>
          </w:tcPr>
          <w:p>
            <w:pPr>
              <w:jc w:val="right"/>
              <w:ind w:right="1252"/>
              <w:spacing w:after="0"/>
              <w:rPr>
                <w:sz w:val="20"/>
                <w:szCs w:val="20"/>
                <w:color w:val="auto"/>
              </w:rPr>
            </w:pPr>
            <w:r>
              <w:rPr>
                <w:rFonts w:ascii="Times New Roman" w:cs="Times New Roman" w:eastAsia="Times New Roman" w:hAnsi="Times New Roman"/>
                <w:sz w:val="14"/>
                <w:szCs w:val="14"/>
                <w:b w:val="1"/>
                <w:bCs w:val="1"/>
                <w:color w:val="auto"/>
              </w:rPr>
              <w:t>Vesting Date</w:t>
            </w:r>
          </w:p>
        </w:tc>
      </w:tr>
      <w:tr>
        <w:trPr>
          <w:trHeight w:val="191"/>
        </w:trPr>
        <w:tc>
          <w:tcPr>
            <w:tcW w:w="30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6"/>
                <w:szCs w:val="16"/>
                <w:color w:val="auto"/>
              </w:rPr>
              <w:t xml:space="preserve">Alexander Zehnder </w:t>
            </w:r>
            <w:r>
              <w:rPr>
                <w:rFonts w:ascii="Times New Roman" w:cs="Times New Roman" w:eastAsia="Times New Roman" w:hAnsi="Times New Roman"/>
                <w:sz w:val="22"/>
                <w:szCs w:val="22"/>
                <w:color w:val="auto"/>
                <w:vertAlign w:val="superscript"/>
              </w:rPr>
              <w:t>(1)</w:t>
            </w:r>
          </w:p>
        </w:tc>
        <w:tc>
          <w:tcPr>
            <w:tcW w:w="2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CureVac LTIP</w:t>
            </w:r>
          </w:p>
        </w:tc>
        <w:tc>
          <w:tcPr>
            <w:tcW w:w="180" w:type="dxa"/>
            <w:vAlign w:val="bottom"/>
            <w:tcBorders>
              <w:top w:val="single" w:sz="8" w:color="CCEEFF"/>
            </w:tcBorders>
            <w:shd w:val="clear" w:color="auto" w:fill="CCEEFF"/>
          </w:tcPr>
          <w:p>
            <w:pPr>
              <w:spacing w:after="0"/>
              <w:rPr>
                <w:sz w:val="16"/>
                <w:szCs w:val="16"/>
                <w:color w:val="auto"/>
              </w:rPr>
            </w:pPr>
          </w:p>
        </w:tc>
        <w:tc>
          <w:tcPr>
            <w:tcW w:w="3460" w:type="dxa"/>
            <w:vAlign w:val="bottom"/>
            <w:tcBorders>
              <w:top w:val="single" w:sz="8" w:color="auto"/>
            </w:tcBorders>
            <w:shd w:val="clear" w:color="auto" w:fill="CCEEFF"/>
          </w:tcPr>
          <w:p>
            <w:pPr>
              <w:spacing w:after="0"/>
              <w:rPr>
                <w:sz w:val="16"/>
                <w:szCs w:val="16"/>
                <w:color w:val="auto"/>
              </w:rPr>
            </w:pPr>
          </w:p>
        </w:tc>
      </w:tr>
      <w:tr>
        <w:trPr>
          <w:trHeight w:val="234"/>
        </w:trPr>
        <w:tc>
          <w:tcPr>
            <w:tcW w:w="3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22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2023 RSUs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on Dec 31, 2024 &amp; 1/2 on Dec 31, 2025</w:t>
            </w:r>
          </w:p>
        </w:tc>
      </w:tr>
      <w:tr>
        <w:trPr>
          <w:trHeight w:val="198"/>
        </w:trPr>
        <w:tc>
          <w:tcPr>
            <w:tcW w:w="3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Pierre Kemula</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7"/>
              </w:rPr>
              <w:t>CureVac LTIP</w:t>
            </w:r>
          </w:p>
        </w:tc>
        <w:tc>
          <w:tcPr>
            <w:tcW w:w="3460" w:type="dxa"/>
            <w:vAlign w:val="bottom"/>
          </w:tcPr>
          <w:p>
            <w:pPr>
              <w:spacing w:after="0"/>
              <w:rPr>
                <w:sz w:val="17"/>
                <w:szCs w:val="17"/>
                <w:color w:val="auto"/>
              </w:rPr>
            </w:pPr>
          </w:p>
        </w:tc>
      </w:t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20" w:type="dxa"/>
            <w:vAlign w:val="bottom"/>
          </w:tcPr>
          <w:p>
            <w:pPr>
              <w:spacing w:after="0"/>
              <w:rPr>
                <w:sz w:val="20"/>
                <w:szCs w:val="20"/>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2022 RSUs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 31, 2024</w:t>
            </w:r>
          </w:p>
        </w:tc>
      </w:tr>
      <w:tr>
        <w:trPr>
          <w:trHeight w:val="198"/>
        </w:trPr>
        <w:tc>
          <w:tcPr>
            <w:tcW w:w="3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7"/>
              </w:rPr>
              <w:t>CureVac LTIP</w:t>
            </w:r>
          </w:p>
        </w:tc>
        <w:tc>
          <w:tcPr>
            <w:tcW w:w="346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19,063</w:t>
            </w:r>
          </w:p>
        </w:tc>
        <w:tc>
          <w:tcPr>
            <w:tcW w:w="22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2023 RSUs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on Dec 31, 2024 &amp; 1/2 on Dec 31, 2025</w:t>
            </w:r>
          </w:p>
        </w:tc>
      </w:tr>
      <w:tr>
        <w:trPr>
          <w:trHeight w:val="198"/>
        </w:trPr>
        <w:tc>
          <w:tcPr>
            <w:tcW w:w="3200" w:type="dxa"/>
            <w:vAlign w:val="bottom"/>
            <w:gridSpan w:val="2"/>
          </w:tcPr>
          <w:p>
            <w:pPr>
              <w:spacing w:after="0" w:line="198" w:lineRule="exact"/>
              <w:rPr>
                <w:sz w:val="20"/>
                <w:szCs w:val="20"/>
                <w:color w:val="auto"/>
              </w:rPr>
            </w:pPr>
            <w:r>
              <w:rPr>
                <w:rFonts w:ascii="Times New Roman" w:cs="Times New Roman" w:eastAsia="Times New Roman" w:hAnsi="Times New Roman"/>
                <w:sz w:val="16"/>
                <w:szCs w:val="16"/>
                <w:color w:val="auto"/>
              </w:rPr>
              <w:t xml:space="preserve">Myriam Mendila </w:t>
            </w:r>
            <w:r>
              <w:rPr>
                <w:rFonts w:ascii="Times New Roman" w:cs="Times New Roman" w:eastAsia="Times New Roman" w:hAnsi="Times New Roman"/>
                <w:sz w:val="22"/>
                <w:szCs w:val="22"/>
                <w:color w:val="auto"/>
                <w:vertAlign w:val="superscript"/>
              </w:rPr>
              <w:t>(2)</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7"/>
              </w:rPr>
              <w:t>CureVac LTIP</w:t>
            </w:r>
          </w:p>
        </w:tc>
        <w:tc>
          <w:tcPr>
            <w:tcW w:w="3460" w:type="dxa"/>
            <w:vAlign w:val="bottom"/>
          </w:tcPr>
          <w:p>
            <w:pPr>
              <w:spacing w:after="0"/>
              <w:rPr>
                <w:sz w:val="17"/>
                <w:szCs w:val="17"/>
                <w:color w:val="auto"/>
              </w:rPr>
            </w:pPr>
          </w:p>
        </w:tc>
      </w:t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220" w:type="dxa"/>
            <w:vAlign w:val="bottom"/>
          </w:tcPr>
          <w:p>
            <w:pPr>
              <w:spacing w:after="0"/>
              <w:rPr>
                <w:sz w:val="20"/>
                <w:szCs w:val="20"/>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2023 RSUs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on Dec 31, 2024 &amp; 1/2 on Dec 31, 2025</w:t>
            </w:r>
          </w:p>
        </w:tc>
      </w:tr>
      <w:tr>
        <w:trPr>
          <w:trHeight w:val="198"/>
        </w:trPr>
        <w:tc>
          <w:tcPr>
            <w:tcW w:w="3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Malte Greune</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7"/>
              </w:rPr>
              <w:t>CureVac LTIP</w:t>
            </w:r>
          </w:p>
        </w:tc>
        <w:tc>
          <w:tcPr>
            <w:tcW w:w="346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2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2022 RSUs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 31, 2024</w:t>
            </w:r>
          </w:p>
        </w:tc>
      </w:tr>
      <w:tr>
        <w:trPr>
          <w:trHeight w:val="198"/>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7"/>
              </w:rPr>
              <w:t>CureVac LTIP</w:t>
            </w:r>
          </w:p>
        </w:tc>
        <w:tc>
          <w:tcPr>
            <w:tcW w:w="3460" w:type="dxa"/>
            <w:vAlign w:val="bottom"/>
          </w:tcPr>
          <w:p>
            <w:pPr>
              <w:spacing w:after="0"/>
              <w:rPr>
                <w:sz w:val="17"/>
                <w:szCs w:val="17"/>
                <w:color w:val="auto"/>
              </w:rPr>
            </w:pPr>
          </w:p>
        </w:tc>
      </w:tr>
      <w:tr>
        <w:trPr>
          <w:trHeight w:val="216"/>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supplemental RSUs -</w:t>
            </w:r>
          </w:p>
        </w:tc>
        <w:tc>
          <w:tcPr>
            <w:tcW w:w="34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with performance</w:t>
            </w:r>
          </w:p>
        </w:tc>
        <w:tc>
          <w:tcPr>
            <w:tcW w:w="346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20"/>
                <w:szCs w:val="20"/>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criteria</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on Dec 31, 2022 &amp; 1/2 on Dec 31, 2023</w:t>
            </w:r>
          </w:p>
        </w:tc>
      </w:tr>
      <w:tr>
        <w:trPr>
          <w:trHeight w:val="198"/>
        </w:trPr>
        <w:tc>
          <w:tcPr>
            <w:tcW w:w="3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7"/>
              </w:rPr>
              <w:t>CureVac LTIP</w:t>
            </w:r>
          </w:p>
        </w:tc>
        <w:tc>
          <w:tcPr>
            <w:tcW w:w="346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19,063</w:t>
            </w:r>
          </w:p>
        </w:tc>
        <w:tc>
          <w:tcPr>
            <w:tcW w:w="22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2023 RSUs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on Dec 31, 2024 &amp; 1/2 on Dec 31, 2025</w:t>
            </w:r>
          </w:p>
        </w:tc>
      </w:tr>
      <w:tr>
        <w:trPr>
          <w:trHeight w:val="198"/>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7"/>
              </w:rPr>
              <w:t>CureVac LTIP</w:t>
            </w:r>
          </w:p>
        </w:tc>
        <w:tc>
          <w:tcPr>
            <w:tcW w:w="3460" w:type="dxa"/>
            <w:vAlign w:val="bottom"/>
          </w:tcPr>
          <w:p>
            <w:pPr>
              <w:spacing w:after="0"/>
              <w:rPr>
                <w:sz w:val="17"/>
                <w:szCs w:val="17"/>
                <w:color w:val="auto"/>
              </w:rPr>
            </w:pPr>
          </w:p>
        </w:tc>
      </w:tr>
      <w:tr>
        <w:trPr>
          <w:trHeight w:val="216"/>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supplemental RSUs -</w:t>
            </w:r>
          </w:p>
        </w:tc>
        <w:tc>
          <w:tcPr>
            <w:tcW w:w="34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without performance</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on Dec 31, 2023,1/3 on Dec 31, 2024 &amp;</w:t>
            </w:r>
          </w:p>
        </w:tc>
      </w:t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20"/>
                <w:szCs w:val="20"/>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criteria</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on Dec 31,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8" w:lineRule="exact"/>
        <w:rPr>
          <w:sz w:val="20"/>
          <w:szCs w:val="20"/>
          <w:color w:val="auto"/>
        </w:rPr>
      </w:pPr>
    </w:p>
    <w:p>
      <w:pPr>
        <w:ind w:left="320" w:hanging="312"/>
        <w:spacing w:after="0"/>
        <w:tabs>
          <w:tab w:leader="none" w:pos="3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Zehnder was formally appointed as a managing director of CureVac N.V. on March 28, 2023.</w:t>
      </w:r>
    </w:p>
    <w:p>
      <w:pPr>
        <w:spacing w:after="0" w:line="27" w:lineRule="exact"/>
        <w:rPr>
          <w:rFonts w:ascii="Times New Roman" w:cs="Times New Roman" w:eastAsia="Times New Roman" w:hAnsi="Times New Roman"/>
          <w:sz w:val="18"/>
          <w:szCs w:val="18"/>
          <w:color w:val="auto"/>
        </w:rPr>
      </w:pPr>
    </w:p>
    <w:p>
      <w:pPr>
        <w:ind w:left="340" w:right="680" w:hanging="332"/>
        <w:spacing w:after="0" w:line="260"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Mendila joined the executive team as Chief Development Officer on February 1, 2023. She was formally appointed as a managing director of CureVac N.V. on March 28, 2023.</w:t>
      </w:r>
    </w:p>
    <w:p>
      <w:pPr>
        <w:spacing w:after="0" w:line="181"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Please note: RSU awards which have vested and have been delivered as shares are not included in the table above. The RSUs included in the table above which have not yet vested or been settled (delivered as shares) are not included in the fully diluted shares outstanding.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Virtual Share, or VS, Ownership of Management Board Members from VSOP Programs as of March 15,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Start of</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9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VS Points</w:t>
            </w:r>
          </w:p>
        </w:tc>
        <w:tc>
          <w:tcPr>
            <w:tcW w:w="8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840" w:type="dxa"/>
            <w:vAlign w:val="bottom"/>
            <w:gridSpan w:val="2"/>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(Only for New</w:t>
            </w: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Allocation</w:t>
            </w:r>
          </w:p>
        </w:tc>
        <w:tc>
          <w:tcPr>
            <w:tcW w:w="62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VSOP Plan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Valid until</w:t>
            </w:r>
          </w:p>
        </w:tc>
        <w:tc>
          <w:tcPr>
            <w:tcW w:w="0" w:type="dxa"/>
            <w:vAlign w:val="bottom"/>
          </w:tcPr>
          <w:p>
            <w:pPr>
              <w:spacing w:after="0"/>
              <w:rPr>
                <w:sz w:val="1"/>
                <w:szCs w:val="1"/>
                <w:color w:val="auto"/>
              </w:rPr>
            </w:pPr>
          </w:p>
        </w:tc>
      </w:tr>
      <w:tr>
        <w:trPr>
          <w:trHeight w:val="173"/>
        </w:trPr>
        <w:tc>
          <w:tcPr>
            <w:tcW w:w="286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Points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Participants)</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Letter)</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4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Pierre Kemula</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VS</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465,779</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465,779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01.10.2016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18.04.2019</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Prior VSOP</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 13, 2029</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3220" w:hanging="332"/>
        <w:spacing w:after="0" w:line="537" w:lineRule="auto"/>
        <w:tabs>
          <w:tab w:leader="none" w:pos="289"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52"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information relating to the beneficial ownership of our common shares as of March 15, 2024 by:</w:t>
      </w:r>
    </w:p>
    <w:p>
      <w:pPr>
        <w:spacing w:after="0" w:line="225" w:lineRule="exact"/>
        <w:rPr>
          <w:rFonts w:ascii="Times New Roman" w:cs="Times New Roman" w:eastAsia="Times New Roman" w:hAnsi="Times New Roman"/>
          <w:sz w:val="18"/>
          <w:szCs w:val="18"/>
          <w:b w:val="1"/>
          <w:bCs w:val="1"/>
          <w:color w:val="auto"/>
        </w:rPr>
      </w:pPr>
    </w:p>
    <w:p>
      <w:pPr>
        <w:ind w:left="680" w:hanging="321"/>
        <w:spacing w:after="0"/>
        <w:tabs>
          <w:tab w:leader="none" w:pos="6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own beneficially 5% or more of our outstanding common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managing director and supervisory director;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managing directors and supervisory directors as a group.</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number of common shares beneficially owned by each entity, person, supervisory director or managing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March 15, 2024, through the exercise of any option, warrant or other right. Except as otherwise indicated, and subject to applicable community property laws, the persons named in the table have sole voting and investment power with respect to all common shares held by that person. The table is based on information supplied by our managing directors and supervisory directors and by Schedules 13D and Schedules 13G, if any, filed with the SEC.</w:t>
      </w:r>
    </w:p>
    <w:p>
      <w:pPr>
        <w:spacing w:after="0" w:line="1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percentage of outstanding common shares is computed on the basis of 224,305,680 common shares outstanding as of March 15, 2024. Common shares that a person has the right to acquire within 60 days of March 15, 2024 are also deemed outstanding for purposes of computing the percentage ownership of the person holding such rights, but are not deemed outstanding for purposes of computing the percentage ownership of any other person, except with respect to the percentage ownership of all members of the supervisory board and management board as a group. Unless otherwise indicated below, the address for each beneficial owner is CureVac SE, Friedrich-Miescher-Strasse 15, 72076 Tübingen, Germany.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29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2"/>
        </w:trPr>
        <w:tc>
          <w:tcPr>
            <w:tcW w:w="7020" w:type="dxa"/>
            <w:vAlign w:val="bottom"/>
            <w:gridSpan w:val="3"/>
            <w:vMerge w:val="continue"/>
          </w:tcPr>
          <w:p>
            <w:pPr>
              <w:spacing w:after="0"/>
              <w:rPr>
                <w:sz w:val="12"/>
                <w:szCs w:val="12"/>
                <w:color w:val="auto"/>
              </w:rPr>
            </w:pPr>
          </w:p>
        </w:tc>
        <w:tc>
          <w:tcPr>
            <w:tcW w:w="124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Dietmar Hopp</w:t>
            </w:r>
            <w:r>
              <w:rPr>
                <w:rFonts w:ascii="Times New Roman" w:cs="Times New Roman" w:eastAsia="Times New Roman" w:hAnsi="Times New Roman"/>
                <w:sz w:val="25"/>
                <w:szCs w:val="25"/>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83,880,935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Kreditanstalt für Wiederaufbau</w:t>
            </w:r>
            <w:r>
              <w:rPr>
                <w:rFonts w:ascii="Times New Roman" w:cs="Times New Roman" w:eastAsia="Times New Roman" w:hAnsi="Times New Roman"/>
                <w:sz w:val="25"/>
                <w:szCs w:val="25"/>
                <w:color w:val="auto"/>
                <w:vertAlign w:val="superscript"/>
              </w:rPr>
              <w:t>(2)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29,871,441</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Glaxo Group Limited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16,591,937</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Managing Directors: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Zehnder, Ph.D.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Pierre Kemula, BSc.</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79,013</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Myriam Mendila, MD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Malte Greune, Ph.D.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Supervisory Directors: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Mathias Hothum, Ph.D.</w:t>
            </w:r>
            <w:r>
              <w:rPr>
                <w:rFonts w:ascii="Times New Roman" w:cs="Times New Roman" w:eastAsia="Times New Roman" w:hAnsi="Times New Roman"/>
                <w:sz w:val="25"/>
                <w:szCs w:val="25"/>
                <w:color w:val="auto"/>
                <w:vertAlign w:val="superscript"/>
              </w:rPr>
              <w:t>(4)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70,288,109</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Baron Jean Stephenne, MSc, MBA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16,758</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Brosnan, BSc.</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Debra Barker, MD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Viola Bronsema, MD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Klaus Schollmeier, Ph.D.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A. Tooman, MBA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Managing Directors and Supervisory Directors as a Group:</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70,475,339</w:t>
            </w:r>
          </w:p>
        </w:tc>
        <w:tc>
          <w:tcPr>
            <w:tcW w:w="2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156845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8"/>
          <w:szCs w:val="18"/>
          <w:color w:val="auto"/>
        </w:rPr>
        <w:t>Represents beneficial ownership of less than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0" w:hanging="332"/>
        <w:spacing w:after="0" w:line="251"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13D filed with the SEC on February 24, 2023 by dievini Hopp BioTech holding GmbH &amp; Co. KG (“dievini”), DH-LT-Investments GmbH (“DH-LT-Investments”), DH-Capital GmbH &amp; Co. KG (“DH-Capital”), OH Beteiligungen GmbH &amp; Co. KG (“OH Beteiligungen”), Dietmar Hopp, Oliver Hopp, Daniel Hopp, DHFS II Holding GmbH &amp; Co. KG (“DHFS II Holding”) and Zweite DH Verwaltungs GmbH (“Zweite DH”). dievini is the record holder of 70,181,760 shares and DH-LT Investments is the record holder of 10,102,286 shares. Mr. Hopp is the record holder of 158,700 shares and is the sole shareholder of a company that is the record holder of 33,517 shares. Zweite DH is the record holder of 3,404,672 shares. DH-Capital and OH Beteiligungen, are collectively the holders of 100% of the limited partner interest in dievini. DH-Capital and OH Beteiligungen each hold a 50% limited partner interest in dievini and therefore, control the voting and dispositive decisions of dievini together and may be deemed to beneficially own the shares held by dievini. Dietmar Hopp, Daniel Hopp and Oliver Hopp are the ultimate controlling persons of dievini, DH-Capital and OH Beteiligungen, and control the voting and investment decisions of the ultimate parent company of dievini and therefore, may be deemed to beneficially own the shares held by dievini by virtue of their status as controlling persons of dievini. The sole general partner of dievini with the authorization to represent are dievini Verwaltungs GmbH and Dr. Hothum; however, 100% of the shares of dievini Verwaltungs GmbH are held by dievini so dievini Verwaltungs GmbH is not considered to have control over dievini. The managing directors of dievini Verwaltungs GmbH are Dietmar Hopp and Dr. Hothum. Voting and dispositive decisions made within dievini Verwaltungs GmbH regarding the securities held by dievini are made by at least two managing directors acting together; however, Dietmar Hopp is entitled to represent dievini Verwaltungs GmbH solely. Therefore, in their capacity as managing directors, Dietmar Hopp and Dr. Hothum share voting and dispositive power over the shares held by dievini, and may be deemed to beneficially own such shares held by dievini; however, each of Dietmar Hopp and Dr. Hothum disclaims beneficial ownership of the shares held by dievini except to the extent of their pecuniary interests therein. The address for dievini, DH-LT Investments and Dietmar Hopp is c/o dievini Hopp BioTech holding GmbH &amp; Co. KG, Johann-Jakob-Astor Str. 57, 69190 Walldorf, Germany, the address for DH-Capital and OH Beteilungen is Heidelberger Straße 43, 69168 Wiesloch, Germany, the address for Oliver Hopp, Daniel Hopp, DHFS II Holding and Zweite DH is Johann-Jakob-Astor Straße 57, 69190 Walldorf, Germany.</w:t>
      </w:r>
    </w:p>
    <w:p>
      <w:pPr>
        <w:spacing w:after="0" w:line="7" w:lineRule="exact"/>
        <w:rPr>
          <w:rFonts w:ascii="Times New Roman" w:cs="Times New Roman" w:eastAsia="Times New Roman" w:hAnsi="Times New Roman"/>
          <w:sz w:val="18"/>
          <w:szCs w:val="18"/>
          <w:color w:val="auto"/>
        </w:rPr>
      </w:pPr>
    </w:p>
    <w:p>
      <w:pPr>
        <w:ind w:left="340" w:right="220" w:hanging="332"/>
        <w:spacing w:after="0" w:line="250"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the amount of 672,875 shares which was delivered to the Company to fulfil dievini’s prior VSOP obligation end of March 2024. As of March 31, 2024 the amount has to be reduced by 672,875.</w:t>
      </w:r>
    </w:p>
    <w:p>
      <w:pPr>
        <w:ind w:left="340" w:right="100" w:hanging="332"/>
        <w:spacing w:after="0" w:line="250"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13D filed with the SEC on February 24, 2023 by KfW, or Kreditanstalt für Wiederaufbau, an institution (Anstalt des öffentlichen Rechts) organized under public law of the Federal Republic of Germany. The Federal Republic of Germany holds 80% of KfW’s subscribed capital, and the German federal states (Länder) hold the remaining 20%. The address for KfW is Palmengartenstrasse 5-9, 60325 Frankfurt am Main, Germany.</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70,181,760 shares held by dievini Hopp BioTech holding GmbH &amp; Co. KG that may also be deemed beneficially owned by Dr. Mathias Hothum, 95,504 shares held by MH-LT-Investments GmbH and 10,845 shares held by Dr. Mathias Hothum.</w:t>
      </w:r>
    </w:p>
    <w:p>
      <w:pPr>
        <w:spacing w:after="0" w:line="14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Each of our shareholders is entitled to one vote per common share. None of the holders of our shares will have different voting rights from other holders of shares. We are not aware of any arrangement that may, at a subsequent date, result in a change of control of our company.</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number of our shares are held in book-entry form, we are not aware of the identity of all of our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related party transactions we have entered into since January 1, 2021, with any of our management and supervisory directors and the holders of more than 5% of our common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dievini Hopp BioTech holding GmbH &amp; Co. KG, Walldorf</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dievini holds the majority of our capital stock and is the controlling shareholder. Molecular Health GmbH, or Molecular Health, is a subsidiary of dievini. In December 2017, we concluded a contract with Molecular Health, according to which Molecular Health provides services in conjunction with the Modeling of the biological and clinical effects of Toll-like receptor 7 and 8 agonists in cancer and immune cells. In fiscal years 2021, 2022 and 2023, payments to Molecular Health with respect to research and development amounted to €0. In 2023 a total of EUR 1k (2022: EUR 58k) was paid to dievini Hopp BioTech Holding GmbH &amp; Co. KG as a reimbursement of travel cost.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Loans with Mr. Hopp</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entered into a convertible loan agreement on May 3, 2019 with Mr. Dietmar Hopp, managing director of dievini, under which Mr. Hopp disbursed to us the amount of EUR 50,000k, or Convertible Loan I. On October 24, 2019, we entered into an additional convertible loan agreement with Mr. Hopp, as amended, under which we have the right to call for disbursements in two tranches of EUR 20,000k and a final tranche of €23,927k, until December 31, 2021, or Convertible Loan II, and together with Convertible Loan I, or the Convertible Loans. The Convertible Loans bear an interest rate of 8.00% per annum. We repaid the Convertible Loans on August 7, 2020, and as of December 31, 2020, no Convertible Loans were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Immatics Biotechnologies GmbH</w:t>
      </w:r>
    </w:p>
    <w:p>
      <w:pPr>
        <w:spacing w:after="0" w:line="229" w:lineRule="exact"/>
        <w:rPr>
          <w:sz w:val="20"/>
          <w:szCs w:val="20"/>
          <w:color w:val="auto"/>
        </w:rPr>
      </w:pPr>
    </w:p>
    <w:p>
      <w:pPr>
        <w:jc w:val="both"/>
        <w:ind w:right="120" w:firstLine="324"/>
        <w:spacing w:after="0" w:line="230" w:lineRule="auto"/>
        <w:rPr>
          <w:sz w:val="20"/>
          <w:szCs w:val="20"/>
          <w:color w:val="auto"/>
        </w:rPr>
      </w:pPr>
      <w:r>
        <w:rPr>
          <w:rFonts w:ascii="Times New Roman" w:cs="Times New Roman" w:eastAsia="Times New Roman" w:hAnsi="Times New Roman"/>
          <w:sz w:val="18"/>
          <w:szCs w:val="18"/>
          <w:color w:val="auto"/>
        </w:rPr>
        <w:t>In August 2023, a purchase agreement between CureVac Manufacturing GmbH and Immatics Biotechnologies GmbH was entered into. CureVac purchased technical equipment of containers which CureVac will use as a facility in the future. dievini held 16,7% of the shares in Immatics N.V. (Immatics) as of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2023 per the Form 20-F of Immatics filed in March 2024. CureVac paid EUR 178k under this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BePharBel Manufacturing S.A.</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December 2020, CureVac Manufacturing GmbH (formerly CureVac Real Estate GmbH) and BePharBel Manufacturing S.A., entered into a commercial supply agreement to develop and manufacture the diluent that was expected to be used to dilute the Group’s first concentrated COVID-19 vaccine candidate, CVnCoV. Pursuant to the terms of the agreement, it was intended that BePharBel Manufacturing would manufacture and deliver to CureVac Manufacturing GmbH a low seven figure amount of commercial batches of diluent per year, in 2021 and 2022. Following the withdrawal of the CVnCoV in October 2021, CureVac Manufacturing GmbH terminated the commercial and supply agreement with BePharBel and entered into negotiations on a structured and rapid wind-down of the ordered production. The Parties agreed on a settlement in May 2022 of all claims resulting from the commercial and supply agreement for an amount of EUR 3,900k. In total an amount of EUR 4,016k was paid. Baron Jean Stéphenne, our supervisory board member, holds directly and indirectly 15.61% of BePharBel Manufacturing’s equity and is a director of BePharBel Manufacturing, and Baron Jean Stéphenne’s son, Vincent Stéphenne, holds 1.43% of BePharBel Manufacturing’s equity and is a managing director of BePharBel Manufacturing.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Rittershaus law firm, Mannheim</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A consulting agreement dated December 15, 2005, was in place for an indefinite term with the law firm Rittershaus Rechtsanwälte Partnerschaftsgesellschaft mbB, Mannheim (Rittershaus). The agreement was replaced by a new consulting agreement dated January 1, 2015.</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agreement can be terminated without notice by us and with notice of three months to the end of the quarter by Rittershaus. In fiscal years 2021, 2022 and 2023, consulting fees of EUR 757k, EUR 518k and EUR 212k were paid to Rittershaus, respectively. Prof. Dr. Christof Hettich, who was one of the managing directors of dievini until June 2022, is a partner of Rittershaus.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Ingmar Hörr</w:t>
      </w:r>
    </w:p>
    <w:p>
      <w:pPr>
        <w:spacing w:after="0" w:line="229"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In June 2018, an advisory agreement was implemented between Dr. Ingmar Hoerr and CureVac. Dr. Hoerr received EUR 0k, EUR 0k and EUR 0k for consulting services in fiscal years 2021, 2022 and 2023, respectively. The advisory agreement with Dr. Ingmar Hoerr was terminated in March 2020. Due to the exercise of the Prior VSOP award in December 2022, CureVac had a receivable position of EUR 573k as per year-end 2022 for the income tax and social security liability. CureVac has received the money in February 2023.</w:t>
      </w: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Antony Blanc</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July 2020, a consulting agreement was implemented between CureVac AG (currently CureVac SE) and Clarentis SRL, which is wholly owned by Antony Blanc, our chief business officer. The consulting agreement was further amended in September 2020. The consulting agreement was terminated in February 2021 upon Antony Blanc’s appointment as our chief business officer. The consulting agreement provided for payments that were contingent upon the achievement of certain milestones. Clarentis SRL received EUR 150k and EUR100k in fiscal years 2020 and 2021, respectively. In addition to his Management Board position at CureVac NV, Antony Blanc also took over the role as Management Director at CureVac Belgium SA. He executes this function by using Clarentis SRL. As it relates to these services in 2023, CureVac paid EUR 85k in 2023 (2022: EUR 69k, 2021: EUR 0k). The amounts invoiced for these function/services are offset/deducted from his base compensation for his function on the Board of Management of CureVac N.V. As Antony Blanc has left the company as of November 30, 2023, CureVac and Antony Blanc signed a settlement agreement as of September 26, 2023. Under this agreement CureVac incurred cost of EUR 107k for Clarentis SRL entity in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Mariola Fotin-Mleczek</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Due to the exercise of the Prior VSOP award in December 2022, CureVac had a receivable position of EUR 131k as per year-end for the income tax and social security liability. CureVac has received the money in February 2023.</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2022, a consulting agreement between CureVac N.V. and Mariola Fotin-Mleczek was made. In 2022 and 2023, a total of EUR 20k and EUR 2k were paid,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Florian von der Mülbe</w:t>
      </w:r>
    </w:p>
    <w:p>
      <w:pPr>
        <w:spacing w:after="0" w:line="18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Due to the exercise of the Prior VSOP award in December 2022, CureVac had a receivable position of EUR 559k as per year-end 2022 for the income tax and social security liability. CureVac has received the money in February 2023.</w:t>
      </w:r>
    </w:p>
    <w:p>
      <w:pPr>
        <w:spacing w:after="0" w:line="121"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Consulting agreements between CureVac Printer GmbH and Florian von der Mülbe related to the years 2022 to 2024 have been executed. In 2023 CureVac paid EUR 146k under such agreement related to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Franz-Werner Haas</w:t>
      </w:r>
    </w:p>
    <w:p>
      <w:pPr>
        <w:spacing w:after="0" w:line="189" w:lineRule="exact"/>
        <w:rPr>
          <w:sz w:val="20"/>
          <w:szCs w:val="20"/>
          <w:color w:val="auto"/>
        </w:rPr>
      </w:pPr>
    </w:p>
    <w:p>
      <w:pPr>
        <w:ind w:right="100" w:firstLine="324"/>
        <w:spacing w:after="0" w:line="312" w:lineRule="auto"/>
        <w:rPr>
          <w:sz w:val="20"/>
          <w:szCs w:val="20"/>
          <w:color w:val="auto"/>
        </w:rPr>
      </w:pPr>
      <w:r>
        <w:rPr>
          <w:rFonts w:ascii="Times New Roman" w:cs="Times New Roman" w:eastAsia="Times New Roman" w:hAnsi="Times New Roman"/>
          <w:sz w:val="17"/>
          <w:szCs w:val="17"/>
          <w:color w:val="auto"/>
        </w:rPr>
        <w:t>In Q1 2023, a consulting agreement between CureVac SE and Franz-Werner Haas was executed. In 2023 CureVac paid EUR 65k under this agreement. The payment was partially compensated by Franz-Werner Haas taking over his former company car for EUR 40k.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Alexander Zehnder</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Q1 2023, a first addendum to the future service agreement was entered into to ensure a smooth transition from CEO Franz-Werner Haas to the new CEO Alexander Zehnder. Total compensation amounted to EUR 51k during the month of March.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Barker BioMedical GmbH</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Q1 2023, a consulting agreement between CureVac SE and Barker BioMedical GmbH was executed. Barker BioMedical GmBH is a wholly owned consulting company of Debra Barker, Supervisory Board member of CureVac N.V. In 2023 CureVac paid EUR 14k under this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Craig Tooman</w:t>
      </w:r>
    </w:p>
    <w:p>
      <w:pPr>
        <w:spacing w:after="0" w:line="18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Q1 2023, a consulting agreement between CureVac SE and Craig Tooman was executed. In 2023, CureVac paid EUR 5k under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Ralf Clemens</w:t>
      </w:r>
    </w:p>
    <w:p>
      <w:pPr>
        <w:spacing w:after="0" w:line="20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Q3 2023, a consulting agreement between CureVac N.V. and GRID EUROPE was executed. GRID EUROPE is a wholly owned consulting company of Ralf Clemens, who was a member of the supervisory board up to September 30, 2023. CureVac incurred EUR 23k under this agreement in 2023.</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Private Investment</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July 17, 2020, we entered into a binding agreement with KfW, Glaxo Group Limited, or GSK, QIA and other investors, pursuant to which we agreed to issue new Series B shares in CureVac AG (currently CureVac SE), representing approximately 36% of the shares in CureVac SE in exchange for an aggregate investment of €560 million.</w:t>
      </w:r>
    </w:p>
    <w:p>
      <w:pPr>
        <w:spacing w:after="0" w:line="13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According to the mandate of KfW by the Federal Republic of Germany pursuant to and in accordance with Article 2 paragraph 4 of the KfW Law (</w:t>
      </w:r>
      <w:r>
        <w:rPr>
          <w:rFonts w:ascii="Times New Roman" w:cs="Times New Roman" w:eastAsia="Times New Roman" w:hAnsi="Times New Roman"/>
          <w:sz w:val="18"/>
          <w:szCs w:val="18"/>
          <w:i w:val="1"/>
          <w:iCs w:val="1"/>
          <w:color w:val="auto"/>
        </w:rPr>
        <w:t>Zuweisungsgeschäft</w:t>
      </w:r>
      <w:r>
        <w:rPr>
          <w:rFonts w:ascii="Times New Roman" w:cs="Times New Roman" w:eastAsia="Times New Roman" w:hAnsi="Times New Roman"/>
          <w:sz w:val="18"/>
          <w:szCs w:val="18"/>
          <w:color w:val="auto"/>
        </w:rPr>
        <w:t>) KfW, acquired approximately 19% shareholding in CureVac AG (currently CureVac SE), for an aggregate investment of €300 million. In addition, GSK acquired approximately a 9% shareholding in CureVac SE for an investment of €150 million and QIA acquired approximately 4% shareholding in CureVac SE for an investment of €60 million. We refer to the investment of KfW as the KfW Investment and to the investment by GSK as the GSK Investment. In addition, the other several shareholders purchased an aggregate 3% shareholding in CureVac SE for an aggregate investment of €50 million. As part of our Corporate Reorganization, outstanding shares of all series in CureVac SE have been exchanged for common shares in CureVac B.V., which subsequently were converted into shares of CureVac N.V.</w:t>
      </w:r>
    </w:p>
    <w:p>
      <w:pPr>
        <w:spacing w:after="0" w:line="16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part of the 2020 Private Investment those investors who have subscribed for our Series A, B and C shares, or the pre-IPO shareholders, became parties to an Investment and Shareholders’ Agreement, as amended, pursuant to which certain of our pre-IPO shareholders holding at least 10% of our shares have entered into a Registration Right Agreement, as further described below. In addition, KfW has become a party to a Relationship Agreement and entered into a separate Shareholders’ Agreement with dievini and Mr. Hopp as further described below. As part of the GSK Investment, we also entered into a collaboration agreement with GSK pursuant to which we are collaborating with GSK to research, develop and commercialize prophylactic and therapeutic non-replicating mRNA-based vaccines and antibodies targeting infectious disease pathogens. For further information regarding our collaboration agreement with GSK please refer to “Item 4. Information on the Company —  B. Business Overview — Collaborations.”</w:t>
      </w:r>
    </w:p>
    <w:p>
      <w:pPr>
        <w:spacing w:after="0" w:line="15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are obligated to use the funds raised in the 2020 Private Investment solely to fund the (i) development of our proprietary pipeline, including earlier stage assets currently in preclinical development, (ii) research and development activities to expand our mRNA platform technology, in particular with respect to our vaccine candidate against SARS-CoV-2 and other infectious diseases and (iii) manufacturing capacities for mRNA-based drug product candidates and future approved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 among KfW, dievini, DH-LT Investments GmbH and Mr. Hopp</w:t>
      </w:r>
    </w:p>
    <w:p>
      <w:pPr>
        <w:spacing w:after="0" w:line="229"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KfW Investment, KfW, dievini and Mr. Hopp entered into a shareholders’ agreement on June 16, 2020, or the KfW dievini Shareholders’ Agreement, agreeing to certain transfer restrictions and rights of first refusal relating to their interests in our company, nomination rights as provided elsewhere in this Annual Report, and a voting agreement relating to certain specified actions. In particular, dievini and Mr. Hopp agree to vote a specified number of their shares as directed by KfW on certain specified actions, subject to certain exceptions. These specified actions include,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(1) transferring the tax domicile of CureVac N.V. and/or the approval of the transfer of the corporate or administrative seat of CureVac AG (currently CureVac SE); (2) relocating or ceasing activities in specified areas to a state outside the European Union to the extent (in particular in the area of the development of vaccines) material for the protection of the health of the population of the European Union; (3) entering into material mergers and acquisitions; and</w:t>
      </w:r>
    </w:p>
    <w:p>
      <w:pPr>
        <w:ind w:firstLine="8"/>
        <w:spacing w:after="0" w:line="251" w:lineRule="auto"/>
        <w:tabs>
          <w:tab w:leader="none" w:pos="2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articles of association of CureVac AG (currently CureVac SE) which would affect the foregoing matters. Under the terms of KfW dievini Shareholders’ Agreement, Mr. Hopp agreed to purchase an aggregate of €100 million of our common shares in a private placement that took place with our initial public offering, in August 2020, at a price per share equal to our initial public offering price concurrently. Mr. Hopp effected this purchase through DH-LT-Investments GmbH, an affiliated entity. In connection with such concurrent private placement DH-LT-Investments GmbH has become a party to the KfW dievini Shareholders’ Agreement. The KfW dievini Shareholders’ Agreement has been extended to December 31, 2024. The Shareholders’ Agreement may be terminated after December 31, 2024, by either party subject to six months’ notice prior the end of the applicable calendar year. In addition, the Shareholders’ Agreement shall automatically terminate if KfW sells all or a part of its interest in the Issuer to a third party, subject to certain exceptions.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and Shareholders’ Agreement</w:t>
      </w:r>
    </w:p>
    <w:p>
      <w:pPr>
        <w:spacing w:after="0" w:line="229"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We and our pre-IPO shareholders, entered into an investment and shareholders’ agreement July 17, 2020, or the ISA. The ISA provides for certain particular shareholders’ rights and also envisages restrictions on the shareholders party thereto, including the obligation to enter into a registration rights agreement, restrictions on transfer, as well as certain tag-along rights, drag-along rights, demand rights, rights of first offer and rights of first refusal.</w:t>
      </w:r>
    </w:p>
    <w:p>
      <w:pPr>
        <w:sectPr>
          <w:pgSz w:w="11900" w:h="16838" w:orient="portrait"/>
          <w:cols w:equalWidth="0" w:num="1">
            <w:col w:w="9880"/>
          </w:cols>
          <w:pgMar w:left="980" w:top="661" w:right="103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Upon the listing of our shares on Nasdaq, only certain limited provisions of the ISA survived the Corporate Reorganization. Pursuant to such surviving provisions, we and/or our pre-IPO shareholders are subject to certain obligations, as listed below.</w:t>
      </w:r>
    </w:p>
    <w:p>
      <w:pPr>
        <w:spacing w:after="0" w:line="162" w:lineRule="exact"/>
        <w:rPr>
          <w:sz w:val="20"/>
          <w:szCs w:val="20"/>
          <w:color w:val="auto"/>
        </w:rPr>
      </w:pPr>
    </w:p>
    <w:p>
      <w:pPr>
        <w:ind w:left="680" w:right="60" w:hanging="321"/>
        <w:spacing w:after="0" w:line="253" w:lineRule="auto"/>
        <w:tabs>
          <w:tab w:leader="none" w:pos="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prepare and provide KfW our interim financials not later than 30 days after the end of each quarter. In addition, not later than 30 days prior to the start of each fiscal year we agreed to prepare and provide KfW our operating plans that shall include certain projections regarding our financials, our business plan relating to the succeeding fiscal year including our development plans, financial and investment plans, budgeted and projected figures and other information and forecasts. Our supervisory board needs to approve the planning by a simple majority vote. In addition, subject to certain limitations, the member of our supervisory board designated (</w:t>
      </w:r>
      <w:r>
        <w:rPr>
          <w:rFonts w:ascii="Times New Roman" w:cs="Times New Roman" w:eastAsia="Times New Roman" w:hAnsi="Times New Roman"/>
          <w:sz w:val="18"/>
          <w:szCs w:val="18"/>
          <w:i w:val="1"/>
          <w:iCs w:val="1"/>
          <w:color w:val="auto"/>
        </w:rPr>
        <w:t>nominiert</w:t>
      </w:r>
      <w:r>
        <w:rPr>
          <w:rFonts w:ascii="Times New Roman" w:cs="Times New Roman" w:eastAsia="Times New Roman" w:hAnsi="Times New Roman"/>
          <w:sz w:val="18"/>
          <w:szCs w:val="18"/>
          <w:color w:val="auto"/>
        </w:rPr>
        <w:t>) by KfW shall, to the extent not prohibited by any mandatory law and/or Nasdaq rules, be entitled to pass on and discuss any information received in his or her capacity as a member of the supervisory board with KfW and certain governmental agencies and offices of the federal government of the federal republic of Germany, however, restricted to the extent required for KfW and any of the aforementioned institutions to comply with their respective obligations. We are obligated to also provide to KfW upon its request such information that is reasonably requested by KfW for the management and the controlling of KfW’s shareholding in us in order for KfW and certain other institutions as of the Federal Republic of Germany to comply with their respective obligations;</w:t>
      </w:r>
    </w:p>
    <w:p>
      <w:pPr>
        <w:spacing w:after="0" w:line="66" w:lineRule="exact"/>
        <w:rPr>
          <w:rFonts w:ascii="Times New Roman" w:cs="Times New Roman" w:eastAsia="Times New Roman" w:hAnsi="Times New Roman"/>
          <w:sz w:val="18"/>
          <w:szCs w:val="18"/>
          <w:color w:val="auto"/>
        </w:rPr>
      </w:pPr>
    </w:p>
    <w:p>
      <w:pPr>
        <w:ind w:left="680" w:right="40" w:hanging="321"/>
        <w:spacing w:after="0" w:line="257" w:lineRule="auto"/>
        <w:tabs>
          <w:tab w:leader="none" w:pos="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KfW has the right to designate (</w:t>
      </w:r>
      <w:r>
        <w:rPr>
          <w:rFonts w:ascii="Times New Roman" w:cs="Times New Roman" w:eastAsia="Times New Roman" w:hAnsi="Times New Roman"/>
          <w:sz w:val="18"/>
          <w:szCs w:val="18"/>
          <w:i w:val="1"/>
          <w:iCs w:val="1"/>
          <w:color w:val="auto"/>
        </w:rPr>
        <w:t>nominieren</w:t>
      </w:r>
      <w:r>
        <w:rPr>
          <w:rFonts w:ascii="Times New Roman" w:cs="Times New Roman" w:eastAsia="Times New Roman" w:hAnsi="Times New Roman"/>
          <w:sz w:val="18"/>
          <w:szCs w:val="18"/>
          <w:color w:val="auto"/>
        </w:rPr>
        <w:t>) one member of our supervisory board for appointment by the general meeting (and to prompt the recall of such member of the supervisory board at its sole discretion) as long as KfW’s shareholding in our share capital is at least 10% in accordance with the arrangements included in our articles of association. Furthermore, our pre-IPO shareholders shall, to the extent legally permissible, ensure that any established advisory board or any other comparable panel of our subsidiaries or affiliate shall also provide KfW the right, upon its discretion, to include a member to be designated (</w:t>
      </w:r>
      <w:r>
        <w:rPr>
          <w:rFonts w:ascii="Times New Roman" w:cs="Times New Roman" w:eastAsia="Times New Roman" w:hAnsi="Times New Roman"/>
          <w:sz w:val="18"/>
          <w:szCs w:val="18"/>
          <w:i w:val="1"/>
          <w:iCs w:val="1"/>
          <w:color w:val="auto"/>
        </w:rPr>
        <w:t>nominieren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reasonably cooperate with each of our pre-IPO shareholders to provide them with information that is mandatory for their tax obligations;</w:t>
      </w:r>
    </w:p>
    <w:p>
      <w:pPr>
        <w:spacing w:after="0" w:line="161" w:lineRule="exact"/>
        <w:rPr>
          <w:rFonts w:ascii="Times New Roman" w:cs="Times New Roman" w:eastAsia="Times New Roman" w:hAnsi="Times New Roman"/>
          <w:sz w:val="18"/>
          <w:szCs w:val="18"/>
          <w:color w:val="auto"/>
        </w:rPr>
      </w:pPr>
    </w:p>
    <w:p>
      <w:pPr>
        <w:ind w:left="680" w:right="20" w:hanging="321"/>
        <w:spacing w:after="0" w:line="258" w:lineRule="auto"/>
        <w:tabs>
          <w:tab w:leader="none" w:pos="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withhold taxes on certain amounts paid to a pre-IPO shareholder, its affiliates and certain related persons of such pre-IPO shareholder (excluding a shareholder that was not our shareholder prior to the 2020 Private Investment), and such certain amounts are reimbursable or creditable to such pre-IPO shareholder, its affiliates and certain related persons of such pre-IPO shareholder, then such pre-IPO shareholder needs to use his or her best efforts in order to obtain a credit or reimbursement from the applicable tax authority and such credit or reimbursement shall be paid to us;</w:t>
      </w:r>
    </w:p>
    <w:p>
      <w:pPr>
        <w:spacing w:after="0" w:line="183" w:lineRule="exact"/>
        <w:rPr>
          <w:rFonts w:ascii="Times New Roman" w:cs="Times New Roman" w:eastAsia="Times New Roman" w:hAnsi="Times New Roman"/>
          <w:sz w:val="18"/>
          <w:szCs w:val="18"/>
          <w:color w:val="auto"/>
        </w:rPr>
      </w:pPr>
    </w:p>
    <w:p>
      <w:pPr>
        <w:ind w:left="680" w:right="160" w:hanging="321"/>
        <w:spacing w:after="0" w:line="261" w:lineRule="auto"/>
        <w:tabs>
          <w:tab w:leader="none" w:pos="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to use the funds raised in the 2020 Private Investment solely to fund the (i) development of our proprietary pipeline, including earlier stage assets currently in preclinical development, (ii) research and development activities to expand our mRNA platform technology, in particular with respect to our vaccine candidate against SARS-CoV-2 and other infectious diseases and (iii) manufacturing capacities for mRNA-based drug product candidates and future approved products;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51" w:lineRule="auto"/>
        <w:tabs>
          <w:tab w:leader="none" w:pos="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entered into a Global Access Agreement with the Bill &amp; Melinda Gates Foundation in February 2015 pursuant to which we are required to take certain actions to support the Bill &amp; Melinda Gates Foundation’s mission. We may be required to redeem all, or to facilitate the purchase by a third party of all, the shares held in us by the Bill &amp; Melinda Gates Foundation as per the date of the ISA on certain terms that may not be favorable to us, if we receive from the Bill &amp; Melinda Gates Foundation a notification that we have (a) committed a material breach of certain commitments under the Global Access Agreement, (b) used the funds received from the Bill &amp; Melinda Gates Foundation for purposes other than those described in the Global Access Agreement, including not for the (i) finance of our facility to be used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to manufacture vaccines and drugs in support of the Bill &amp; Melinda Gates Foundation’s charitable purpose, (ii) continued development of technology for prophylactic and therapeutic mRNA vaccines and drugs against infectious diseases and vaccine adjuvants, comprised of long, non-coding RNA molecules and formulation/delivery technology necessary to develop the mRNA vaccines and drugs, or the Platform Technology, (iii) the use of the Platform Technology to advance vaccine and drug candidates in support of the Bill &amp; Melinda Gates Foundation charitable purpose and/or (c) failed to comply with certain U.S. regulatory and tax obligations, or together the BMGF Default, and the BMGF Default continues to exist following a cure period. In addition, if we are required but fail to purchase all of the shares held in us by the Bill &amp; Melinda Gates Foundation as per the date of the ISA, we shall not be allowed to pay dividends, redeem the shares of any other shareholder (other than repurchases at cost of shares from our employees, officers, directors, consultants or other persons performing services for us pursuant to agreements under which we have the option to repurchase our shares upon the occurrence of the termination of employment or service) or otherwise make any other distribution to any of our shareholders in connection with their shares. In addition, if within 12 months after such redemption or sale, we close an underwritten public financing or a change of control occurs and the valuation used for such underwritten public financing or a change of control, as the case may be, is in excess of 200% of the valuation used for the redemption or the sale of the shares held by the Bill &amp; Melinda Gates Foundation, we will need to pay the Bill &amp; Melinda Gates Foundation compensation equal to the excess of what it would have received in such transaction if it still held its shares at the time of such underwritten public financing or a change of control over what it received in the sale or redemption of its shares had the BMGF Default not occurred. For further information regarding the Global Access Agreement see “Item 4. Information on the Company —  B. Business Overview — Collaborations — Bill &amp; Melinda Gates Foundation Partnership;”</w:t>
      </w:r>
    </w:p>
    <w:p>
      <w:pPr>
        <w:spacing w:after="0" w:line="204" w:lineRule="exact"/>
        <w:rPr>
          <w:rFonts w:ascii="Times New Roman" w:cs="Times New Roman" w:eastAsia="Times New Roman" w:hAnsi="Times New Roman"/>
          <w:sz w:val="18"/>
          <w:szCs w:val="18"/>
          <w:color w:val="auto"/>
        </w:rPr>
      </w:pPr>
    </w:p>
    <w:p>
      <w:pPr>
        <w:ind w:left="680" w:right="40" w:hanging="321"/>
        <w:spacing w:after="0" w:line="258" w:lineRule="auto"/>
        <w:tabs>
          <w:tab w:leader="none" w:pos="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our initial public offering, we agreed to file, and filed, an application for continuation of tax book value (</w:t>
      </w:r>
      <w:r>
        <w:rPr>
          <w:rFonts w:ascii="Times New Roman" w:cs="Times New Roman" w:eastAsia="Times New Roman" w:hAnsi="Times New Roman"/>
          <w:sz w:val="18"/>
          <w:szCs w:val="18"/>
          <w:i w:val="1"/>
          <w:iCs w:val="1"/>
          <w:color w:val="auto"/>
        </w:rPr>
        <w:t>Antrag auf Buchwertfortführung</w:t>
      </w:r>
      <w:r>
        <w:rPr>
          <w:rFonts w:ascii="Times New Roman" w:cs="Times New Roman" w:eastAsia="Times New Roman" w:hAnsi="Times New Roman"/>
          <w:sz w:val="18"/>
          <w:szCs w:val="18"/>
          <w:color w:val="auto"/>
        </w:rPr>
        <w:t xml:space="preserve"> acc. to Sec. 21 par. 1 second and third sentences of the German Tax Conversion Act —  </w:t>
      </w:r>
      <w:r>
        <w:rPr>
          <w:rFonts w:ascii="Times New Roman" w:cs="Times New Roman" w:eastAsia="Times New Roman" w:hAnsi="Times New Roman"/>
          <w:sz w:val="18"/>
          <w:szCs w:val="18"/>
          <w:i w:val="1"/>
          <w:iCs w:val="1"/>
          <w:color w:val="auto"/>
        </w:rPr>
        <w:t>UmwStG</w:t>
      </w:r>
      <w:r>
        <w:rPr>
          <w:rFonts w:ascii="Times New Roman" w:cs="Times New Roman" w:eastAsia="Times New Roman" w:hAnsi="Times New Roman"/>
          <w:sz w:val="18"/>
          <w:szCs w:val="18"/>
          <w:color w:val="auto"/>
        </w:rPr>
        <w:t>) regarding the shares of CureVac AG (currently CureVac SE) that has been transferred as part of our initial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as set out above, with the respectively competent tax authorities within four (4) months after the date of the ISA at the latest; and</w:t>
      </w:r>
    </w:p>
    <w:p>
      <w:pPr>
        <w:spacing w:after="0" w:line="183" w:lineRule="exact"/>
        <w:rPr>
          <w:rFonts w:ascii="Times New Roman" w:cs="Times New Roman" w:eastAsia="Times New Roman" w:hAnsi="Times New Roman"/>
          <w:sz w:val="18"/>
          <w:szCs w:val="18"/>
          <w:color w:val="auto"/>
        </w:rPr>
      </w:pPr>
    </w:p>
    <w:p>
      <w:pPr>
        <w:ind w:left="680" w:right="20" w:hanging="321"/>
        <w:spacing w:after="0" w:line="253" w:lineRule="auto"/>
        <w:tabs>
          <w:tab w:leader="none" w:pos="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provide pre-IPO shareholders holding at least 10% of our share capital certain information required to facilitate the disposition of our shares held by any such pre-IPO shareholder, or in some circumstances to provide information that we intend to file with the SEC and in such case we may be required to take into account the input of such pre-IPO shareholder holding prior to the filing with the SEC. In addition, we agreed that upon a written request of such a pre-IPO shareholder, we will add such pre-IPO shareholder holding to our liability insurance as a named insured in connection with the consummation of a registered offering, but any related premium shall be borne by such pre-IPO shareholder holding at least 10% of our share capital; and dievini and certain other limited pre-IPO shareholders agreed to bear the economics with respect to the Prior VSOP for a total of up to 60,175 participation rights corresponding with 10% of our share capital as of February 1, 2015, in the amount of altogether €601,750,000. In case of an exercise event under the Prior VSOP, dievini and such other limited pre-IPO shareholders agreed to transfer common shares up to a pre-determined amount to allow us to fulfill any claims of the beneficiaries under the Prior VSOP.</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entered into a registration rights agreement upon the consummation off our initial public offering, pursuant to which each holder of at least 10% of our common shares and certain other holders of our common shares is entitled to various rights with respect to the registration of their common shares under the Securities Act. Each holder party to the registration rights agreement or an Eligible Shareholder shall continue to have various rights with respect to the registration of its common shares under the Securities Act, until 90 days after such shareholder, including its affiliates, cease to hold at least 10% of our common shares, or any other future class of shares. The registration of these common shares under the Securities Act would result in these common shares becoming freely tradable without restriction under the Securities Act immediately upon the effectiveness of the registration, except for shares purchased by affiliates. We are not required to register such common shares if an exemption from the registration requirements of the U.S. Securities Act is available with respect to the number of our common shares desired to be sold.</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Form F-1 Registration Statement</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February 9, 2021, any Eligible Shareholder or group of Eligible Shareholders, is entitled to demand in writing that we effect the registration under the Securities Act of the sale or other transfer of such shareholder or shareholders’ common shares, provided that we are not required to effect more than three such registrations and that the aggregate anticipated offering price from the sale of such shares equals at least $35 million, subject to certain exemptions.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Form F-3 Registration Statement</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August 13, 2021, each Eligible Shareholder or group of Eligible Shareholders may request in writing, not more than three times within 12-month period, that we effect a registration of the sale or other transfer of such shares, provided that the aggregate anticipated offering price from the sale of such shares equals at least $15 million, subject to certain exemptions. We will not be obligated to file a registration statement on Form F-3 in certain customary cases, subject to certain exemptions.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registration rights agreement provides our Eligible Shareholders with “piggy back” registration rights in the event that we determine to register the sale of any of our securities. With respect to such registration rights, we are committed to use our reasonable best efforts to include in a registration statement a prospectus relating to the resale of certain securities held by certain of our Eligible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Agreement</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KfW Investment, KfW, dievini and CureVac B.V. entered into a relationship agreement on July 17, 2020, or the KfW dievini Relationship Agreement. Pursuant the KfW dievini Relationship Agreement the parties provide for our agreed form of the articles of association, the supervisory board rules and the management board rules. In addition, the KfW dievini Relationship Agreement establishes that if at any time during the effectiveness of the KfW dievini Shareholders’ Agreement any of our shareholders other than KfW or dievini is granted a nomination right to our supervisory board or the supervisory board of any of our subsidiaries, then all of the parties to the KfW dievini Relationship Agreement shall use best efforts to exercise their shareholder rights to ensure that KfW and dievini shall each be given a nomination right as well. We also agreed not to procure, not to propose or implement during the terms of the KfW dievini Shareholders’ Agreement and the ISA, any amendment to the corporate documents of CureVac AG (currently CureVac SE) or CureVac B.V. or CureVac N.V., which would violate or not observe the Relationship Agreement, the ISA or other agreements concluded with us and KfW in connection with KfW’s investment.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articles of association require us to indemnify our current and former managing directors and supervisory directors to the fullest extent permitted by law, subject to certain exceptions. We entered into indemnification agreements with all our managing directors and supervisory directors and may enter into additional indemnification agreements with future managing directors and supervisory directors.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of our managing directors and supervisory directors have entered into service agreements with us as discussed in more detail within “Item 6. Directors, Senior Management and Employees — C. Board Practices — Service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 from Prior Shareholders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March 10, 2021, October 18, 2021, and December 12, 2022, the holders of the virtual shares under the Prior VSOP plan exercised all of their exercisable virtual shares. See note 10 to our audited consolidated financial statements contained elsewhere in this Annual Report for further information on the exercise of the virtual shares.</w:t>
      </w:r>
    </w:p>
    <w:p>
      <w:pPr>
        <w:spacing w:after="0" w:line="1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tab/>
        <w:t>Interests of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52" w:lineRule="exact"/>
        <w:rPr>
          <w:sz w:val="20"/>
          <w:szCs w:val="20"/>
          <w:color w:val="auto"/>
        </w:rPr>
      </w:pPr>
    </w:p>
    <w:p>
      <w:pPr>
        <w:ind w:left="340" w:right="5060" w:hanging="332"/>
        <w:spacing w:after="0" w:line="503" w:lineRule="auto"/>
        <w:tabs>
          <w:tab w:leader="none" w:pos="353"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Consolidated Statements and Other Financial Information </w:t>
      </w:r>
      <w:r>
        <w:rPr>
          <w:rFonts w:ascii="Times New Roman" w:cs="Times New Roman" w:eastAsia="Times New Roman" w:hAnsi="Times New Roman"/>
          <w:sz w:val="18"/>
          <w:szCs w:val="18"/>
          <w:b w:val="1"/>
          <w:bCs w:val="1"/>
          <w:i w:val="1"/>
          <w:iCs w:val="1"/>
          <w:color w:val="auto"/>
        </w:rPr>
        <w:t>Financial Statements</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18. Financial Statements,” which contains our audited financial statements prepared in accordance with IFRS.</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our business activities including proceedings initiated by former employees and directors. Although the results of litigation and claims cannot be predicted with certainty, as of the date of this Annual Report, we do not believe such claims and proceedings, would individually or in the aggregate be reasonably expected to have a material adverse effect on our business. If and to the extent necessary, we have formed appropriate accruals.</w:t>
      </w:r>
    </w:p>
    <w:p>
      <w:pPr>
        <w:spacing w:after="0" w:line="11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our adjustment of our external European manufacturing network after the withdrawal of our EMA dossier for our vaccine candidate, CvnCoV, we are involved in disputes with three former contract manufacturers.</w:t>
      </w:r>
    </w:p>
    <w:p>
      <w:pPr>
        <w:spacing w:after="0" w:line="8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February 2022, we were served with a request for arbitration filed with the German Arbitration Institute by Wacker Biotech B.V. seeking payments based on a terminated agreement with us. In April 2022, Celonic Deutschland GmbH &amp; Co.KG initiated arbitration proceedings according to the procedural rules of the German Arbitration Institute against us also requesting payments based on a terminated agreement. The agreements with Wacker and Celonic were terminated in connection with the withdrawal of our EMA dossier for our drug candidate CVnCoV. We have defended ourselves vigorously against Wacker’s and Celonic’s claims in written submission and the oral hearings. The taking of evidence has concluded in both proceedings, and we are awaiting the final awards of the arbitration tribunals.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August 2022, Rentschler Biopharma SE initiated arbitration proceedings according to the procedural rules of the German Arbitration Institute against us. Rentschler's claims are based on the assumption that certain agreements between Rentschler and CureVac Manufacturing GmbH (then: CureVac Real Estate GmbH) have been terminated due to the withdrawal of our EMA dossier for CVnCoV or alternatively that CureVac would have been obliged to terminate these agreements. CureVac's position always was that the agreements had ended upon expiration of their term. We did not believe that there was a legal basis for Rentschler's claims and therefore defended ourselves vigorously against these claims in written submissions and the oral hearing in October 2023. In its final award rendered in April 2024, the arbitration tribunal followed CureVac's arguments and dismissed Rentschler's claims in their entirety.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are involved in several intellectual property related legal proceedings.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June 2022, we filed a lawsuit against BioNTech in the Düsseldorf Regional Court for infringement of several of CureVac’s patents and utility models as a result of the manufacture, use and sale of Comirnaty. Additionally, certain of our patents and utility models are part of infringement claims in Germany filed by BioNTech. For all patents and utility models parallel invalidity claims (nullity action, oppositions and cancellation actions) were filed by BioNTech. In December 2023, the Federal Patent Court in Germany revoked one patent which is part of the infringement claim. The formal reasons for the decision of the court have not yet been provided. CureVac intends to appeal this decision before the German Federal Court of Justice. The proceedings before the Düsseldorf Regional Court regarding the remaining intellectual property rights are still ongoing and will be decided individually.</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November 2022, BioNTech filed cancellation actions seeking the cancellation of three of CureVac’s German utility models in the German Patent and Trademark Office. In November 2023, BioNTech filed cancellation actions against two additional utility models in the German Patent and Trademark Office. In December 2023, BioNTech filed an opposition against a European patent at the European Patent Office. CureVac is defending against these actions.</w:t>
      </w:r>
    </w:p>
    <w:p>
      <w:pPr>
        <w:spacing w:after="0" w:line="9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In September 2022, BioNTech and Pfizer filed a declaration of non-infringement and revocation action against two of CureVac’s patents in the Patents Court of the Business and Property Courts of England and Wales. We counterclaimed that such patents are valid and infringed by Comirnaty and subsequently added a third patent to our counterclaim.</w:t>
      </w:r>
    </w:p>
    <w:p>
      <w:pPr>
        <w:spacing w:after="0" w:line="10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July 2022, BioNTech and Pfizer filed a complaint in the U.S. District Court for the District of Massachusetts seeking declaratory judgment of non-infringement of several of CureVac’s patents by Comirnaty. Subsequently we successfully filed a motion to have the case transferred to the Eastern District of Virginia. In May 2023, CureVac filed a counterclaim alleging infringement of several of our U.S. patents by the manufacture and sale of Comirnaty. Pfizer and BioNTech filed a counterclaim alleging non-infringement and validity of the asserted rights. In November 2023, Acuitas filed a motion to intervene and a motion to sever and stay in the U.S. proceedings regarding four U.S. patents. Simultaneously, Acuitas filed a separate case in the Eastern District of Virginia (Norfolk) claiming co-inventorship for the same patents.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October 2023, Acuitas initiated arbitration proceedings against CureVac. Acuitas requests a declaration of the tribunal that Acuitas co-owns a patent family which is part of CureVac’s litigation against BioNTech and Pfizer in Germany and the United States and asserts consequential claims. CureVac will defend itself against these claims. The possible outcome of this dispute cannot be predicted at this time.</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see also “Item 3. Key Information — D. Risk Factors — Risks Related to Our Intellectual Property Rights.”</w:t>
      </w:r>
    </w:p>
    <w:p>
      <w:pPr>
        <w:spacing w:after="0" w:line="15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Legal disputes, arbitration and litigation are inherently unpredictable. While we do not believe that any of these matters will have a material adverse effect on our financial position, we could incur judgments, enter into settlements or revise our expectations regarding the outcome of matters, which could have a material adverse effect on our financial condition or on our results of operations and/or our cash flows in the period in which any such amounts are accrued or paid. Regardless of the outcome, litigation can have an adverse impact on us because of defense and settlement costs, diversion of management resources and other factors.</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Dividend Policy</w:t>
      </w:r>
    </w:p>
    <w:p>
      <w:pPr>
        <w:spacing w:after="0" w:line="14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shares, and we do not anticipate paying any cash dividends on our common shares in the foreseeable future. We intend to retain all available funds and any future earnings to fund the development and expansion of our business. Under Dutch law, we may only pay dividends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the paid-in and called-up share capital plus the reserves required to be maintained by Dutch law or by our articles of association and (if it concerns a distribution of profits) after adoption of the annual accounts by the general meeting from which it appears that such dividend distribution is allowed. Subject to such restrictions, any future determination to pay dividends will be at the discretion of our management board with the approval of our supervisory board and will depend upon a number of factors, including our results of operations, financial condition, future prospects, contractual restrictions, restrictions imposed by applicable law and other factors our management board and supervisory board deem relevant.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Under our articles of association, our management board may decide that all or part of the profits are added to our reserves. Before reservation of any profit, to the extent that preferred shares have been canceled and preferred distributions on those canceled shares are outstanding, the profits are first to be used to satisfy the outstanding claim to those who held those preferred shares at the moment of such cancellation becoming effective and subsequently if any preferred shares are outstanding, a dividend is paid out of the remaining profit on the preferred shares in accordance with our articles of association. This dividend, or preferred dividend, shall be calculated on the basis of a fixed rate over the amount paid-up on the outstanding preferred shares pro rata tempore for the period during which they were outstanding during the financial year concerned, and shall include any arrears in payment of prior years’ preferred dividends (if any). The remaining profit will be at the disposal of the general meeting at the proposal of the management board for distribution on the common shares, subject to restrictions of Dutch law and approval by our supervisory board of such proposal of our management board. Our management board is permitted, subject to certain requirements, to declare interim dividends without the approval of the general meeting, but only with the approval of the supervisory board. 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Changes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52"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Listing Details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Our common shares, with a par value of €0.12 per share, have traded on Nasdaq under the symbol “CVAC” since August 14, 2020.</w:t>
      </w:r>
    </w:p>
    <w:p>
      <w:pPr>
        <w:spacing w:after="0" w:line="259" w:lineRule="exact"/>
        <w:rPr>
          <w:rFonts w:ascii="Times New Roman" w:cs="Times New Roman" w:eastAsia="Times New Roman" w:hAnsi="Times New Roman"/>
          <w:sz w:val="18"/>
          <w:szCs w:val="18"/>
          <w:b w:val="1"/>
          <w:bCs w:val="1"/>
          <w:color w:val="auto"/>
        </w:rPr>
      </w:pPr>
    </w:p>
    <w:p>
      <w:pPr>
        <w:ind w:left="340" w:right="7940" w:hanging="332"/>
        <w:spacing w:after="0" w:line="546" w:lineRule="auto"/>
        <w:tabs>
          <w:tab w:leader="none" w:pos="343"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description of our publicly traded common shares, see “Item 9. The Offering and Listing — A. Offer and Listing Details.”</w:t>
      </w:r>
    </w:p>
    <w:p>
      <w:pPr>
        <w:spacing w:after="0" w:line="248" w:lineRule="exact"/>
        <w:rPr>
          <w:rFonts w:ascii="Times New Roman" w:cs="Times New Roman" w:eastAsia="Times New Roman" w:hAnsi="Times New Roman"/>
          <w:sz w:val="18"/>
          <w:szCs w:val="18"/>
          <w:b w:val="1"/>
          <w:bCs w:val="1"/>
          <w:color w:val="auto"/>
        </w:rPr>
      </w:pPr>
    </w:p>
    <w:p>
      <w:pPr>
        <w:ind w:left="340" w:right="7880" w:hanging="332"/>
        <w:spacing w:after="0" w:line="546" w:lineRule="auto"/>
        <w:tabs>
          <w:tab w:leader="none" w:pos="353"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48"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52" w:lineRule="exact"/>
        <w:rPr>
          <w:sz w:val="20"/>
          <w:szCs w:val="20"/>
          <w:color w:val="auto"/>
        </w:rPr>
      </w:pPr>
    </w:p>
    <w:p>
      <w:pPr>
        <w:jc w:val="both"/>
        <w:ind w:left="340" w:right="8360" w:hanging="332"/>
        <w:spacing w:after="0" w:line="582" w:lineRule="auto"/>
        <w:tabs>
          <w:tab w:leader="none" w:pos="353"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shareholders adopted the Articles of Association included as Exhibit 3.1 to our revised registration statement on Form F-1 (File No. 333-240076) filed with the SEC on August 7, 2020.</w:t>
      </w:r>
    </w:p>
    <w:p>
      <w:pPr>
        <w:spacing w:after="0" w:line="162"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7"/>
          <w:szCs w:val="17"/>
          <w:color w:val="auto"/>
        </w:rPr>
        <w:t>We incorporate by reference into this Annual Report on Form 20-F the description of our Articles of Association effective upon the closing of our last public offering contained in our Registration Statement on Form F-3 (File No. 333-259613), under “Description of Share Capital and Articles of Association” filed with the SEC on September 17, 2021. Such description sets forth a summary of certain provisions of our articles of association, and certain descriptions of applicable German and Dutch law, each as currently in effect.</w:t>
      </w:r>
    </w:p>
    <w:p>
      <w:pPr>
        <w:spacing w:after="0" w:line="187"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4. Information on the Company — B. Business Overview — Significant Agreements.”</w:t>
      </w:r>
    </w:p>
    <w:p>
      <w:pPr>
        <w:spacing w:after="0" w:line="248"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Times New Roman" w:cs="Times New Roman" w:eastAsia="Times New Roman" w:hAnsi="Times New Roman"/>
          <w:sz w:val="18"/>
          <w:szCs w:val="18"/>
          <w:i w:val="1"/>
          <w:iCs w:val="1"/>
          <w:color w:val="auto"/>
        </w:rPr>
        <w:t>Sanctiewet 1977</w:t>
      </w:r>
      <w:r>
        <w:rPr>
          <w:rFonts w:ascii="Times New Roman" w:cs="Times New Roman" w:eastAsia="Times New Roman" w:hAnsi="Times New Roman"/>
          <w:sz w:val="18"/>
          <w:szCs w:val="18"/>
          <w:color w:val="auto"/>
        </w:rPr>
        <w:t>) or other legislation, applicable anti-boycott regulations and similar rules. There are no special restrictions in the articles of association or Dutch law that limit the right of shareholders who are not citizens or residents of the Netherlands to hold or vote shares.</w:t>
      </w:r>
    </w:p>
    <w:p>
      <w:pPr>
        <w:spacing w:after="0" w:line="21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7"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contains a description of certain Dutch, German and U.S. federal income tax consequences of the acquisition, ownership and disposition of common shares, but it does not purport to be a comprehensive description of all the tax considerations that may be relevant to a decision to purchase common shares. The summary is based upon the tax laws of the Netherlands and regulations thereunder, the tax laws of Germany and regulations thereunder and the tax laws of the United States and regulations thereunder as of the date hereof, which are subject to change. You should consult your tax advisor regarding the applicable tax consequences to you of investing in our common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Dutch Tax Considerations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general summary of certain material Dutch tax consequences of the acquisition, holding and disposal of our common shares. This summary does not purport to set forth all possible tax considerations or consequences that may be relevant to a holder or prospective holder of our common shares and does not purport to deal with the tax consequences applicable to all categories of investors, some of which (such as trusts or similar arrangements) may be subject to special rules. In view of its general nature, it should be treated with corresponding caution.</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This summary is based on the tax laws of the Netherlands, published regulations thereunder and published authoritative case law, all as in effect on the date hereof, including, for the avoidance of doubt, the tax rates applicable on the date hereof, and all of which are subject to change, possibly with retroactive effect. Any such change may invalidate the contents of this summary, which will not be updated to reflect such change. Where the summary refers to “the Netherlands” or “Dutch” it refers only to the part of the Kingdom of the Netherlands located in Europe.</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 purposes and is not Dutch tax advice or a complete description of all Dutch tax consequences relating to the acquisition, holding and disposal of our common shares. Holders or prospective holders of our common shares should consult their own tax advisor regarding the Dutch tax consequences relating to the acquisition, holding and disposal of our common shares in light of their particular circumstances.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note that this section does not set forth the Dutch tax considerations for:</w:t>
      </w:r>
    </w:p>
    <w:p>
      <w:pPr>
        <w:spacing w:after="0" w:line="223" w:lineRule="exact"/>
        <w:rPr>
          <w:sz w:val="20"/>
          <w:szCs w:val="20"/>
          <w:color w:val="auto"/>
        </w:rPr>
      </w:pPr>
    </w:p>
    <w:p>
      <w:pPr>
        <w:ind w:left="680" w:right="40" w:hanging="321"/>
        <w:spacing w:after="0" w:line="254" w:lineRule="auto"/>
        <w:tabs>
          <w:tab w:leader="none" w:pos="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common shares if such holders have a substantial interest (</w:t>
      </w:r>
      <w:r>
        <w:rPr>
          <w:rFonts w:ascii="Times New Roman" w:cs="Times New Roman" w:eastAsia="Times New Roman" w:hAnsi="Times New Roman"/>
          <w:sz w:val="18"/>
          <w:szCs w:val="18"/>
          <w:i w:val="1"/>
          <w:iCs w:val="1"/>
          <w:color w:val="auto"/>
        </w:rPr>
        <w:t>aanmerkelijk belang</w:t>
      </w:r>
      <w:r>
        <w:rPr>
          <w:rFonts w:ascii="Times New Roman" w:cs="Times New Roman" w:eastAsia="Times New Roman" w:hAnsi="Times New Roman"/>
          <w:sz w:val="18"/>
          <w:szCs w:val="18"/>
          <w:color w:val="auto"/>
        </w:rPr>
        <w:t>) or deemed substantial interest (</w:t>
      </w:r>
      <w:r>
        <w:rPr>
          <w:rFonts w:ascii="Times New Roman" w:cs="Times New Roman" w:eastAsia="Times New Roman" w:hAnsi="Times New Roman"/>
          <w:sz w:val="18"/>
          <w:szCs w:val="18"/>
          <w:i w:val="1"/>
          <w:iCs w:val="1"/>
          <w:color w:val="auto"/>
        </w:rPr>
        <w:t>fictief aanmerkelijk belang</w:t>
      </w:r>
      <w:r>
        <w:rPr>
          <w:rFonts w:ascii="Times New Roman" w:cs="Times New Roman" w:eastAsia="Times New Roman" w:hAnsi="Times New Roman"/>
          <w:sz w:val="18"/>
          <w:szCs w:val="18"/>
          <w:color w:val="auto"/>
        </w:rPr>
        <w:t>) under the Dutch Income Tax Act 2001 (</w:t>
      </w:r>
      <w:r>
        <w:rPr>
          <w:rFonts w:ascii="Times New Roman" w:cs="Times New Roman" w:eastAsia="Times New Roman" w:hAnsi="Times New Roman"/>
          <w:sz w:val="18"/>
          <w:szCs w:val="18"/>
          <w:i w:val="1"/>
          <w:iCs w:val="1"/>
          <w:color w:val="auto"/>
        </w:rPr>
        <w:t>Wet inkomstenbelasting 2001</w:t>
      </w:r>
      <w:r>
        <w:rPr>
          <w:rFonts w:ascii="Times New Roman" w:cs="Times New Roman" w:eastAsia="Times New Roman" w:hAnsi="Times New Roman"/>
          <w:sz w:val="18"/>
          <w:szCs w:val="18"/>
          <w:color w:val="auto"/>
        </w:rPr>
        <w:t>). Generally, a holder of securities in a company is considered to hold a substantial interest in such company if such holder alone or, in the case of individuals,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and/or to 5% or more of the company’s liquidation proceeds. A deemed substantial interest exists if a substantial interest (or part thereof) in a company has been disposed of, or is deemed to have been disposed of, on a non-recognition basis;</w:t>
      </w:r>
    </w:p>
    <w:p>
      <w:pPr>
        <w:spacing w:after="0" w:line="185" w:lineRule="exact"/>
        <w:rPr>
          <w:rFonts w:ascii="Times New Roman" w:cs="Times New Roman" w:eastAsia="Times New Roman" w:hAnsi="Times New Roman"/>
          <w:sz w:val="18"/>
          <w:szCs w:val="18"/>
          <w:color w:val="auto"/>
        </w:rPr>
      </w:pPr>
    </w:p>
    <w:p>
      <w:pPr>
        <w:ind w:left="680" w:right="40" w:hanging="321"/>
        <w:spacing w:after="0" w:line="258" w:lineRule="auto"/>
        <w:tabs>
          <w:tab w:leader="none" w:pos="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common shares for which the common shares qualify or qualified as a participation (</w:t>
      </w:r>
      <w:r>
        <w:rPr>
          <w:rFonts w:ascii="Times New Roman" w:cs="Times New Roman" w:eastAsia="Times New Roman" w:hAnsi="Times New Roman"/>
          <w:sz w:val="18"/>
          <w:szCs w:val="18"/>
          <w:i w:val="1"/>
          <w:iCs w:val="1"/>
          <w:color w:val="auto"/>
        </w:rPr>
        <w:t>deelneming</w:t>
      </w:r>
      <w:r>
        <w:rPr>
          <w:rFonts w:ascii="Times New Roman" w:cs="Times New Roman" w:eastAsia="Times New Roman" w:hAnsi="Times New Roman"/>
          <w:sz w:val="18"/>
          <w:szCs w:val="18"/>
          <w:color w:val="auto"/>
        </w:rPr>
        <w:t>) for purposes of the Dutch Corporate Income Tax Act 1969 (</w:t>
      </w:r>
      <w:r>
        <w:rPr>
          <w:rFonts w:ascii="Times New Roman" w:cs="Times New Roman" w:eastAsia="Times New Roman" w:hAnsi="Times New Roman"/>
          <w:sz w:val="18"/>
          <w:szCs w:val="18"/>
          <w:i w:val="1"/>
          <w:iCs w:val="1"/>
          <w:color w:val="auto"/>
        </w:rPr>
        <w:t>Wet op de vennootschapsbelasting 1969</w:t>
      </w:r>
      <w:r>
        <w:rPr>
          <w:rFonts w:ascii="Times New Roman" w:cs="Times New Roman" w:eastAsia="Times New Roman" w:hAnsi="Times New Roman"/>
          <w:sz w:val="18"/>
          <w:szCs w:val="18"/>
          <w:color w:val="auto"/>
        </w:rPr>
        <w:t>). Generally, a holder’s shareholding of 5% or more in a company’s nominal paid-up share capital qualifies as a participation. A holder may also have a participation if (a) such holder does not have a shareholding of 5% or more but a related entity (statutorily defined term) has a participation or (b) the company in which the shares are held is a related entity (statutorily defined term);</w:t>
      </w:r>
    </w:p>
    <w:p>
      <w:pPr>
        <w:spacing w:after="0" w:line="183" w:lineRule="exact"/>
        <w:rPr>
          <w:rFonts w:ascii="Times New Roman" w:cs="Times New Roman" w:eastAsia="Times New Roman" w:hAnsi="Times New Roman"/>
          <w:sz w:val="18"/>
          <w:szCs w:val="18"/>
          <w:color w:val="auto"/>
        </w:rPr>
      </w:pPr>
    </w:p>
    <w:p>
      <w:pPr>
        <w:ind w:left="680" w:right="20" w:hanging="321"/>
        <w:spacing w:after="0" w:line="258" w:lineRule="auto"/>
        <w:tabs>
          <w:tab w:leader="none" w:pos="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of common shares which are or who are entitled to the dividend withholding tax exemption (</w:t>
      </w:r>
      <w:r>
        <w:rPr>
          <w:rFonts w:ascii="Times New Roman" w:cs="Times New Roman" w:eastAsia="Times New Roman" w:hAnsi="Times New Roman"/>
          <w:sz w:val="18"/>
          <w:szCs w:val="18"/>
          <w:i w:val="1"/>
          <w:iCs w:val="1"/>
          <w:color w:val="auto"/>
        </w:rPr>
        <w:t>inhoudingsvrijstelling</w:t>
      </w:r>
      <w:r>
        <w:rPr>
          <w:rFonts w:ascii="Times New Roman" w:cs="Times New Roman" w:eastAsia="Times New Roman" w:hAnsi="Times New Roman"/>
          <w:sz w:val="18"/>
          <w:szCs w:val="18"/>
          <w:color w:val="auto"/>
        </w:rPr>
        <w:t>) with respect to any income (</w:t>
      </w:r>
      <w:r>
        <w:rPr>
          <w:rFonts w:ascii="Times New Roman" w:cs="Times New Roman" w:eastAsia="Times New Roman" w:hAnsi="Times New Roman"/>
          <w:sz w:val="18"/>
          <w:szCs w:val="18"/>
          <w:i w:val="1"/>
          <w:iCs w:val="1"/>
          <w:color w:val="auto"/>
        </w:rPr>
        <w:t>opbrengst</w:t>
      </w:r>
      <w:r>
        <w:rPr>
          <w:rFonts w:ascii="Times New Roman" w:cs="Times New Roman" w:eastAsia="Times New Roman" w:hAnsi="Times New Roman"/>
          <w:sz w:val="18"/>
          <w:szCs w:val="18"/>
          <w:color w:val="auto"/>
        </w:rPr>
        <w:t>) derived from the common shares (as defined in Article 4 of the Dutch Dividend Withholding Tax Act 1965 (</w:t>
      </w:r>
      <w:r>
        <w:rPr>
          <w:rFonts w:ascii="Times New Roman" w:cs="Times New Roman" w:eastAsia="Times New Roman" w:hAnsi="Times New Roman"/>
          <w:sz w:val="18"/>
          <w:szCs w:val="18"/>
          <w:i w:val="1"/>
          <w:iCs w:val="1"/>
          <w:color w:val="auto"/>
        </w:rPr>
        <w:t>Wet op de dividendbelasting 1965</w:t>
      </w:r>
      <w:r>
        <w:rPr>
          <w:rFonts w:ascii="Times New Roman" w:cs="Times New Roman" w:eastAsia="Times New Roman" w:hAnsi="Times New Roman"/>
          <w:sz w:val="18"/>
          <w:szCs w:val="18"/>
          <w:color w:val="auto"/>
        </w:rPr>
        <w:t>). Generally, a holder of common shares may be entitled or required to apply, subject to certain other requirements, the dividend withholding tax exemption if it is an entity and holds and interest of 5% or more in our nominal paid-up share capital;</w:t>
      </w:r>
    </w:p>
    <w:p>
      <w:pPr>
        <w:spacing w:after="0" w:line="183" w:lineRule="exact"/>
        <w:rPr>
          <w:rFonts w:ascii="Times New Roman" w:cs="Times New Roman" w:eastAsia="Times New Roman" w:hAnsi="Times New Roman"/>
          <w:sz w:val="18"/>
          <w:szCs w:val="18"/>
          <w:color w:val="auto"/>
        </w:rPr>
      </w:pPr>
    </w:p>
    <w:p>
      <w:pPr>
        <w:ind w:left="680" w:hanging="321"/>
        <w:spacing w:after="0" w:line="257" w:lineRule="auto"/>
        <w:tabs>
          <w:tab w:leader="none" w:pos="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 investment institutions (</w:t>
      </w:r>
      <w:r>
        <w:rPr>
          <w:rFonts w:ascii="Times New Roman" w:cs="Times New Roman" w:eastAsia="Times New Roman" w:hAnsi="Times New Roman"/>
          <w:sz w:val="18"/>
          <w:szCs w:val="18"/>
          <w:i w:val="1"/>
          <w:iCs w:val="1"/>
          <w:color w:val="auto"/>
        </w:rPr>
        <w:t>fiscale beleggingsinstellingen</w:t>
      </w:r>
      <w:r>
        <w:rPr>
          <w:rFonts w:ascii="Times New Roman" w:cs="Times New Roman" w:eastAsia="Times New Roman" w:hAnsi="Times New Roman"/>
          <w:sz w:val="18"/>
          <w:szCs w:val="18"/>
          <w:color w:val="auto"/>
        </w:rPr>
        <w:t>), tax exempt investment institutions (</w:t>
      </w:r>
      <w:r>
        <w:rPr>
          <w:rFonts w:ascii="Times New Roman" w:cs="Times New Roman" w:eastAsia="Times New Roman" w:hAnsi="Times New Roman"/>
          <w:sz w:val="18"/>
          <w:szCs w:val="18"/>
          <w:i w:val="1"/>
          <w:iCs w:val="1"/>
          <w:color w:val="auto"/>
        </w:rPr>
        <w:t>vrijgestelde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beleggingsinstellingen</w:t>
      </w:r>
      <w:r>
        <w:rPr>
          <w:rFonts w:ascii="Times New Roman" w:cs="Times New Roman" w:eastAsia="Times New Roman" w:hAnsi="Times New Roman"/>
          <w:sz w:val="18"/>
          <w:szCs w:val="18"/>
          <w:color w:val="auto"/>
        </w:rPr>
        <w:t>) (each as defined in the Dutch Corporate Income Tax Act 1969) and other entities that are, in whole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not subject to or exempt from Dutch corporate income tax, entities that have a function comparable to an investment institution or a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and</w:t>
      </w:r>
    </w:p>
    <w:p>
      <w:pPr>
        <w:spacing w:after="0" w:line="184" w:lineRule="exact"/>
        <w:rPr>
          <w:rFonts w:ascii="Times New Roman" w:cs="Times New Roman" w:eastAsia="Times New Roman" w:hAnsi="Times New Roman"/>
          <w:sz w:val="18"/>
          <w:szCs w:val="18"/>
          <w:color w:val="auto"/>
        </w:rPr>
      </w:pPr>
    </w:p>
    <w:p>
      <w:pPr>
        <w:ind w:left="680" w:right="340" w:hanging="321"/>
        <w:spacing w:after="0" w:line="266" w:lineRule="auto"/>
        <w:tabs>
          <w:tab w:leader="none" w:pos="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common shares who are individuals and for whom the common shares or any benefit derived from the common shares are a remuneration or deemed to be a remuneration for (employment) activities performed by such holders or certain individuals related to such holders (as defined in the Dutch Income Tax Act 2001).</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common shares.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expression “dividends distributed” includes, among other things:</w:t>
      </w:r>
    </w:p>
    <w:p>
      <w:pPr>
        <w:spacing w:after="0" w:line="225" w:lineRule="exact"/>
        <w:rPr>
          <w:sz w:val="20"/>
          <w:szCs w:val="20"/>
          <w:color w:val="auto"/>
        </w:rPr>
      </w:pPr>
    </w:p>
    <w:p>
      <w:pPr>
        <w:ind w:left="680" w:right="380" w:hanging="321"/>
        <w:spacing w:after="0" w:line="282" w:lineRule="auto"/>
        <w:tabs>
          <w:tab w:leader="none" w:pos="6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in cash or in kind, deemed and constructive distributions and repayments of paid-in capital not recognized for Dutch dividend withholding tax purposes;</w:t>
      </w:r>
    </w:p>
    <w:p>
      <w:pPr>
        <w:spacing w:after="0" w:line="161"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liquidation proceeds, proceeds from the redemption of common shares, or proceeds from the repurchase of common shares (other than as temporary portfolio investment; </w:t>
      </w:r>
      <w:r>
        <w:rPr>
          <w:rFonts w:ascii="Times New Roman" w:cs="Times New Roman" w:eastAsia="Times New Roman" w:hAnsi="Times New Roman"/>
          <w:sz w:val="18"/>
          <w:szCs w:val="18"/>
          <w:i w:val="1"/>
          <w:iCs w:val="1"/>
          <w:color w:val="auto"/>
        </w:rPr>
        <w:t>tijdelijke belegging</w:t>
      </w:r>
      <w:r>
        <w:rPr>
          <w:rFonts w:ascii="Times New Roman" w:cs="Times New Roman" w:eastAsia="Times New Roman" w:hAnsi="Times New Roman"/>
          <w:sz w:val="18"/>
          <w:szCs w:val="18"/>
          <w:color w:val="auto"/>
        </w:rPr>
        <w:t>) by us or one of our subsidiaries or other affiliated entities to the extent such proceeds exceed the average paid-in capital of those common shares as recognized for Dutch dividend withholding tax purposes;</w:t>
      </w:r>
    </w:p>
    <w:p>
      <w:pPr>
        <w:spacing w:after="0" w:line="179"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par value of common shares issued or an increase of the par value of common shares, to the extent that it does not appear that a contribution, recognized for Dutch dividend withholding tax purposes, has been made or will be made; and</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61" w:lineRule="auto"/>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repayment of the paid-in capital, recognized for Dutch dividend withholding tax purposes, if and to the extent that we have net profits (</w:t>
      </w:r>
      <w:r>
        <w:rPr>
          <w:rFonts w:ascii="Times New Roman" w:cs="Times New Roman" w:eastAsia="Times New Roman" w:hAnsi="Times New Roman"/>
          <w:sz w:val="18"/>
          <w:szCs w:val="18"/>
          <w:i w:val="1"/>
          <w:iCs w:val="1"/>
          <w:color w:val="auto"/>
        </w:rPr>
        <w:t>zuivere winst</w:t>
      </w:r>
      <w:r>
        <w:rPr>
          <w:rFonts w:ascii="Times New Roman" w:cs="Times New Roman" w:eastAsia="Times New Roman" w:hAnsi="Times New Roman"/>
          <w:sz w:val="18"/>
          <w:szCs w:val="18"/>
          <w:color w:val="auto"/>
        </w:rPr>
        <w:t>), unless (i) the general meeting has resolved in advance to make such repayment and (ii) the par value of the common shares concerned has been reduced by an equal amount by way of an amendment of our articles of association. The term “net profits” includes anticipated profits that have yet to be realized.</w:t>
      </w:r>
    </w:p>
    <w:p>
      <w:pPr>
        <w:spacing w:after="0" w:line="19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common shares that are neither resident nor deemed to be resident of the Netherlands (“Non-Resident Holders”) if the common shares are attributable to a Dutch permanent establishment of such Non-Resident Holder.</w:t>
      </w:r>
    </w:p>
    <w:p>
      <w:pPr>
        <w:spacing w:after="0" w:line="188"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A holder of common shares resident of a country other than the Netherlands may, depending on such holder’s specific circumstances, be entitled to exemptions from, reduction of, or full or partial refund of, Dutch dividend withholding tax under Dutch domestic tax law, EU law, or treaties for the avoidance of double taxation in effect between the Netherlands and such other country.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 Stripping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According to Dutch domestic anti-dividend stripping rules, no credit against Dutch tax, exemption from, reduction, or refund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Dutch dividend withholding tax will be granted if the recipient of the dividends we paid is not considered the beneficial owner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uiteindelijk gerechtigde</w:t>
      </w:r>
      <w:r>
        <w:rPr>
          <w:rFonts w:ascii="Times New Roman" w:cs="Times New Roman" w:eastAsia="Times New Roman" w:hAnsi="Times New Roman"/>
          <w:sz w:val="18"/>
          <w:szCs w:val="18"/>
          <w:color w:val="auto"/>
        </w:rPr>
        <w:t>; as described in the Dutch Dividend Withholding Tax Act 1965) of those dividends. This legislation generally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targets situations in which a shareholder retains its economic interest in shares but reduces the withholding tax costs on dividends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with another party. It is not required that the recipient of the dividends is aware that a dividend stripping transaction took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for these rules to apply. The Dutch State Secretary of Finance takes the position that the definition of beneficial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introduced by this legislation will also be applied in the context of a double taxation convention. As from January 1, 2024, more stringent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apply to the setoff, exemption from, and reduction or refund of Dutch dividend withholding tax to address situations where a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setoff, exemption, reduction or refund may align with the letter of Dutch tax law or a double taxation convention but goes against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underlying intention or spirit of the dividend stripping rules, as perceived by the legislator. The burden of proof with respect to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 of dividends distributed by us rests on the Dutch tax authorities. If, however, a shareholder would receive dividends, including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on the common shares, in a calendar year in respect of which an aggregate amount of €1,000 in Dutch dividend withholding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would otherwise be due based on the rate of 15%, the burden of proof with respect to beneficial ownership of such dividends lies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shareholder. Furthermore, for shares traded on a regulated market, including the common shares, it has been codified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 is used when determining the person who is entitled to the dividend.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Conditional withholding tax on dividends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regular Dutch dividend withholding tax as described above, a Dutch conditional withholding tax will be imposed on dividends distributed by us to entities related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to us (within the meaning of the Dutch Withholding Tax Act 2021; Wet bronbelasting 2021), if such related entity:</w:t>
      </w:r>
    </w:p>
    <w:p>
      <w:pPr>
        <w:spacing w:after="0" w:line="174" w:lineRule="exact"/>
        <w:rPr>
          <w:sz w:val="20"/>
          <w:szCs w:val="20"/>
          <w:color w:val="auto"/>
        </w:rPr>
      </w:pPr>
    </w:p>
    <w:p>
      <w:pPr>
        <w:ind w:left="680" w:right="160" w:hanging="321"/>
        <w:spacing w:after="0" w:line="267" w:lineRule="auto"/>
        <w:tabs>
          <w:tab w:leader="none" w:pos="6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considered to be resident (</w:t>
      </w:r>
      <w:r>
        <w:rPr>
          <w:rFonts w:ascii="Times New Roman" w:cs="Times New Roman" w:eastAsia="Times New Roman" w:hAnsi="Times New Roman"/>
          <w:sz w:val="18"/>
          <w:szCs w:val="18"/>
          <w:i w:val="1"/>
          <w:iCs w:val="1"/>
          <w:color w:val="auto"/>
        </w:rPr>
        <w:t>gevestigd</w:t>
      </w:r>
      <w:r>
        <w:rPr>
          <w:rFonts w:ascii="Times New Roman" w:cs="Times New Roman" w:eastAsia="Times New Roman" w:hAnsi="Times New Roman"/>
          <w:sz w:val="18"/>
          <w:szCs w:val="18"/>
          <w:color w:val="auto"/>
        </w:rPr>
        <w:t>) in a jurisdiction that is listed in the yearly updated Dutch Regulation on low-taxing states and non-cooperative jurisdictions for tax purposes (</w:t>
      </w:r>
      <w:r>
        <w:rPr>
          <w:rFonts w:ascii="Times New Roman" w:cs="Times New Roman" w:eastAsia="Times New Roman" w:hAnsi="Times New Roman"/>
          <w:sz w:val="18"/>
          <w:szCs w:val="18"/>
          <w:i w:val="1"/>
          <w:iCs w:val="1"/>
          <w:color w:val="auto"/>
        </w:rPr>
        <w:t>Regeling laagbelastende staten en niet-coöperatieve rechtsgebieden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voor belastingdoeleinden</w:t>
      </w:r>
      <w:r>
        <w:rPr>
          <w:rFonts w:ascii="Times New Roman" w:cs="Times New Roman" w:eastAsia="Times New Roman" w:hAnsi="Times New Roman"/>
          <w:sz w:val="18"/>
          <w:szCs w:val="18"/>
          <w:color w:val="auto"/>
        </w:rPr>
        <w:t>) (a “Listed Jurisdiction”); or</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permanent establishment located in a Listed Jurisdiction to which the common shares are attributable; or</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the common shares for the main purpose or one of the main purposes to avoid taxation for another person or entity and there is an artificial arrangement or transaction or a series of artificial arrangements or transactions; or</w:t>
      </w:r>
    </w:p>
    <w:p>
      <w:pPr>
        <w:spacing w:after="0" w:line="161"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72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considered to be the beneficial owner of the common shares in its jurisdiction of residence because such jurisdiction treats another entity as the beneficial owner of the common shares (a hybrid mismatch); or</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resident in any jurisdiction (also a hybrid mismatch); or</w:t>
      </w:r>
    </w:p>
    <w:p>
      <w:pPr>
        <w:spacing w:after="0" w:line="225" w:lineRule="exact"/>
        <w:rPr>
          <w:rFonts w:ascii="Times New Roman" w:cs="Times New Roman" w:eastAsia="Times New Roman" w:hAnsi="Times New Roman"/>
          <w:sz w:val="18"/>
          <w:szCs w:val="18"/>
          <w:color w:val="auto"/>
        </w:rPr>
      </w:pPr>
    </w:p>
    <w:p>
      <w:pPr>
        <w:ind w:left="680" w:right="40" w:hanging="321"/>
        <w:spacing w:after="0" w:line="258" w:lineRule="auto"/>
        <w:tabs>
          <w:tab w:leader="none" w:pos="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reverse hybrid (within the meaning of Article 2(12) of the Dutch Corporate Income Tax Act 1969), if and to the extent (x) there is a participant in the reverse hybrid which is related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to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 all within the meaning of the Dutch Withholding Tax Act 2021.</w:t>
      </w:r>
    </w:p>
    <w:p>
      <w:pPr>
        <w:spacing w:after="0" w:line="18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Dutch conditional withholding tax on dividends will be imposed at the highest Dutch corporate income tax rate in effect at the time of the distribution 2024: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(2024: 25.8%).</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Dual Tax Residency</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incorporated under the laws of the Netherlands, and we are therefore a Dutch tax resident for Dutch domestic tax law purposes, including the Dutch Dividend Withholding Tax Act 1969. We are also treated as a German tax resident for German domestic tax law purposes, since our place of effective management is located in Germany. Based on the so-called tie-breaker provision (the “Tie-Breaker Provision”) included in Section 4(3) of the 2012 Convention between the Federal Republic of Germany and the Kingdom of the Netherlands for the avoidance of double taxation with respect to taxes on income (the “double tax treaty between Germany and the Netherlands”) as in effect on the date hereof, our tax residence in either the Netherlands or Germany for the purposes of the double tax treaty between Germany and the Netherlands should be determined on our place of effective management. As long as our place of effective management is in Germany, and the Tie-Breaker Provision and the reservation made by Germany with respect to the Tie-Breaker Provision as part of the Multilateral Convention to Implement Tax Treaty Related Measures to Prevent Base Erosion and Profit Shifting are not changed, we should exclusively be a tax resident of Germany for purposes of the double tax treaty between Germany and the Netherlands. As a consequence, the Netherlands will be restricted from imposing Dutch dividend withholding tax on dividends distributed by us pursuant to Section 10(5) of the double tax treaty between Germany and the Netherlands, except for dividends distributed to Dutch Resident Entities, Dutch Resident Individuals and Non-Resident Holders if the common shares are attributable to a permanent establishment in the Netherlands of such Non-Resident Holder.</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Taxes on Income and Capital Gains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Dutch Resident Entities</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Generally speaking, if the holder of common shares is a Dutch Resident Entity, any benefits derived or deemed to be derived from the common shares or any capital gains realized on the disposal or deemed disposal of the common shares is subject to Dutch corporate income tax at a rate of 19% with respect to taxable profits up to €200,000 and 25.8% with respect to taxable profits in excess of that amount (rates and brackets for 2024).</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Dutch Resident Individuals</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the holder of common shares is a Dutch Resident Individual, any benefits derived or deemed to be derived from the common shares or any capital gains realized on the disposal or deemed disposal of the common shares is taxable at the progressive Dutch income tax rates (with a maximum of 49.5% in 2024), if:</w:t>
      </w:r>
    </w:p>
    <w:p>
      <w:pPr>
        <w:spacing w:after="0" w:line="176" w:lineRule="exact"/>
        <w:rPr>
          <w:sz w:val="20"/>
          <w:szCs w:val="20"/>
          <w:color w:val="auto"/>
        </w:rPr>
      </w:pPr>
    </w:p>
    <w:p>
      <w:pPr>
        <w:jc w:val="both"/>
        <w:ind w:left="660" w:right="460" w:hanging="328"/>
        <w:spacing w:after="0" w:line="266"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are attributable to an enterprise from which the holder of common shares derives a share of the profit, whether as an entrepreneur (</w:t>
      </w:r>
      <w:r>
        <w:rPr>
          <w:rFonts w:ascii="Times New Roman" w:cs="Times New Roman" w:eastAsia="Times New Roman" w:hAnsi="Times New Roman"/>
          <w:sz w:val="18"/>
          <w:szCs w:val="18"/>
          <w:i w:val="1"/>
          <w:iCs w:val="1"/>
          <w:color w:val="auto"/>
        </w:rPr>
        <w:t>ondernemer</w:t>
      </w:r>
      <w:r>
        <w:rPr>
          <w:rFonts w:ascii="Times New Roman" w:cs="Times New Roman" w:eastAsia="Times New Roman" w:hAnsi="Times New Roman"/>
          <w:sz w:val="18"/>
          <w:szCs w:val="18"/>
          <w:color w:val="auto"/>
        </w:rPr>
        <w:t>) or as a person who has a co-entitlement to the net worth (</w:t>
      </w:r>
      <w:r>
        <w:rPr>
          <w:rFonts w:ascii="Times New Roman" w:cs="Times New Roman" w:eastAsia="Times New Roman" w:hAnsi="Times New Roman"/>
          <w:sz w:val="18"/>
          <w:szCs w:val="18"/>
          <w:i w:val="1"/>
          <w:iCs w:val="1"/>
          <w:color w:val="auto"/>
        </w:rPr>
        <w:t>medegerechtigd tot het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vermogen</w:t>
      </w:r>
      <w:r>
        <w:rPr>
          <w:rFonts w:ascii="Times New Roman" w:cs="Times New Roman" w:eastAsia="Times New Roman" w:hAnsi="Times New Roman"/>
          <w:sz w:val="18"/>
          <w:szCs w:val="18"/>
          <w:color w:val="auto"/>
        </w:rPr>
        <w:t>) of such enterprise without being a shareholder (as defined in the Dutch Income Tax Act 2001); or</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common shares is considered to perform activities with respect to the common shares that go beyond ordinary asset management (</w:t>
      </w:r>
      <w:r>
        <w:rPr>
          <w:rFonts w:ascii="Times New Roman" w:cs="Times New Roman" w:eastAsia="Times New Roman" w:hAnsi="Times New Roman"/>
          <w:sz w:val="18"/>
          <w:szCs w:val="18"/>
          <w:i w:val="1"/>
          <w:iCs w:val="1"/>
          <w:color w:val="auto"/>
        </w:rPr>
        <w:t>normaal, actief vermogensbeheer</w:t>
      </w:r>
      <w:r>
        <w:rPr>
          <w:rFonts w:ascii="Times New Roman" w:cs="Times New Roman" w:eastAsia="Times New Roman" w:hAnsi="Times New Roman"/>
          <w:sz w:val="18"/>
          <w:szCs w:val="18"/>
          <w:color w:val="auto"/>
        </w:rPr>
        <w:t>) or otherwise derives benefits from the common shares that are taxable as benefits from miscellaneous activities (</w:t>
      </w:r>
      <w:r>
        <w:rPr>
          <w:rFonts w:ascii="Times New Roman" w:cs="Times New Roman" w:eastAsia="Times New Roman" w:hAnsi="Times New Roman"/>
          <w:sz w:val="18"/>
          <w:szCs w:val="18"/>
          <w:i w:val="1"/>
          <w:iCs w:val="1"/>
          <w:color w:val="auto"/>
        </w:rPr>
        <w:t>resultaat uit overige werkzaamheden</w:t>
      </w:r>
      <w:r>
        <w:rPr>
          <w:rFonts w:ascii="Times New Roman" w:cs="Times New Roman" w:eastAsia="Times New Roman" w:hAnsi="Times New Roman"/>
          <w:sz w:val="18"/>
          <w:szCs w:val="18"/>
          <w:color w:val="auto"/>
        </w:rPr>
        <w:t>).</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savings and investments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the above-mentioned conditions (i) and (ii) do not apply to the Dutch Resident Individual, the common shares will be subject to an annual Dutch income tax under the regime for savings and investments (</w:t>
      </w:r>
      <w:r>
        <w:rPr>
          <w:rFonts w:ascii="Times New Roman" w:cs="Times New Roman" w:eastAsia="Times New Roman" w:hAnsi="Times New Roman"/>
          <w:sz w:val="18"/>
          <w:szCs w:val="18"/>
          <w:i w:val="1"/>
          <w:iCs w:val="1"/>
          <w:color w:val="auto"/>
        </w:rPr>
        <w:t>inkomen uit sparen en beleggen</w:t>
      </w:r>
      <w:r>
        <w:rPr>
          <w:rFonts w:ascii="Times New Roman" w:cs="Times New Roman" w:eastAsia="Times New Roman" w:hAnsi="Times New Roman"/>
          <w:sz w:val="18"/>
          <w:szCs w:val="18"/>
          <w:color w:val="auto"/>
        </w:rPr>
        <w:t>). Taxation only occurs insofar the Dutch Resident Individual’s net investment assets for the year exceed a statutory threshold (</w:t>
      </w:r>
      <w:r>
        <w:rPr>
          <w:rFonts w:ascii="Times New Roman" w:cs="Times New Roman" w:eastAsia="Times New Roman" w:hAnsi="Times New Roman"/>
          <w:sz w:val="18"/>
          <w:szCs w:val="18"/>
          <w:i w:val="1"/>
          <w:iCs w:val="1"/>
          <w:color w:val="auto"/>
        </w:rPr>
        <w:t>heffingvrij vermogen</w:t>
      </w:r>
      <w:r>
        <w:rPr>
          <w:rFonts w:ascii="Times New Roman" w:cs="Times New Roman" w:eastAsia="Times New Roman" w:hAnsi="Times New Roman"/>
          <w:sz w:val="18"/>
          <w:szCs w:val="18"/>
          <w:color w:val="auto"/>
        </w:rPr>
        <w:t xml:space="preserve">). The net investment assets for the year are the fair market value of the investment assets less the fair market value of the liabilities on January 1 of the relevant calendar year (reference date; </w:t>
      </w:r>
      <w:r>
        <w:rPr>
          <w:rFonts w:ascii="Times New Roman" w:cs="Times New Roman" w:eastAsia="Times New Roman" w:hAnsi="Times New Roman"/>
          <w:sz w:val="18"/>
          <w:szCs w:val="18"/>
          <w:i w:val="1"/>
          <w:iCs w:val="1"/>
          <w:color w:val="auto"/>
        </w:rPr>
        <w:t>peildatum</w:t>
      </w:r>
      <w:r>
        <w:rPr>
          <w:rFonts w:ascii="Times New Roman" w:cs="Times New Roman" w:eastAsia="Times New Roman" w:hAnsi="Times New Roman"/>
          <w:sz w:val="18"/>
          <w:szCs w:val="18"/>
          <w:color w:val="auto"/>
        </w:rPr>
        <w:t>). Actual income or capital gains realized in respect of the common shares are as such not subject to Dutch income tax.</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Dutch Resident Individual’s assets and liabilities taxed under this regime, including the common shares, are allocated over the following three categories: (a) bank savings (</w:t>
      </w:r>
      <w:r>
        <w:rPr>
          <w:rFonts w:ascii="Times New Roman" w:cs="Times New Roman" w:eastAsia="Times New Roman" w:hAnsi="Times New Roman"/>
          <w:sz w:val="18"/>
          <w:szCs w:val="18"/>
          <w:i w:val="1"/>
          <w:iCs w:val="1"/>
          <w:color w:val="auto"/>
        </w:rPr>
        <w:t>banktegoeden</w:t>
      </w:r>
      <w:r>
        <w:rPr>
          <w:rFonts w:ascii="Times New Roman" w:cs="Times New Roman" w:eastAsia="Times New Roman" w:hAnsi="Times New Roman"/>
          <w:sz w:val="18"/>
          <w:szCs w:val="18"/>
          <w:color w:val="auto"/>
        </w:rPr>
        <w:t>), (b) other investments (</w:t>
      </w:r>
      <w:r>
        <w:rPr>
          <w:rFonts w:ascii="Times New Roman" w:cs="Times New Roman" w:eastAsia="Times New Roman" w:hAnsi="Times New Roman"/>
          <w:sz w:val="18"/>
          <w:szCs w:val="18"/>
          <w:i w:val="1"/>
          <w:iCs w:val="1"/>
          <w:color w:val="auto"/>
        </w:rPr>
        <w:t>overige bezittingen</w:t>
      </w:r>
      <w:r>
        <w:rPr>
          <w:rFonts w:ascii="Times New Roman" w:cs="Times New Roman" w:eastAsia="Times New Roman" w:hAnsi="Times New Roman"/>
          <w:sz w:val="18"/>
          <w:szCs w:val="18"/>
          <w:color w:val="auto"/>
        </w:rPr>
        <w:t>), including the common shares, and (c) liabilities (</w:t>
      </w:r>
      <w:r>
        <w:rPr>
          <w:rFonts w:ascii="Times New Roman" w:cs="Times New Roman" w:eastAsia="Times New Roman" w:hAnsi="Times New Roman"/>
          <w:sz w:val="18"/>
          <w:szCs w:val="18"/>
          <w:i w:val="1"/>
          <w:iCs w:val="1"/>
          <w:color w:val="auto"/>
        </w:rPr>
        <w:t>schulden</w:t>
      </w:r>
      <w:r>
        <w:rPr>
          <w:rFonts w:ascii="Times New Roman" w:cs="Times New Roman" w:eastAsia="Times New Roman" w:hAnsi="Times New Roman"/>
          <w:sz w:val="18"/>
          <w:szCs w:val="18"/>
          <w:color w:val="auto"/>
        </w:rPr>
        <w:t>). The taxable benefit for the year (</w:t>
      </w:r>
      <w:r>
        <w:rPr>
          <w:rFonts w:ascii="Times New Roman" w:cs="Times New Roman" w:eastAsia="Times New Roman" w:hAnsi="Times New Roman"/>
          <w:sz w:val="18"/>
          <w:szCs w:val="18"/>
          <w:i w:val="1"/>
          <w:iCs w:val="1"/>
          <w:color w:val="auto"/>
        </w:rPr>
        <w:t>voordeel uit sparen en beleggen</w:t>
      </w:r>
      <w:r>
        <w:rPr>
          <w:rFonts w:ascii="Times New Roman" w:cs="Times New Roman" w:eastAsia="Times New Roman" w:hAnsi="Times New Roman"/>
          <w:sz w:val="18"/>
          <w:szCs w:val="18"/>
          <w:color w:val="auto"/>
        </w:rPr>
        <w:t>) is equal to the product of (x) the total deemed return divided by the sum of bank savings, other investments and liabilities and (b) the sum of bank savings, other investments and liabilities minus the statutory threshold, and is taxed at a flat rate of 36% (rate for 2024).</w:t>
      </w:r>
    </w:p>
    <w:p>
      <w:pPr>
        <w:spacing w:after="0" w:line="18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deemed return applicable to other investments, including the common shares, is set at 6.04% for the calendar year 2024. Transactions in the three-month period before and after January 1 of the relevant calendar year implemented to arbitrate between the deemed return percentages applicable to bank savings, other investments and liabilities will for this purpose be ignored if the holder of common shares cannot sufficiently demonstrate that such transactions are implemented for other than tax reasons.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current Dutch income tax regime for savings and investments was implemented in Dutch tax law following the decision of the Dutch Supreme Court (Hoge Raad) of 24 December 2021 (ECLI:NL:2021:1963) (the “Decision”). In the Decision, the Dutch Supreme Court ruled that the (old) system of taxation for savings and investments based on a deemed return may under specific circumstances contravene with Section 1 of the First Protocol to the European Convention on Human Rights in combination with Section 14 of the European Convention on Human Rights (the “EC-Human Rights”). A new court procedure is pending before the Dutch Supreme Court questioning whether the current tax system for savings and investments is in line with the Decision. On 18 September 2023 (ECLI:NL:PHR:2023:655) the Attorney General Wattel concluded that the new tax system is not in line with the Decision, except for the taxation of bank savings, as the system is, in short, still based on a deemed return rather than actual returns, and as a result, the regime contravenes with the EC-Human Rights. The decision of the Dutch Supreme Court is expected mid-2024. In addition, on 8 September 2023, the former cabinet published a law proposal for a new tax system for savings and investments on the basis of actual returns according to an asset accumulation system, the ‘Actual Return Box 3 Act’ (Wet werkelijk rendement box 3). The proposed system is expected to come into effect on 1 January 2027 at the earliest. However, it is up to the new cabinet to submit a final law proposal to the Dutch parliament.</w:t>
      </w:r>
    </w:p>
    <w:p>
      <w:pPr>
        <w:spacing w:after="0" w:line="187" w:lineRule="exact"/>
        <w:rPr>
          <w:sz w:val="20"/>
          <w:szCs w:val="20"/>
          <w:color w:val="auto"/>
        </w:rPr>
      </w:pPr>
    </w:p>
    <w:p>
      <w:pPr>
        <w:jc w:val="both"/>
        <w:ind w:right="380" w:firstLine="324"/>
        <w:spacing w:after="0" w:line="282" w:lineRule="auto"/>
        <w:rPr>
          <w:sz w:val="20"/>
          <w:szCs w:val="20"/>
          <w:color w:val="auto"/>
        </w:rPr>
      </w:pPr>
      <w:r>
        <w:rPr>
          <w:rFonts w:ascii="Times New Roman" w:cs="Times New Roman" w:eastAsia="Times New Roman" w:hAnsi="Times New Roman"/>
          <w:sz w:val="18"/>
          <w:szCs w:val="18"/>
          <w:color w:val="auto"/>
        </w:rPr>
        <w:t>Holders of common shares are advised to consult their own tax advisor to ensure that the tax in respect of the common shares is levied in accordance with the applicable Dutch tax rules at the relevant time.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227"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A holder of common shares that is neither a Dutch Resident Entity nor a Dutch Resident Individual will not be subject to Dutch (corporate) income tax in respect of income derived or deemed to be derived from the common shares or in respect of capital gains realized on the disposal or deemed disposal of the common shares, provided that:</w:t>
      </w:r>
    </w:p>
    <w:p>
      <w:pPr>
        <w:spacing w:after="0" w:line="176" w:lineRule="exact"/>
        <w:rPr>
          <w:sz w:val="20"/>
          <w:szCs w:val="20"/>
          <w:color w:val="auto"/>
        </w:rPr>
      </w:pPr>
    </w:p>
    <w:p>
      <w:pPr>
        <w:ind w:left="680" w:right="160" w:hanging="321"/>
        <w:spacing w:after="0" w:line="261" w:lineRule="auto"/>
        <w:tabs>
          <w:tab w:leader="none" w:pos="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does not have an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common shares are attributable; and</w:t>
      </w:r>
    </w:p>
    <w:p>
      <w:pPr>
        <w:spacing w:after="0" w:line="179"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holder is an individual, such holder does not carry out any activities in the Netherlands with respect to the common shares that go beyond ordinary asset management and does not otherwise derive benefits from the common shares that are taxable as benefits from miscellaneous activities in the Netherlands.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Gift and Inheritance Taxes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Residents of the Netherlands</w:t>
      </w:r>
    </w:p>
    <w:p>
      <w:pPr>
        <w:spacing w:after="0" w:line="227" w:lineRule="exact"/>
        <w:rPr>
          <w:sz w:val="20"/>
          <w:szCs w:val="20"/>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Gift or inheritance taxes will arise in the Netherlands with respect to a transfer of common shares by way of a gift by, or on the death of, a holder of such common shares who is resident or deemed resident of the Netherlands at the time of the gift or the holder’s death.</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227"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No gift or inheritance taxes will arise in the Netherlands with respect to a transfer of common shares by way of gift by, or on the death of, a holder of common shares who is neither resident nor deemed to be resident of the Netherlands, unless:</w:t>
      </w:r>
    </w:p>
    <w:p>
      <w:pPr>
        <w:spacing w:after="0" w:line="162" w:lineRule="exact"/>
        <w:rPr>
          <w:sz w:val="20"/>
          <w:szCs w:val="20"/>
          <w:color w:val="auto"/>
        </w:rPr>
      </w:pPr>
    </w:p>
    <w:p>
      <w:pPr>
        <w:ind w:left="680" w:hanging="321"/>
        <w:spacing w:after="0" w:line="266" w:lineRule="auto"/>
        <w:tabs>
          <w:tab w:leader="none" w:pos="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gift of common shares by an individual who at the date of the gift was neither resident nor deemed to be resident of the Netherlands, such individual dies within 180 days after the date of the gift, while being resident or deemed to be resident of the Netherlands; or</w:t>
      </w:r>
    </w:p>
    <w:p>
      <w:pPr>
        <w:spacing w:after="0" w:line="175"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gift of common shares is made under a condition precedent, the holder of common shares is resident or is deemed to be resident of the Netherlands at the time the condition is fulfilled; or</w:t>
      </w:r>
    </w:p>
    <w:p>
      <w:pPr>
        <w:spacing w:after="0" w:line="16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otherwise construed as a gift or inheritance made by, or on behalf of, a person who, at the time of the gift or death, is or is deemed to be resident of the Netherlands.</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For purposes of Dutch gift and inheritance taxes, among others, a person that holds the Dutch nationality will be deemed to be resident of the Netherlands if such person has been resident in the Netherlands at any time during the ten (10)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(12) months preceding the date of the gift. Applicable tax treaties may override deemed residency.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Value Added Tax (VAT)</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No Dutch VAT will be payable by a holder of common shares in respect of any payment in consideration for the holding or disposal of the common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Stamp Duties</w:t>
      </w:r>
    </w:p>
    <w:p>
      <w:pPr>
        <w:spacing w:after="0" w:line="22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No Dutch documentation taxes (commonly referred to as stamp duties) will be payable by a holder of common shares in respect of any payment in consideration for the holding or disposal of the common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German Tax Considerations</w:t>
      </w:r>
    </w:p>
    <w:p>
      <w:pPr>
        <w:spacing w:after="0" w:line="229" w:lineRule="exact"/>
        <w:rPr>
          <w:sz w:val="20"/>
          <w:szCs w:val="20"/>
          <w:color w:val="auto"/>
        </w:rPr>
      </w:pPr>
    </w:p>
    <w:p>
      <w:pPr>
        <w:jc w:val="both"/>
        <w:ind w:right="140" w:firstLine="324"/>
        <w:spacing w:after="0" w:line="289" w:lineRule="auto"/>
        <w:rPr>
          <w:sz w:val="20"/>
          <w:szCs w:val="20"/>
          <w:color w:val="auto"/>
        </w:rPr>
      </w:pPr>
      <w:r>
        <w:rPr>
          <w:rFonts w:ascii="Times New Roman" w:cs="Times New Roman" w:eastAsia="Times New Roman" w:hAnsi="Times New Roman"/>
          <w:sz w:val="17"/>
          <w:szCs w:val="17"/>
          <w:color w:val="auto"/>
        </w:rPr>
        <w:t>The following section is a description of the material German tax considerations that become relevant when purchasing, holding or transferring the company’s shares. The section is based on the German tax law applicable as of the date of this Annual Report. It should be noted that the law may change following the issuance of this Annual Report and that such changes may have retroactive effect.</w:t>
      </w:r>
    </w:p>
    <w:p>
      <w:pPr>
        <w:spacing w:after="0" w:line="158"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The material German tax principles of purchasing, owning and transferring of shares are set forth in the following. This section does not purport to be a comprehensive or complete analysis or listing of all potential tax effects of the purchase, ownership or disposition of shares and does not set forth all tax considerations that may be relevant to a particular person’s decision to acquire common shares.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This section is intended as general information only and does not purport to be a comprehensive or complete description of all potential German tax effects of the acquisition, ownership or transfer of ordinary shares and does not set forth all German tax considerations that may be relevant to a particular person’s decision to acquire ordinary shares. It does not constitute particular German tax advice and potential purchasers of CureVac’s ordinary shares are urged to consult their own tax advisors regarding the tax consequences of the acquisition, ownership and transfer of ordinary shares in light of their particular circumstances with regard to the application of German tax law to their particular situations, in particular with respect to the procedure to be complied with to obtain a relief of withholding tax on dividends and on capital gains (</w:t>
      </w:r>
      <w:r>
        <w:rPr>
          <w:rFonts w:ascii="Times New Roman" w:cs="Times New Roman" w:eastAsia="Times New Roman" w:hAnsi="Times New Roman"/>
          <w:sz w:val="18"/>
          <w:szCs w:val="18"/>
          <w:i w:val="1"/>
          <w:iCs w:val="1"/>
          <w:color w:val="auto"/>
        </w:rPr>
        <w:t>Kapitalertragsteuer</w:t>
      </w:r>
      <w:r>
        <w:rPr>
          <w:rFonts w:ascii="Times New Roman" w:cs="Times New Roman" w:eastAsia="Times New Roman" w:hAnsi="Times New Roman"/>
          <w:sz w:val="18"/>
          <w:szCs w:val="18"/>
          <w:color w:val="auto"/>
        </w:rPr>
        <w:t>) and with respect to the influence of double tax treaty provisions, as well as any tax consequences arising under the laws of any state, local or other non-German jurisdiction. For German tax purposes, a shareholder may include an individual who or an entity that does not have the legal title to the ordinary shares, but to whom nevertheless the ordinary shares are attributed, based either on such individual or entity owning a beneficial interest in the ordinary shares or based on specific statutory provisions.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following is subject to change. Such changes could apply retroactively and could affect the consequences set forth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does not refer to any U.S. Foreign Account Tax Compliance Act aspects (FACTA).</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CureVac’s Tax Residency Status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CureVac has its statutory seat in the Netherlands and its sole place of management in Germany and is therefore tax resident in Germany (for purposes of the German-Dutch tax treaty). Thus, CureVac qualifies as a corporation subject to German unlimited liability for corporate income tax purposes. However, because CureVac’s tax residency depends on future facts regarding its place of management the German unlimited liability for corporate income tax purposes may change in the future.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 Tax</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Withholding Tax on Dividends</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Dividends distributed from a company to its shareholders are subject to withholding tax, subject to certain exemptions (for example, repayments of capital from the tax equity account (</w:t>
      </w:r>
      <w:r>
        <w:rPr>
          <w:rFonts w:ascii="Times New Roman" w:cs="Times New Roman" w:eastAsia="Times New Roman" w:hAnsi="Times New Roman"/>
          <w:sz w:val="18"/>
          <w:szCs w:val="18"/>
          <w:i w:val="1"/>
          <w:iCs w:val="1"/>
          <w:color w:val="auto"/>
        </w:rPr>
        <w:t>steuerliches Einlagekonto</w:t>
      </w:r>
      <w:r>
        <w:rPr>
          <w:rFonts w:ascii="Times New Roman" w:cs="Times New Roman" w:eastAsia="Times New Roman" w:hAnsi="Times New Roman"/>
          <w:sz w:val="18"/>
          <w:szCs w:val="18"/>
          <w:color w:val="auto"/>
        </w:rPr>
        <w:t>)), as described in the following. The withholding tax rate is 25% plus 5.5%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thereon (in total 26.375%) of the gross dividend approved by the ordinary shareholders’ meeting. Withholding tax is to be withheld and passed on for the account of the shareholders by a domestic branch of a domestic or foreign credit or financial services institution (</w:t>
      </w:r>
      <w:r>
        <w:rPr>
          <w:rFonts w:ascii="Times New Roman" w:cs="Times New Roman" w:eastAsia="Times New Roman" w:hAnsi="Times New Roman"/>
          <w:sz w:val="18"/>
          <w:szCs w:val="18"/>
          <w:i w:val="1"/>
          <w:iCs w:val="1"/>
          <w:color w:val="auto"/>
        </w:rPr>
        <w:t>Kredit-und Finanzdienstleistungsinstitut</w:t>
      </w:r>
      <w:r>
        <w:rPr>
          <w:rFonts w:ascii="Times New Roman" w:cs="Times New Roman" w:eastAsia="Times New Roman" w:hAnsi="Times New Roman"/>
          <w:sz w:val="18"/>
          <w:szCs w:val="18"/>
          <w:color w:val="auto"/>
        </w:rPr>
        <w:t>), by the domestic securities trading company (</w:t>
      </w:r>
      <w:r>
        <w:rPr>
          <w:rFonts w:ascii="Times New Roman" w:cs="Times New Roman" w:eastAsia="Times New Roman" w:hAnsi="Times New Roman"/>
          <w:sz w:val="18"/>
          <w:szCs w:val="18"/>
          <w:i w:val="1"/>
          <w:iCs w:val="1"/>
          <w:color w:val="auto"/>
        </w:rPr>
        <w:t>inländisches Wertpapierhandelsunternehmen</w:t>
      </w:r>
      <w:r>
        <w:rPr>
          <w:rFonts w:ascii="Times New Roman" w:cs="Times New Roman" w:eastAsia="Times New Roman" w:hAnsi="Times New Roman"/>
          <w:sz w:val="18"/>
          <w:szCs w:val="18"/>
          <w:color w:val="auto"/>
        </w:rPr>
        <w:t>) or a domestic securities trading bank (</w:t>
      </w:r>
      <w:r>
        <w:rPr>
          <w:rFonts w:ascii="Times New Roman" w:cs="Times New Roman" w:eastAsia="Times New Roman" w:hAnsi="Times New Roman"/>
          <w:sz w:val="18"/>
          <w:szCs w:val="18"/>
          <w:i w:val="1"/>
          <w:iCs w:val="1"/>
          <w:color w:val="auto"/>
        </w:rPr>
        <w:t>inländische Wertpapierhandelsbank</w:t>
      </w:r>
      <w:r>
        <w:rPr>
          <w:rFonts w:ascii="Times New Roman" w:cs="Times New Roman" w:eastAsia="Times New Roman" w:hAnsi="Times New Roman"/>
          <w:sz w:val="18"/>
          <w:szCs w:val="18"/>
          <w:color w:val="auto"/>
        </w:rPr>
        <w:t>) which keeps and administers the shares and disburses or credits the dividends or disburses the dividends to a foreign agent, or by the securities custodian bank (</w:t>
      </w:r>
      <w:r>
        <w:rPr>
          <w:rFonts w:ascii="Times New Roman" w:cs="Times New Roman" w:eastAsia="Times New Roman" w:hAnsi="Times New Roman"/>
          <w:sz w:val="18"/>
          <w:szCs w:val="18"/>
          <w:i w:val="1"/>
          <w:iCs w:val="1"/>
          <w:color w:val="auto"/>
        </w:rPr>
        <w:t>Wertpapiersammelbank</w:t>
      </w:r>
      <w:r>
        <w:rPr>
          <w:rFonts w:ascii="Times New Roman" w:cs="Times New Roman" w:eastAsia="Times New Roman" w:hAnsi="Times New Roman"/>
          <w:sz w:val="18"/>
          <w:szCs w:val="18"/>
          <w:color w:val="auto"/>
        </w:rPr>
        <w:t>) to which the shares were entrusted for collective custody if the dividends are distributed to a foreign agent by such securities custodian bank (which is referred to as the “Dividend Paying Agent”). In case the shares are not held in collective deposit with a Dividend Paying Agent, the company is responsible for withholding and remitting the tax to the competent tax office.</w:t>
      </w:r>
    </w:p>
    <w:p>
      <w:pPr>
        <w:spacing w:after="0" w:line="19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Such withholding tax is levied and withheld irrespective of whether, and to what extent, the dividend distribution is taxable at the level of the shareholder, and whether the shareholder is a person residing in Germany or in a foreign country.</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the case of dividends distributed to a company within the meaning of Art. 2 of the amended EU Directive 2011/96/EU of the Council of November 30, 2011, or the EU Parent Subsidiary Directive, domiciled in another Member State of the European Union, an exemption from withholding tax will be granted upon request if further prerequisites are satisfied (</w:t>
      </w:r>
      <w:r>
        <w:rPr>
          <w:rFonts w:ascii="Times New Roman" w:cs="Times New Roman" w:eastAsia="Times New Roman" w:hAnsi="Times New Roman"/>
          <w:sz w:val="18"/>
          <w:szCs w:val="18"/>
          <w:i w:val="1"/>
          <w:iCs w:val="1"/>
          <w:color w:val="auto"/>
        </w:rPr>
        <w:t>Freistellung 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Steuerabzugsverfahren</w:t>
      </w:r>
      <w:r>
        <w:rPr>
          <w:rFonts w:ascii="Times New Roman" w:cs="Times New Roman" w:eastAsia="Times New Roman" w:hAnsi="Times New Roman"/>
          <w:sz w:val="18"/>
          <w:szCs w:val="18"/>
          <w:color w:val="auto"/>
        </w:rPr>
        <w:t>). This also applies to dividends distributed to a permanent establishment located in another Member State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European Union of such a parent company or of a parent company tax resident in Germany if the participation in the company is effectively connected with this permanent establishment. The key prerequisite for the application of the EU Parent Subsidiary Directive is that the shareholder has held a direct participation in the share capital of the company of at least 10% for at least one year.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withholding tax on distributions to other foreign resident shareholders is reduced in accordance with a double taxation treaty (e.g., to 15%, 5% or 0% depending on certain prerequisites) if Germany has concluded such double taxation treaty with the country of residence of the shareholder and if the shareholder does not hold his shares either as part of the assets of a permanent establishment or a fixed place of business in Germany or as business assets for which a permanent representative has been appointed in Germany. The reduction of the withholding tax is procedurally granted in such a manner that the difference between the total amount withheld, including the solidarity surcharge, and the tax liability determined on the basis of the tax rate set forth in the applicable double taxation treaty (15% unless further qualifications are met) is refunded by the German tax administration upon request (Federal Central Office for Taxes (</w:t>
      </w:r>
      <w:r>
        <w:rPr>
          <w:rFonts w:ascii="Times New Roman" w:cs="Times New Roman" w:eastAsia="Times New Roman" w:hAnsi="Times New Roman"/>
          <w:sz w:val="18"/>
          <w:szCs w:val="18"/>
          <w:i w:val="1"/>
          <w:iCs w:val="1"/>
          <w:color w:val="auto"/>
        </w:rPr>
        <w:t>Bundeszentralamt für Steuern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the case of dividends received by corporations whose statutory seat and effective place of management are not located in Germany and who are therefore not tax resident in Germany, two-fifths of the withholding tax deducted and remitted are refunded without the need to fulfill all prerequisites required for such refund under the EU Parent Subsidiary Directive or under a double taxation treaty or if no double taxation treaty has been concluded between the state of residence of the shareholder. However, such refund is subject to the German anti-directive/treaty shopping provision of Section 50d paragraph 3 of the German Income Tax Act (</w:t>
      </w:r>
      <w:r>
        <w:rPr>
          <w:rFonts w:ascii="Times New Roman" w:cs="Times New Roman" w:eastAsia="Times New Roman" w:hAnsi="Times New Roman"/>
          <w:sz w:val="18"/>
          <w:szCs w:val="18"/>
          <w:i w:val="1"/>
          <w:iCs w:val="1"/>
          <w:color w:val="auto"/>
        </w:rPr>
        <w:t>Einkommensteuergesetz</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order to receive a refund pursuant to a double taxation treaty or the aforementioned option for foreign corporations, the shareholder has to electronically submit a n application via the Federal Central Tax Office’s online portal (www.elster.de/bportal) and upload certain documents during the application, i.a. a withholding tax certificate (</w:t>
      </w:r>
      <w:r>
        <w:rPr>
          <w:rFonts w:ascii="Times New Roman" w:cs="Times New Roman" w:eastAsia="Times New Roman" w:hAnsi="Times New Roman"/>
          <w:sz w:val="18"/>
          <w:szCs w:val="18"/>
          <w:i w:val="1"/>
          <w:iCs w:val="1"/>
          <w:color w:val="auto"/>
        </w:rPr>
        <w:t>Kapitalertragsteuerbescheinigung</w:t>
      </w:r>
      <w:r>
        <w:rPr>
          <w:rFonts w:ascii="Times New Roman" w:cs="Times New Roman" w:eastAsia="Times New Roman" w:hAnsi="Times New Roman"/>
          <w:sz w:val="18"/>
          <w:szCs w:val="18"/>
          <w:color w:val="auto"/>
        </w:rPr>
        <w:t>) issued by the institution that withheld the tax.</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exemption from withholding tax in accordance with the EU Parent Subsidiary Directive or a double tax treaty and the aforementioned options for a refund of the withholding tax (with or without protection under a double taxation treaty) depend on whether certain additional prerequisites (in particular so-called substance requirements) are fulfilled. The applicable withholding tax relief will only be granted if the preconditions of the German anti avoidance rules (so called Directive Override or Treaty Override), in particular Section 50d, paragraph 3, German Income Tax Act (</w:t>
      </w:r>
      <w:r>
        <w:rPr>
          <w:rFonts w:ascii="Times New Roman" w:cs="Times New Roman" w:eastAsia="Times New Roman" w:hAnsi="Times New Roman"/>
          <w:sz w:val="18"/>
          <w:szCs w:val="18"/>
          <w:i w:val="1"/>
          <w:iCs w:val="1"/>
          <w:color w:val="auto"/>
        </w:rPr>
        <w:t>Einkommensteuergesetz</w:t>
      </w:r>
      <w:r>
        <w:rPr>
          <w:rFonts w:ascii="Times New Roman" w:cs="Times New Roman" w:eastAsia="Times New Roman" w:hAnsi="Times New Roman"/>
          <w:sz w:val="18"/>
          <w:szCs w:val="18"/>
          <w:color w:val="auto"/>
        </w:rPr>
        <w:t>) are fulfilled.</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aforementioned reductions of (or exemptions from) withholding tax are further restricted if (i) the applicable double taxation treaty provides for a tax reduction resulting in an applicable tax rate of less than 15% and (ii) the shareholder is not a corporation that directly holds at least 10% in the equity capital of the company and is subject to tax on its income and profits in its state of residence without being exempt. In this case, the reduction of (or exemption from) withholding tax is subject to the following three cumulative prerequisites: (i) the shareholder must qualify as beneficial owner of the shares in the company for a minimum holding period of 45 consecutive days occurring within a period of 45 days prior and 45 days after the due date of the dividends, (ii) the shareholder has to bear at least 70% of the change in value risk related to the shares in the company during the minimum holding period without being directly or indirectly hedged and (iii) the shareholder must not be required to fully or largely compensate directly or indirectly the dividends to third parties. However, these further prerequisites do not apply if the shareholder has been the beneficial owner of the shares in the company for at least one uninterrupted year upon receipt of the dividends.</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Absent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A shareholder that has received gross dividends without any deduction of withholding tax due to a tax exemption without qualifying for a full tax credit has to notify the competent local tax office accordingly and has to make a payment in the amount of the omitted withholding tax deduction. The special rules on the restriction of withholding tax credit do not apply to a shareholder whose overall dividend earnings within an assessment period do not exceed €20,000 or that has been the beneficial owner of the shares in the company for at least one uninterrupted year upon receipt of the dividends.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For individual or corporate shareholders tax resident outside Germany not holding the shares through a permanent establishment (Betriebsstätte) in Germany or as business assets (Betriebsvermögen) for which a permanent representative (ständiger Vertreter) has been appointed in Germany, the remaining and paid withholding tax (if any) is final (i.e., not refundable) and settles the shareholder’s limited tax liability in Germany. For individual or corporate shareholders tax resident in Germany (that are, for example, shareholders whose residence, domicile, registered office or place of management is located in Germany) holding their shares as business assets, as well as for shareholders tax resident outside of Germany holding their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is refunded. For individual shareholders tax resident in Germany holding the company’s shares as private assets, the withholding tax is a final tax (Abgeltungsteuer), subject to the exceptions described in the following section. Taxation of Dividend Income of Shareholders Tax Resident in Germany Holding the Company’s Shares as Private Assets</w:t>
      </w:r>
    </w:p>
    <w:p>
      <w:pPr>
        <w:spacing w:after="0" w:line="19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For individual shareholders (individuals) resident in Germany holding the company’s shares as private assets, dividends are subject to a flat tax rate which is satisfied by the withholding tax actually withheld (</w:t>
      </w:r>
      <w:r>
        <w:rPr>
          <w:rFonts w:ascii="Times New Roman" w:cs="Times New Roman" w:eastAsia="Times New Roman" w:hAnsi="Times New Roman"/>
          <w:sz w:val="18"/>
          <w:szCs w:val="18"/>
          <w:i w:val="1"/>
          <w:iCs w:val="1"/>
          <w:color w:val="auto"/>
        </w:rPr>
        <w:t>Abgeltungsteuer</w:t>
      </w:r>
      <w:r>
        <w:rPr>
          <w:rFonts w:ascii="Times New Roman" w:cs="Times New Roman" w:eastAsia="Times New Roman" w:hAnsi="Times New Roman"/>
          <w:sz w:val="18"/>
          <w:szCs w:val="18"/>
          <w:color w:val="auto"/>
        </w:rPr>
        <w:t>). Accordingly, dividend income will be taxed at a flat tax rate of 25% plus 5.5% solidarity surcharge thereon (in total 26.375%) and church tax (</w:t>
      </w:r>
      <w:r>
        <w:rPr>
          <w:rFonts w:ascii="Times New Roman" w:cs="Times New Roman" w:eastAsia="Times New Roman" w:hAnsi="Times New Roman"/>
          <w:sz w:val="18"/>
          <w:szCs w:val="18"/>
          <w:i w:val="1"/>
          <w:iCs w:val="1"/>
          <w:color w:val="auto"/>
        </w:rPr>
        <w:t>Kirchensteuer</w:t>
      </w:r>
      <w:r>
        <w:rPr>
          <w:rFonts w:ascii="Times New Roman" w:cs="Times New Roman" w:eastAsia="Times New Roman" w:hAnsi="Times New Roman"/>
          <w:sz w:val="18"/>
          <w:szCs w:val="18"/>
          <w:color w:val="auto"/>
        </w:rPr>
        <w:t>) in case the shareholder is subject to church tax because of his individual circumstances. An automatic procedure for deduction of church tax by way of withholding will apply to shareholders being subject to church tax unless the shareholder has filed a blocking notice (</w:t>
      </w:r>
      <w:r>
        <w:rPr>
          <w:rFonts w:ascii="Times New Roman" w:cs="Times New Roman" w:eastAsia="Times New Roman" w:hAnsi="Times New Roman"/>
          <w:sz w:val="18"/>
          <w:szCs w:val="18"/>
          <w:i w:val="1"/>
          <w:iCs w:val="1"/>
          <w:color w:val="auto"/>
        </w:rPr>
        <w:t>Sperrvermerk</w:t>
      </w:r>
      <w:r>
        <w:rPr>
          <w:rFonts w:ascii="Times New Roman" w:cs="Times New Roman" w:eastAsia="Times New Roman" w:hAnsi="Times New Roman"/>
          <w:sz w:val="18"/>
          <w:szCs w:val="18"/>
          <w:color w:val="auto"/>
        </w:rPr>
        <w:t>) with the German Federal Tax Office (details related to the computation of the concrete tax rate including church tax are to be discussed with the individual tax adviser of the relevant shareholder). Except for an annual lump sum savings allowance (</w:t>
      </w:r>
      <w:r>
        <w:rPr>
          <w:rFonts w:ascii="Times New Roman" w:cs="Times New Roman" w:eastAsia="Times New Roman" w:hAnsi="Times New Roman"/>
          <w:sz w:val="18"/>
          <w:szCs w:val="18"/>
          <w:i w:val="1"/>
          <w:iCs w:val="1"/>
          <w:color w:val="auto"/>
        </w:rPr>
        <w:t>Sparer-Pauschbetrag</w:t>
      </w:r>
      <w:r>
        <w:rPr>
          <w:rFonts w:ascii="Times New Roman" w:cs="Times New Roman" w:eastAsia="Times New Roman" w:hAnsi="Times New Roman"/>
          <w:sz w:val="18"/>
          <w:szCs w:val="18"/>
          <w:color w:val="auto"/>
        </w:rPr>
        <w:t>) of up to € 1.000 (for individual filers) or up to € 2.000 (for married couples and for partners in accordance with the registered partnership law (</w:t>
      </w:r>
      <w:r>
        <w:rPr>
          <w:rFonts w:ascii="Times New Roman" w:cs="Times New Roman" w:eastAsia="Times New Roman" w:hAnsi="Times New Roman"/>
          <w:sz w:val="18"/>
          <w:szCs w:val="18"/>
          <w:i w:val="1"/>
          <w:iCs w:val="1"/>
          <w:color w:val="auto"/>
        </w:rPr>
        <w:t>Gesetz über die Eingetragene Lebenspartnerschaft</w:t>
      </w:r>
      <w:r>
        <w:rPr>
          <w:rFonts w:ascii="Times New Roman" w:cs="Times New Roman" w:eastAsia="Times New Roman" w:hAnsi="Times New Roman"/>
          <w:sz w:val="18"/>
          <w:szCs w:val="18"/>
          <w:color w:val="auto"/>
        </w:rPr>
        <w:t>) filing jointly), private individual shareholders will not be entitled to deduct expenses incurred in connection with the capital investment from their dividend income.</w:t>
      </w:r>
    </w:p>
    <w:p>
      <w:pPr>
        <w:spacing w:after="0" w:line="194" w:lineRule="exact"/>
        <w:rPr>
          <w:sz w:val="20"/>
          <w:szCs w:val="20"/>
          <w:color w:val="auto"/>
        </w:rPr>
      </w:pPr>
    </w:p>
    <w:p>
      <w:pPr>
        <w:jc w:val="both"/>
        <w:ind w:right="80" w:firstLine="324"/>
        <w:spacing w:after="0" w:line="257" w:lineRule="auto"/>
        <w:rPr>
          <w:sz w:val="20"/>
          <w:szCs w:val="20"/>
          <w:color w:val="auto"/>
        </w:rPr>
      </w:pPr>
      <w:r>
        <w:rPr>
          <w:rFonts w:ascii="Times New Roman" w:cs="Times New Roman" w:eastAsia="Times New Roman" w:hAnsi="Times New Roman"/>
          <w:sz w:val="18"/>
          <w:szCs w:val="18"/>
          <w:color w:val="auto"/>
        </w:rPr>
        <w:t>The income tax owed for the dividend income is satisfied by the withholding tax withheld by the Dividend Paying Agent. However, if the flat tax results in a higher tax burden as opposed to the private shareholder’s individual tax rate, the private shareholder can opt for taxation at his individual personal income tax rate. In that case, the final withholding tax will be credited against the income tax.</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However, private shareholders are nevertheless not entitled to deduct expenses incurred in connection with the capital investment from their income. The option can be exercised only for all capital income from capital investments received in the relevant assessment period uniformly, and married couples as well as partners in accordance with the registered partnership law filing jointly may only jointly exercise the option.</w:t>
      </w:r>
    </w:p>
    <w:p>
      <w:pPr>
        <w:spacing w:after="0" w:line="18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Exceptions from the flat tax rate (satisfied by withholding at source) (</w:t>
      </w:r>
      <w:r>
        <w:rPr>
          <w:rFonts w:ascii="Times New Roman" w:cs="Times New Roman" w:eastAsia="Times New Roman" w:hAnsi="Times New Roman"/>
          <w:sz w:val="18"/>
          <w:szCs w:val="18"/>
          <w:i w:val="1"/>
          <w:iCs w:val="1"/>
          <w:color w:val="auto"/>
        </w:rPr>
        <w:t>Abgeltungsteuer</w:t>
      </w:r>
      <w:r>
        <w:rPr>
          <w:rFonts w:ascii="Times New Roman" w:cs="Times New Roman" w:eastAsia="Times New Roman" w:hAnsi="Times New Roman"/>
          <w:sz w:val="18"/>
          <w:szCs w:val="18"/>
          <w:color w:val="auto"/>
        </w:rPr>
        <w:t>) may apply — that is, only upon application — for shareholders who have a shareholding of at least 25% in CureVac or for shareholders who have a shareholding of at least 1% in CureVac and work for the company in a professional capacity. In such a case, the same rules apply as for sole proprietors holding the shares as business assets. See “— Taxation of Dividend Income of Shareholders Tax Resident in Germany Holding the Company’s shares as Business Assets  — Sole Proprietors.” Further, the flat rate tax does not apply if and to the extent dividends reduced CureVac taxable income.</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Dividend Income of Shareholders Tax Resident in Germany Holding the Company’s shares as Business Assets</w:t>
      </w:r>
    </w:p>
    <w:p>
      <w:pPr>
        <w:spacing w:after="0" w:line="227"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If a shareholder holds the company’s shares as business assets, the taxation of the dividend income depends on whether the respective shareholder is a corporation, a sole proprietor or a partnership.</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Corporations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Dividend income of corporate shareholders is exempt from corporate income tax, provided that the incorporated entity holds a direct participation of at least 10% in the share capital of a company at the beginning of the calendar year in which the dividends are paid. The acquisition of a participation of at least 10% in the course of a calendar year is deemed to have occurred at the beginning of such calendar year for the purpose of this rule. Participations in the share capital of the company which a corporate shareholder holds through a partnership, including co-entrepreneurships (</w:t>
      </w:r>
      <w:r>
        <w:rPr>
          <w:rFonts w:ascii="Times New Roman" w:cs="Times New Roman" w:eastAsia="Times New Roman" w:hAnsi="Times New Roman"/>
          <w:sz w:val="18"/>
          <w:szCs w:val="18"/>
          <w:i w:val="1"/>
          <w:iCs w:val="1"/>
          <w:color w:val="auto"/>
        </w:rPr>
        <w:t>Mitunternehmerschaften</w:t>
      </w:r>
      <w:r>
        <w:rPr>
          <w:rFonts w:ascii="Times New Roman" w:cs="Times New Roman" w:eastAsia="Times New Roman" w:hAnsi="Times New Roman"/>
          <w:sz w:val="18"/>
          <w:szCs w:val="18"/>
          <w:color w:val="auto"/>
        </w:rPr>
        <w:t>),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subject to corporate income tax (plus solidarity surcharge) and trade tax, i.e., tax exemption of 95%. Business expenses incurred in connection with the dividends received are entirely tax-deductible. The participation exemption does not apply if and to the extent dividends reduced CureVac’s taxable income.</w:t>
      </w:r>
    </w:p>
    <w:p>
      <w:pPr>
        <w:spacing w:after="0" w:line="19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trade tax purposes the entire dividend income is subject to trade tax (i.e., the tax-exempt dividends must be added back when determining the trade taxable income), unless the corporation shareholder holds at least 15% of the company’s registered share capital at the beginning of the relevant tax assessment period (</w:t>
      </w:r>
      <w:r>
        <w:rPr>
          <w:rFonts w:ascii="Times New Roman" w:cs="Times New Roman" w:eastAsia="Times New Roman" w:hAnsi="Times New Roman"/>
          <w:sz w:val="18"/>
          <w:szCs w:val="18"/>
          <w:i w:val="1"/>
          <w:iCs w:val="1"/>
          <w:color w:val="auto"/>
        </w:rPr>
        <w:t>Erhebungszeitraum</w:t>
      </w:r>
      <w:r>
        <w:rPr>
          <w:rFonts w:ascii="Times New Roman" w:cs="Times New Roman" w:eastAsia="Times New Roman" w:hAnsi="Times New Roman"/>
          <w:sz w:val="18"/>
          <w:szCs w:val="18"/>
          <w:color w:val="auto"/>
        </w:rPr>
        <w:t>). In case of an indirect participation via a partnership please refer to the section “Partnerships” below.</w:t>
      </w:r>
    </w:p>
    <w:p>
      <w:pPr>
        <w:spacing w:after="0" w:line="1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If the shareholding is below 10% in the share capital, dividends are taxable at the applicable corporate income tax rate of 15% plus 5.5% solidarity surcharge thereon and trade tax (the rate of which depends on the municipalities the corporate shareholder resides 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Special regulations apply which abolish the 95% tax exemption if the company’s shares are held as trading portfolio assets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of Section 340e of the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 by (i) a credit institution (</w:t>
      </w:r>
      <w:r>
        <w:rPr>
          <w:rFonts w:ascii="Times New Roman" w:cs="Times New Roman" w:eastAsia="Times New Roman" w:hAnsi="Times New Roman"/>
          <w:sz w:val="18"/>
          <w:szCs w:val="18"/>
          <w:i w:val="1"/>
          <w:iCs w:val="1"/>
          <w:color w:val="auto"/>
        </w:rPr>
        <w:t>Kreditinstitut</w:t>
      </w:r>
      <w:r>
        <w:rPr>
          <w:rFonts w:ascii="Times New Roman" w:cs="Times New Roman" w:eastAsia="Times New Roman" w:hAnsi="Times New Roman"/>
          <w:sz w:val="18"/>
          <w:szCs w:val="18"/>
          <w:color w:val="auto"/>
        </w:rPr>
        <w:t>), (ii) a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institution (</w:t>
      </w:r>
      <w:r>
        <w:rPr>
          <w:rFonts w:ascii="Times New Roman" w:cs="Times New Roman" w:eastAsia="Times New Roman" w:hAnsi="Times New Roman"/>
          <w:sz w:val="18"/>
          <w:szCs w:val="18"/>
          <w:i w:val="1"/>
          <w:iCs w:val="1"/>
          <w:color w:val="auto"/>
        </w:rPr>
        <w:t>Finanzdienstleistungsinstitut</w:t>
      </w:r>
      <w:r>
        <w:rPr>
          <w:rFonts w:ascii="Times New Roman" w:cs="Times New Roman" w:eastAsia="Times New Roman" w:hAnsi="Times New Roman"/>
          <w:sz w:val="18"/>
          <w:szCs w:val="18"/>
          <w:color w:val="auto"/>
        </w:rPr>
        <w:t>) or (iii) a financial enterprise within the meaning of the German Banking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Kreditwesengesetz</w:t>
      </w:r>
      <w:r>
        <w:rPr>
          <w:rFonts w:ascii="Times New Roman" w:cs="Times New Roman" w:eastAsia="Times New Roman" w:hAnsi="Times New Roman"/>
          <w:sz w:val="18"/>
          <w:szCs w:val="18"/>
          <w:color w:val="auto"/>
        </w:rPr>
        <w:t>), in cases where more than 50% of the shares of such financial enterprise are held directly or indirectly by a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or a financial service institution, as well as by a life insurance company, a health insurance company or a pension fund in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are attributable to the capital investments, resulting in fully taxable income.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Sole Proprietors</w:t>
      </w:r>
    </w:p>
    <w:p>
      <w:pPr>
        <w:spacing w:after="0" w:line="22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For sole proprietors (individuals) resident in Germany holding shares as business assets dividends are subject to the partial income rule (</w:t>
      </w:r>
      <w:r>
        <w:rPr>
          <w:rFonts w:ascii="Times New Roman" w:cs="Times New Roman" w:eastAsia="Times New Roman" w:hAnsi="Times New Roman"/>
          <w:sz w:val="18"/>
          <w:szCs w:val="18"/>
          <w:i w:val="1"/>
          <w:iCs w:val="1"/>
          <w:color w:val="auto"/>
        </w:rPr>
        <w:t>Teileinkünfteverfahren</w:t>
      </w:r>
      <w:r>
        <w:rPr>
          <w:rFonts w:ascii="Times New Roman" w:cs="Times New Roman" w:eastAsia="Times New Roman" w:hAnsi="Times New Roman"/>
          <w:sz w:val="18"/>
          <w:szCs w:val="18"/>
          <w:color w:val="auto"/>
        </w:rPr>
        <w:t>). Accordingly, only (i) 60% of the dividend income will be taxed at his/her individual personal income tax rate plus 5.5% solidarity surcharge thereon and church tax (if applicable) and (ii) 60% of the business expenses related to the dividend income are deductible for tax purposes. In addition, the dividend income is entirely subject to trade tax if the shares are held as business assets of a permanent establishment in Germany within the meaning of the German Trade Tax Act (</w:t>
      </w:r>
      <w:r>
        <w:rPr>
          <w:rFonts w:ascii="Times New Roman" w:cs="Times New Roman" w:eastAsia="Times New Roman" w:hAnsi="Times New Roman"/>
          <w:sz w:val="18"/>
          <w:szCs w:val="18"/>
          <w:i w:val="1"/>
          <w:iCs w:val="1"/>
          <w:color w:val="auto"/>
        </w:rPr>
        <w:t>Gewerbesteuergesetz</w:t>
      </w:r>
      <w:r>
        <w:rPr>
          <w:rFonts w:ascii="Times New Roman" w:cs="Times New Roman" w:eastAsia="Times New Roman" w:hAnsi="Times New Roman"/>
          <w:sz w:val="18"/>
          <w:szCs w:val="18"/>
          <w:color w:val="auto"/>
        </w:rPr>
        <w:t>), unless the shareholder holds at least 15% of the company’s registered share capital at the beginning of the relevant assessment period.</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However, if a partner is an individual, depending on the applicable municipal trade tax rate and the individual tax situation, the trade tax paid at the level of the partnership is credited against the partner’s personal income tax liability up to four times of the trade measurement amount (Gewerbesteuer-Messbetrag) depending on the applicable municipal trade tax levy rate and the personal tax situation.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Partnerships</w:t>
      </w:r>
    </w:p>
    <w:p>
      <w:pPr>
        <w:spacing w:after="0" w:line="227"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In case shares are held by a partnership, the partnership itself is not subject to corporate income tax or personal income tax. In this regard, corporate income tax or personal income tax (and church tax, if applicable) as well as solidarity surcharge, are levied only at the level of the partner with respect to their relevant part of the profit and depending on their individual circumstances.</w:t>
      </w:r>
    </w:p>
    <w:p>
      <w:pPr>
        <w:spacing w:after="0" w:line="135"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If the partner is a corporation, the dividend income will be subject to corporate income tax plus solidarity surcharge. See “— Corporations.”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partner is a sole proprietor, the dividend income will be subject to the partial income rule. See “— Sole Proprietors.”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If the partner is a private individual, the dividend income will be subject to the flat tax rate. See “Taxation of Dividend Income of Shareholders Tax Resident in Germany Holding the Company’s Shares as Private Assets” above; unless the partnership is a (operative or deemed) commercial partnership in which case the partial income rule applies.</w:t>
      </w:r>
    </w:p>
    <w:p>
      <w:pPr>
        <w:spacing w:after="0" w:line="13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If a partner is an individual, depending on the applicable municipal trade tax rate and the individual tax situation, the trade tax paid at the level of the partnership is partly or entirely be credited against the partner’s personal income tax liability.</w:t>
      </w:r>
    </w:p>
    <w:p>
      <w:pPr>
        <w:spacing w:after="0" w:line="13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case the partnership is a (operative or deemed) commercial partnership with its place of management in Germany, the dividend income is subject to German trade tax at the level of the partnership, unless the partnership holds at least 15% of a company’s registered share capital at the beginning of the relevant assessment period, in which case the dividend income is exempt from trade tax.</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Dividend Income of Shareholders Tax Resident Outside of Germany</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For foreign individual or corporate shareholders tax resident outside of Germany not holding the shares through a permanent establishment in Germany or as business assets for which a permanent representative has been appointed in Germany, the deducted withholding tax (possibly reduced by way of a tax relief under a double tax treaty or domestic tax law, such as in connection with the EU Parent Subsidiary Directive) is final (that is, not refundable) and settles the shareholder’s limited tax liability in Germany, unless the shareholder is entitled to apply for a withholding tax refund or exemption.</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contrast, individual or corporate shareholders tax resident outside of Germany holding the company’s shares through a permanent establishment in Germany or as business assets for which a permanent representative has been appointed in Germany are subject to the same rules as applicable (and described above) to shareholders resident in Germany holding the shares as business assets. The withholding tax withheld (including solidarity surcharge) is credited against the shareholder’s personal income tax or corporate income tax liability in Germany.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of Capital Gains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Withholding Tax on Capital Gains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Capital gains realized on the disposal of shares are only subject to withholding tax if a German branch of a German or foreign credit or financial institution, a German securities trading company or a German securities trading bank stores or administrates or carries out the sale of the shares and pays or credits the capital gains. In those cases, the institution (and not the company) is required to deduct the withholding tax at the time of payment for the account of the shareholder and has to pay the withholding tax to the competent tax authority.</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the case that the shares in CureVac N.V. are held (i) as business assets by a sole proprietor, a partnership or a corporation and such shares are attributable to a German business or (ii) in the case of a corporation being subject to unlimited corporate income tax liability in Germany, the capital gains are not subject to withholding tax. In the case of clause (i), the withholding tax exemption is subject to the condition that the paying agent has been notified by the beneficiary (</w:t>
      </w:r>
      <w:r>
        <w:rPr>
          <w:rFonts w:ascii="Times New Roman" w:cs="Times New Roman" w:eastAsia="Times New Roman" w:hAnsi="Times New Roman"/>
          <w:sz w:val="18"/>
          <w:szCs w:val="18"/>
          <w:i w:val="1"/>
          <w:iCs w:val="1"/>
          <w:color w:val="auto"/>
        </w:rPr>
        <w:t>Gläubiger</w:t>
      </w:r>
      <w:r>
        <w:rPr>
          <w:rFonts w:ascii="Times New Roman" w:cs="Times New Roman" w:eastAsia="Times New Roman" w:hAnsi="Times New Roman"/>
          <w:sz w:val="18"/>
          <w:szCs w:val="18"/>
          <w:color w:val="auto"/>
        </w:rPr>
        <w:t>) that the capital gains are exempt from withholding tax. The respective notification has to be filed by using the officially prescribed form.</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Capital Gains Realized by Shareholders Tax Resident in Germany Holding Shares as Private Assets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individual shareholders (individuals) resident in Germany holding shares as private assets, capital gains realized on the disposal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shares are subject to final withholding tax. Accordingly, capital gains will be taxed at a flat tax rate of 25% plus a 5.5% solidarity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surcharge thereon (in total 26.375%) and church tax, in case the shareholder is subject to church tax because of his individual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An automatic procedure for deduction of church tax by way of withholding will apply to shareholders being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church tax unless the shareholder has filed a blocking notice (</w:t>
      </w:r>
      <w:r>
        <w:rPr>
          <w:rFonts w:ascii="Times New Roman" w:cs="Times New Roman" w:eastAsia="Times New Roman" w:hAnsi="Times New Roman"/>
          <w:sz w:val="18"/>
          <w:szCs w:val="18"/>
          <w:i w:val="1"/>
          <w:iCs w:val="1"/>
          <w:color w:val="auto"/>
        </w:rPr>
        <w:t>Sperrvermerk</w:t>
      </w:r>
      <w:r>
        <w:rPr>
          <w:rFonts w:ascii="Times New Roman" w:cs="Times New Roman" w:eastAsia="Times New Roman" w:hAnsi="Times New Roman"/>
          <w:sz w:val="18"/>
          <w:szCs w:val="18"/>
          <w:color w:val="auto"/>
        </w:rPr>
        <w:t>) with the German Federal Tax Office (details related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the concrete tax rate including church tax are to be discussed with the individual tax adviser of the relevant shareholder).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taxable capital gain is calculated by deducting the acquisition costs of the shares and the expenses directly related to the disposal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proceeds of the disposal. Apart from that, except for an annual lump sum savings allowance (</w:t>
      </w:r>
      <w:r>
        <w:rPr>
          <w:rFonts w:ascii="Times New Roman" w:cs="Times New Roman" w:eastAsia="Times New Roman" w:hAnsi="Times New Roman"/>
          <w:sz w:val="18"/>
          <w:szCs w:val="18"/>
          <w:i w:val="1"/>
          <w:iCs w:val="1"/>
          <w:color w:val="auto"/>
        </w:rPr>
        <w:t>Sparer-Pauschbetrag</w:t>
      </w:r>
      <w:r>
        <w:rPr>
          <w:rFonts w:ascii="Times New Roman" w:cs="Times New Roman" w:eastAsia="Times New Roman" w:hAnsi="Times New Roman"/>
          <w:sz w:val="18"/>
          <w:szCs w:val="18"/>
          <w:color w:val="auto"/>
        </w:rPr>
        <w:t>)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(for individual filers) or up to €2,000 (for married couples and for partners in accordance with the registered partnership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Gesetz über die Eingetragene Lebenspartnerschaft</w:t>
      </w:r>
      <w:r>
        <w:rPr>
          <w:rFonts w:ascii="Times New Roman" w:cs="Times New Roman" w:eastAsia="Times New Roman" w:hAnsi="Times New Roman"/>
          <w:sz w:val="18"/>
          <w:szCs w:val="18"/>
          <w:color w:val="auto"/>
        </w:rPr>
        <w:t>) filing jointly), private individual shareholders will not be entitled to deduct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in connection with the capital investment from their capital gain.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case the flat tax results in a higher tax burden as opposed to the private shareholder’s individual tax rate, the private shareholder can opt for taxation at his or her individual personal income tax rate. In that case, the withholding tax (including solidarity surcharge) withheld will be credited against the income tax. However, the private shareholders are nevertheless not entitled to deduct expenses incurred in connection with the capital investment from their income.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Capital losses arising from the sale of the shares can only be offset against other capital gains resulting from the disposition of the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sale of shares in stock corporations in future years. In case of a derecognition or transfer of worthless shares (or other capital assets), the utilization of such loss is further restricted and can only be offset up to the amount of €20,000 per calendar year.</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final withholding tax will not apply if the seller of the shares or, in the case of gratuitous transfer, its legal predecessor has held, directly or indirectly, at least 1% of the company’s registered share capital at any time during the five years prior to the disposal. In that case capital gains are subject to the partial income rule. Accordingly, only (i) 60% of the capital gains will be taxed at his individual personal income tax rate plus a 5.5% solidarity surcharge thereon and church tax (if applicable) and (ii) 60% of the business expenses related to the capital gains are deductible for tax purposes. The withholding tax withheld (including solidarity surcharge) will be credited against the shareholder’s personal income tax liability in Germany.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Capital Gains Realized by Shareholders Tax Resident in Germany Holding the Company’s Shares as Business Assets</w:t>
      </w:r>
    </w:p>
    <w:p>
      <w:pPr>
        <w:spacing w:after="0" w:line="22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If a shareholder holds shares as business assets, the taxation of capital gains realized on the disposal of such shares depends on whether the respective shareholder is a corporation, a sole proprietor or a partnership:</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Corporations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Capital gains realized on the disposal of shares by a corporate shareholder are generally exempt from corporate income tax and trade tax. However, 5% of the tax-exempt capital gains are deemed to be non-deductible business expenses for tax purposes and therefore are subject to corporate income tax (plus solidarity surcharge) and trade tax, i.e., tax exemption of 95%. Business expenses incurred in connection with the capital gains are entirely tax-deductible.</w:t>
      </w:r>
    </w:p>
    <w:p>
      <w:pPr>
        <w:spacing w:after="0" w:line="180"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Capital losses incurred upon the disposal of shares or other impairments of the share value are not tax deductible. A reduction of profit is also defined as any losses incurred in connection with a loan or security in the event the loan or the security is granted by a shareholder or by a related party thereto or by a third person with the right of recourse against the aforementioned persons, and the shareholder holds directly or indirectly more than 25% of the company’s registered share capital.</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Special regulations apply if the shares are held as trading portfolio assets by a credit institution, a financial service institution or a financial enterprise within the meaning of the German Banking Act (</w:t>
      </w:r>
      <w:r>
        <w:rPr>
          <w:rFonts w:ascii="Times New Roman" w:cs="Times New Roman" w:eastAsia="Times New Roman" w:hAnsi="Times New Roman"/>
          <w:sz w:val="18"/>
          <w:szCs w:val="18"/>
          <w:i w:val="1"/>
          <w:iCs w:val="1"/>
          <w:color w:val="auto"/>
        </w:rPr>
        <w:t>Kreditwesengesetz</w:t>
      </w:r>
      <w:r>
        <w:rPr>
          <w:rFonts w:ascii="Times New Roman" w:cs="Times New Roman" w:eastAsia="Times New Roman" w:hAnsi="Times New Roman"/>
          <w:sz w:val="18"/>
          <w:szCs w:val="18"/>
          <w:color w:val="auto"/>
        </w:rPr>
        <w:t>) as well as by a life insurance company, a health insurance company or a pension fund. See “— Taxation of Dividend Income of Shareholders Tax Resident in Germany Holding the Company’s shares as Business Assets  — Corporations.”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Sole Proprietors</w:t>
      </w:r>
    </w:p>
    <w:p>
      <w:pPr>
        <w:spacing w:after="0" w:line="22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If the shares are held by a sole proprietor, capital gains realized on the disposal of the shares are subject to the partial income rule. Accordingly, only (i) 60% of the capital gains will be taxed at his/her individual personal income tax rate plus a 5.5% solidarity surcharge thereon and church tax (if applicable) and (ii) 60% of the business expenses related to the dividend income are deductible for tax purposes. In addition, 60% of the capital gains are subject to trade tax if the shares are held as business assets of a permanent establishment in Germany within the meaning of the German Trade Tax Act (</w:t>
      </w:r>
      <w:r>
        <w:rPr>
          <w:rFonts w:ascii="Times New Roman" w:cs="Times New Roman" w:eastAsia="Times New Roman" w:hAnsi="Times New Roman"/>
          <w:sz w:val="18"/>
          <w:szCs w:val="18"/>
          <w:i w:val="1"/>
          <w:iCs w:val="1"/>
          <w:color w:val="auto"/>
        </w:rPr>
        <w:t>Gewerbesteuergesetz</w:t>
      </w:r>
      <w:r>
        <w:rPr>
          <w:rFonts w:ascii="Times New Roman" w:cs="Times New Roman" w:eastAsia="Times New Roman" w:hAnsi="Times New Roman"/>
          <w:sz w:val="18"/>
          <w:szCs w:val="18"/>
          <w:color w:val="auto"/>
        </w:rPr>
        <w:t>). The trade tax levied, depending on the applicable municipal trade tax rate and the individual tax situation, is partly or entirely credited against the shareholder’s personal income tax liability.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Partnerships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case the shares are held by a partnership, the partnership itself is not subject to corporate income tax or personal income tax as well as a solidarity surcharge (and church tax) since partnerships qualify as transparent for German tax purposes. In this regard, corporate income tax or personal income tax as well as a solidarity surcharge (and church tax, if applicable), are levied only at the level of the partner with respect to their relevant part of the profit and depending on their individual circumstances.</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the partner is a corporation, the capital gains will be subject to corporate income tax plus a solidarity surcharge. See “— Corporations.” Trade tax will be levied additionally at the level of the partner insofar as the relevant profit of the partnership is not subject to trade tax at the level of the partnership. However, with respect to both corporate income and trade tax, the 95% exemption rule as described above applies. With regard to corporate partners, special regulations apply if they are held as trading portfolio assets by credit institutions, financial service institutions or financial enterprises within the meaning of the German Banking Act or life insurance companies, health insurance companies or pension funds, as described above.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partner is a sole proprietor (individual), the capital gains are subject to the partial income rule. See “— Sole Proprietors.”</w:t>
      </w:r>
    </w:p>
    <w:p>
      <w:pPr>
        <w:spacing w:after="0" w:line="22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if the partnership is liable to trade tax, 60% of the capital gains are subject to trade tax at the level of the partnership, to the extent the partners are individuals, and 5% of the capital gains are subject to trade tax, to the extent the partners are corporations. However, if a partner is an individual, depending on the applicable municipal trade tax rate and the individual tax situation, the trade tax paid at the level of the partnership is credited against the partner’s personal income tax liability up to four times of the trade tax measurement amount (Gewerbesteuer-Messbetrag) depending on the applicable municipal trade tax levy rate and the personal tax situation.</w:t>
      </w:r>
    </w:p>
    <w:p>
      <w:pPr>
        <w:spacing w:after="0" w:line="187"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 new tax regime enables certain partnerships to be taxed as a corporation and their partners to be taxed like shareholders of a corporation. The election is available for fiscal years ending in 2022 or later years. See “— Corporations.”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Capital Gains Realized by Shareholders Tax Resident Outside of Germany</w:t>
      </w:r>
    </w:p>
    <w:p>
      <w:pPr>
        <w:spacing w:after="0" w:line="22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Capital gains realized on the disposal of the shares by a shareholder tax resident outside of Germany are subject to German taxation provided that (i) the company’s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shares capital at any time during a five-year period prior to the disposal. In these cases, capital gains are generally subject to the same rules as described above for shareholders resident in Germany. However, except for the cases referred to in (i) above, most double tax treaties concluded by Germany provide for a full exemption from German taxation unless the company is considered a real estate holding entity for treaty purposes. Further, in case of non-German corporations, the participation exemption applies in full resulting in a tax exemption of 100% (i.e., no deemed non-tax-deductible business expenses).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Inheritance and Gift Tax</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transfer of the company’s shares to another person by way of succession or donation is subject to German inheritance and gift tax (</w:t>
      </w:r>
      <w:r>
        <w:rPr>
          <w:rFonts w:ascii="Times New Roman" w:cs="Times New Roman" w:eastAsia="Times New Roman" w:hAnsi="Times New Roman"/>
          <w:sz w:val="18"/>
          <w:szCs w:val="18"/>
          <w:i w:val="1"/>
          <w:iCs w:val="1"/>
          <w:color w:val="auto"/>
        </w:rPr>
        <w:t>Erbschaft-und Schenkungsteuer</w:t>
      </w:r>
      <w:r>
        <w:rPr>
          <w:rFonts w:ascii="Times New Roman" w:cs="Times New Roman" w:eastAsia="Times New Roman" w:hAnsi="Times New Roman"/>
          <w:sz w:val="18"/>
          <w:szCs w:val="18"/>
          <w:color w:val="auto"/>
        </w:rPr>
        <w:t>) if:</w:t>
      </w:r>
    </w:p>
    <w:p>
      <w:pPr>
        <w:spacing w:after="0" w:line="162" w:lineRule="exact"/>
        <w:rPr>
          <w:sz w:val="20"/>
          <w:szCs w:val="20"/>
          <w:color w:val="auto"/>
        </w:rPr>
      </w:pPr>
    </w:p>
    <w:p>
      <w:pPr>
        <w:ind w:left="680" w:hanging="321"/>
        <w:spacing w:after="0" w:line="266" w:lineRule="auto"/>
        <w:tabs>
          <w:tab w:leader="none" w:pos="6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decedent, the donor, the heir, the donee or any other beneficiary has his/her/its residence, domicile, registered office or place of management in Germany at the time of the transfer, or is a German citizen who has not stayed abroad for more than five consecutive years without having a residence in Germany; or</w:t>
      </w:r>
    </w:p>
    <w:p>
      <w:pPr>
        <w:spacing w:after="0" w:line="175" w:lineRule="exact"/>
        <w:rPr>
          <w:rFonts w:ascii="Times New Roman" w:cs="Times New Roman" w:eastAsia="Times New Roman" w:hAnsi="Times New Roman"/>
          <w:sz w:val="18"/>
          <w:szCs w:val="18"/>
          <w:color w:val="auto"/>
        </w:rPr>
      </w:pPr>
    </w:p>
    <w:p>
      <w:pPr>
        <w:ind w:left="680" w:right="680" w:hanging="321"/>
        <w:spacing w:after="0" w:line="282" w:lineRule="auto"/>
        <w:tabs>
          <w:tab w:leader="none" w:pos="6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the personal circumstances) the shares are held by the decedent or donor as business assets for which a permanent establishment in Germany is maintained or a permanent representative is appointed in Germany; or</w:t>
      </w:r>
    </w:p>
    <w:p>
      <w:pPr>
        <w:spacing w:after="0" w:line="161"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the personal circumstances) at least 10% of the shares are held, directly or indirectly by, the decedent or person making the gift, himself or together with a related party in terms of Section 1, paragraph 2 of the Foreign Tax Act (</w:t>
      </w:r>
      <w:r>
        <w:rPr>
          <w:rFonts w:ascii="Times New Roman" w:cs="Times New Roman" w:eastAsia="Times New Roman" w:hAnsi="Times New Roman"/>
          <w:sz w:val="18"/>
          <w:szCs w:val="18"/>
          <w:i w:val="1"/>
          <w:iCs w:val="1"/>
          <w:color w:val="auto"/>
        </w:rPr>
        <w:t>Außensteuergesetz</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Special regulations apply to qualified German citizens who maintain neither a residence nor their domicile in Germany but in a low tax jurisdiction, and to former German citizens, also resulting in inheritance and gift tax. The few double tax treaties on inheritance and gift tax which Germany has entered into provide that German inheritance and gift tax is levied only in the case of (i) and, with certain restrictions, in the case of (ii).</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Taxes</w:t>
      </w:r>
    </w:p>
    <w:p>
      <w:pPr>
        <w:spacing w:after="0" w:line="22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No German capital transfer tax (</w:t>
      </w:r>
      <w:r>
        <w:rPr>
          <w:rFonts w:ascii="Times New Roman" w:cs="Times New Roman" w:eastAsia="Times New Roman" w:hAnsi="Times New Roman"/>
          <w:sz w:val="18"/>
          <w:szCs w:val="18"/>
          <w:i w:val="1"/>
          <w:iCs w:val="1"/>
          <w:color w:val="auto"/>
        </w:rPr>
        <w:t>Kapitalverkehrsteuer</w:t>
      </w:r>
      <w:r>
        <w:rPr>
          <w:rFonts w:ascii="Times New Roman" w:cs="Times New Roman" w:eastAsia="Times New Roman" w:hAnsi="Times New Roman"/>
          <w:sz w:val="18"/>
          <w:szCs w:val="18"/>
          <w:color w:val="auto"/>
        </w:rPr>
        <w:t>), value added tax (</w:t>
      </w:r>
      <w:r>
        <w:rPr>
          <w:rFonts w:ascii="Times New Roman" w:cs="Times New Roman" w:eastAsia="Times New Roman" w:hAnsi="Times New Roman"/>
          <w:sz w:val="18"/>
          <w:szCs w:val="18"/>
          <w:i w:val="1"/>
          <w:iCs w:val="1"/>
          <w:color w:val="auto"/>
        </w:rPr>
        <w:t>Umsatzsteuer</w:t>
      </w:r>
      <w:r>
        <w:rPr>
          <w:rFonts w:ascii="Times New Roman" w:cs="Times New Roman" w:eastAsia="Times New Roman" w:hAnsi="Times New Roman"/>
          <w:sz w:val="18"/>
          <w:szCs w:val="18"/>
          <w:color w:val="auto"/>
        </w:rPr>
        <w:t>), stamp duty (</w:t>
      </w:r>
      <w:r>
        <w:rPr>
          <w:rFonts w:ascii="Times New Roman" w:cs="Times New Roman" w:eastAsia="Times New Roman" w:hAnsi="Times New Roman"/>
          <w:sz w:val="18"/>
          <w:szCs w:val="18"/>
          <w:i w:val="1"/>
          <w:iCs w:val="1"/>
          <w:color w:val="auto"/>
        </w:rPr>
        <w:t>Stempelgebühr</w:t>
      </w:r>
      <w:r>
        <w:rPr>
          <w:rFonts w:ascii="Times New Roman" w:cs="Times New Roman" w:eastAsia="Times New Roman" w:hAnsi="Times New Roman"/>
          <w:sz w:val="18"/>
          <w:szCs w:val="18"/>
          <w:color w:val="auto"/>
        </w:rPr>
        <w:t>) or similar taxes are levied when acquiring, holding or transferring the company’s shares. No value added tax will be levied unless the shareholder validly opts for it. Net wealth tax (</w:t>
      </w:r>
      <w:r>
        <w:rPr>
          <w:rFonts w:ascii="Times New Roman" w:cs="Times New Roman" w:eastAsia="Times New Roman" w:hAnsi="Times New Roman"/>
          <w:sz w:val="18"/>
          <w:szCs w:val="18"/>
          <w:i w:val="1"/>
          <w:iCs w:val="1"/>
          <w:color w:val="auto"/>
        </w:rPr>
        <w:t>Vermögensteuer</w:t>
      </w:r>
      <w:r>
        <w:rPr>
          <w:rFonts w:ascii="Times New Roman" w:cs="Times New Roman" w:eastAsia="Times New Roman" w:hAnsi="Times New Roman"/>
          <w:sz w:val="18"/>
          <w:szCs w:val="18"/>
          <w:color w:val="auto"/>
        </w:rPr>
        <w:t>) is currently not levied in Germany.</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January 22, 2013, the Council of the European Union approved the resolution of the ministers of finance from 11 European Union member states (including Germany) to introduce a Financial Transaction Tax, or FTT, within the framework of enhanced cooperation. On February 14, 2013, the EC published a proposal for a Council Directive implementing enhanced cooperation in the area of financial transaction tax. The plan focuses on levying a tax of 0.1% (0.01% for derivatives) on the purchase and sale of financial instruments.</w:t>
      </w:r>
    </w:p>
    <w:p>
      <w:pPr>
        <w:spacing w:after="0" w:line="183"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A joint statement issued by 10 of the 11 participating European Union member states in October 2016 reaffirmed the intention to introduce FTT. However, at the moment not many details are available. Thus, it is not known to what extent the elements of the European Commission’s proposal outlined in the preceding paragraph will be followed in relation to the taxation of shares. The FTT proposal remains subject to negotiation between the participating member states and is subject to political discussion. It may, therefore, be altered prior to the implementation, the timing of which remains unclear. Additional European Union member states may decide to participate.</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Prospective holders of the shares are advised to seek their own professional advice in relation to FTT.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to U.S. Holders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U.S. federal income tax consequences to the U.S. Holders, as defined below, of owning and disposing of our common shares. It does not describe all tax considerations that may be relevant to a particular person’s decision to invest in common shares.</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the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180" w:lineRule="exact"/>
        <w:rPr>
          <w:sz w:val="20"/>
          <w:szCs w:val="20"/>
          <w:color w:val="auto"/>
        </w:rPr>
      </w:pPr>
    </w:p>
    <w:p>
      <w:pPr>
        <w:ind w:left="680" w:hanging="321"/>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who use a mark-to-market method of tax accounting;</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an “individual retirement account” or “Roth IRA”;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ten percent or more of our common shares (by vote or value);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common shares in connection with a trade or business conducted outside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80"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Treasury regulations, and the income tax treaty between the Federal Republic of Germany and the United States, or the Treaty, all as of the date hereof, any of which is subject to change or differing interpretations, possibly with retroactive effect.</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 “U.S. Holder” is a holder who, for U.S. federal income tax purposes, is a beneficial owner of our common shares, who is eligible for the benefits of the Treaty and who is:</w:t>
      </w:r>
    </w:p>
    <w:p>
      <w:pPr>
        <w:spacing w:after="0" w:line="162" w:lineRule="exact"/>
        <w:rPr>
          <w:sz w:val="20"/>
          <w:szCs w:val="20"/>
          <w:color w:val="auto"/>
        </w:rPr>
      </w:pPr>
    </w:p>
    <w:p>
      <w:pPr>
        <w:ind w:left="680" w:hanging="321"/>
        <w:spacing w:after="0"/>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Treasury regulations that apply to taxable years beginning on or after December 28, 2021, may in some circumstances prohibit a U.S. person from claiming a foreign tax credit with respect to certain non-U.S. taxes that are not creditable under applicable income tax treaties. Accordingly, U.S. investors that are not eligible for Treaty benefits should consult their tax advisers regarding the creditability or deductibility of any non-U.S. taxes imposed on them. This discussion does not apply to investors in this special situation. U.S. Holders should consult their tax advisers concerning the U.S. federal, state, local and non-U.S. tax consequences of owning and disposing of our common shares in their particular circumstances.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As discussed above under “Item 8. Financial Information — A. Consolidated statements and other financial information — Dividends and dividend policy” we have never paid or declared any cash dividends on our common shares, and we do not anticipate paying any cash dividends on our common shares in the foreseeable future.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the Nasdaq or another established securities market in the United States or we are eligible for benefits under the Treaty, dividends paid to certain non-corporate U.S. Holders may be eligible for taxation as “qualified dividend income” and therefore, subject to applicable limitations,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German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91"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Subject to applicable limitations, some of which vary depending upon the U.S. Holder’s particular circumstances, German income taxes withheld from dividends on common shares at a rate not exceeding the rate provided by the Treaty will be creditable against the U.S. Holder’s U.S. federal income tax liability.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German taxes withheld in excess of the rate applicable under the Treaty will not be eligible for credit against a U.S. Holder’s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German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Shares</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 The Treaty generally exempts a U.S. Holder from German tax on capital gains realized on the sale or other disposition of common shares and, accordingly, no such tax will be creditable against the U.S. Holder’s U.S. federal income tax liability.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62"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Under the Code, we will generally be a “passive foreign investment company,” or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The value of a non-U.S. corporation’s goodwill that is associated with activities that produce, or are intended to produce, active income is generally an active asset for purposes of the asset test unless, for U.S. federal income tax purposes, the non-U.S. corporation is a “controlled foreign corporation,” or CFC, that is not publicly traded “for the taxable year.” If a non-U.S. corporation is a CFC that is not publicly traded for the taxable year, its PFIC status under the asset test is determined by using the U.S. tax basis of its assets rather than their fair market value and therefore the market value of its goodwill is generally disregarded. Generally, a non-U.S. corporation is a CFC if more than 50% of its shares’ voting power or value is owned, directly, indirectly or constructively, by “United States shareholders” (as defined in Section 951(b) of the Code). Although it is not certain, we may be or may have been a CFC in our 2023 taxable year. However, under Treasury regulations promulgated in 2020, the fair market value of our assets (including goodwill) can be used for purposes of the asset test provided that (i) we are publicly traded on the majority of days during our taxable year or (ii) we would not be a CFC if certain constructive ownership rules were not applied. We believe, and the remainder of this discussion assumes, that we are eligible to use the fair market value of our assets for purposes of the asset test, for our 2023 taxable year.</w:t>
      </w:r>
    </w:p>
    <w:p>
      <w:pPr>
        <w:spacing w:after="0" w:line="126"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Based on the composition of our income and assets during 2023, we do not believe that we were a PFIC for our 2023 taxable year. However, there can be no assurance that the IRS will agree with our conclusion. Whether we will be a PFIC in 2024 or any future year is uncertain because, among other things, (i) we currently own a substantial amount of passive assets, including cash, (ii) the valuation of our assets that generate non-passive income for PFIC purposes, including our intangible assets, is uncertain and may vary substantially over time, (iii) the treatment of grants as income for U.S. federal income tax purposes is unclear, and (iv) the composition of our income may vary substantially over time. Accordingly, there can be no assurance that we will not be a PFIC in 2024 or any future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 In addition, we may, directly or indirectly, have held or hold equity interests in other PFICs, collectively referred to as Lower-Tier PFICs. Under attribution rules, if we are a PFIC, U.S. Holders will be deemed to own their proportionate shares of the stock of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though holders have not received the proceeds of those distributions or dispositions directly. U.S. Holders should consult their tax advisors about the consequences to them of our investment in one or more Lower-Tier PFICs.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we were a PFIC for any taxable year during which a U.S. Holder held common shares (assuming such U.S. Holder has not made a timely mark-to-market election, as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U.S. Holder’s tax basis in our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common shares, the U.S. Holder would nevertheless be subject to the PFIC rules described above with respect to its indirect interest in any Lower-Tier PFIC unless the U.S. Holder makes a qualified electing fund election, also known as a QEF Election, with respect to such Lower-Tier PFIC, as discussed below.</w:t>
      </w:r>
    </w:p>
    <w:p>
      <w:pPr>
        <w:spacing w:after="0" w:line="19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in order to avoid the application of the foregoing rules, a U.S. Holder that owns stock in a PFIC for U.S. federal income tax purposes may make a QEF Election with respect to such PFIC if the PFIC provides the information necessary for such election to be made. If a U.S. Holder makes a QEF Election with respect to a PFIC, the U.S. Holder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A QEF Election with respect to us will not apply to any Lower-tier PFIC. If we determine that any of our subsidiaries is a Lower-Tier PFIC for any taxable year, there is no assurance that we will provide information necessary for U.S. Holders to make a QEF Election with respect to such Lower-Tier PFIC.</w:t>
      </w:r>
    </w:p>
    <w:p>
      <w:pPr>
        <w:spacing w:after="0" w:line="19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3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If a U.S. Holder owns common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U.S. Holders should consult their tax advisers concerning our potential PFIC status and the potential application of the PFIC rules.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credit against the U.S. Holder’s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liability and may entitle it to a refund, provided that the required information is timely furnished to the IRS.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ind w:left="340" w:right="7360" w:hanging="332"/>
        <w:spacing w:after="0" w:line="516" w:lineRule="auto"/>
        <w:tabs>
          <w:tab w:leader="none" w:pos="316"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ind w:left="360" w:hanging="352"/>
        <w:spacing w:after="0"/>
        <w:tabs>
          <w:tab w:leader="none" w:pos="3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Documents on Display</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203" w:lineRule="exact"/>
        <w:rPr>
          <w:sz w:val="20"/>
          <w:szCs w:val="20"/>
          <w:color w:val="auto"/>
        </w:rPr>
      </w:pPr>
    </w:p>
    <w:p>
      <w:pPr>
        <w:ind w:left="340" w:right="7820" w:hanging="332"/>
        <w:spacing w:after="0" w:line="530" w:lineRule="auto"/>
        <w:tabs>
          <w:tab w:leader="none" w:pos="293"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activities, we are exposed to various market risks that are beyond our control, including fluctuations in foreign exchange rates, which may have an adverse effect on the value of our financial assets and liabilities, future cash flows and profit. As a result of these market risks, we could suffer a loss due to adverse changes in foreign exchange rates in the countries in which we operate. Our policy with respect to these market risks is to assess the potential of experiencing losses and the consolidated impact thereof and to mitigate these market risks. We are not currently exposed to significant interest rate risk because we do not currently hold long-term debt that is exposed to market rates. See note 16 to our financial statements contained elsewhere in this Annual Report for further information on our risk management policies and exposure to market risks.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credit risk arises primarily from cash and cash equivalents and other financial assets, including deposits with banks and financial institutions, as well as credit exposures to customers, including outstanding receivables and contract assets. These financial instruments approximate fair value due to short-term maturities. We maintain our cash and cash equivalents and short-term investments with high credit quality financial institutions. We believe that our credit policies reflect normal industry terms and business risk.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an exposure will fluctuate because of changes in foreign exchange rates. Our exposure to the risk of changes in foreign exchange rates relates primarily to our operating activities (when revenue or expense is denominated in a foreign currency) and the amounts held as cash and cash equivalents. Our consolidated financial statements are reported in euros. We generate a significant portion of our revenue and incur a significant portion of our expenditures in certain non-euro currencies, principally U.S. dollars. We are exposed to fluctuations in foreign currency exchange rates primarily on revenue generated from sales in these foreign currencies. Our results of operations can be affected if the U.S. dollar appreciates or depreciates against the euro. As of December 31, 2023, if the euro had weakened 10% against the U.S. dollar with all other variables held constant, pre-tax loss for the year would have been €8.0 million (2022: €8.6 million) lower and post-tax loss would have been €5.6 million lower (2022: €6.1 million). Conversely, if the euro had strengthened 10% against the U.S. dollar with all other variables held constant, pre-tax loss would have been €6.6 million (2022: €7.1 million) higher and post-tax loss would have been €4.6 million (2022: €5.0 million) higher. The effects on pre- and post-tax loss and (accumulated) other comprehensive income due to fact that our subsidiary CureVac Inc.’s functional currency is the U.S. dollar would still have been immaterial at December 31, 2022 and 2023.</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the extent that we need to convert U.S. dollars into foreign currencies for our operations, appreciation of such foreign currencies against the U.S. dollar would adversely affect the amount of such foreign currencies we receive from the conversion. Sensitivity analysis is used as a primary tool in evaluating the effects of changes in foreign currency exchange rates on our business operations. The analysis quantifies the impact of potential changes in these rates on our earnings, cash flows and fair values of assets and liabilities during the forecast period, most commonly within a one-year period. The ranges of changes used for the purpose of this analysis reflect our view of changes that are reasonably possible over the forecast period. Fair values are the present value of projected future cash flows based on market rates and chosen prices.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 Our exposure to the risk of changes in market interest rates relates primarily to our cash and cash equivalents with floating interest rates. Due to persistent low interest rates we may be exposed to the risk of being charged negative interest rates on our bank deposits. If interest rates as of December 31, 2022 and 2023, had been 1% higher while all other variables had remained the same, the net loss for the year (before and after tax) would have been €4.0 million (2022: €5.0 million) lower, because the higher interest income would have been generated from floating rates on invested cash and cash equivalents.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52" w:lineRule="exact"/>
        <w:rPr>
          <w:sz w:val="20"/>
          <w:szCs w:val="20"/>
          <w:color w:val="auto"/>
        </w:rPr>
      </w:pPr>
    </w:p>
    <w:p>
      <w:pPr>
        <w:ind w:left="340" w:right="8360" w:hanging="332"/>
        <w:spacing w:after="0" w:line="546" w:lineRule="auto"/>
        <w:tabs>
          <w:tab w:leader="none" w:pos="353"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right="7900" w:hanging="332"/>
        <w:spacing w:after="0" w:line="546" w:lineRule="auto"/>
        <w:tabs>
          <w:tab w:leader="none" w:pos="343"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right="8260" w:hanging="332"/>
        <w:spacing w:after="0" w:line="546" w:lineRule="auto"/>
        <w:tabs>
          <w:tab w:leader="none" w:pos="353"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40" w:right="7300" w:hanging="332"/>
        <w:spacing w:after="0" w:line="537" w:lineRule="auto"/>
        <w:tabs>
          <w:tab w:leader="none" w:pos="353"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American Depositary Shares </w:t>
      </w: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52"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matters to report.</w:t>
      </w:r>
    </w:p>
    <w:p>
      <w:pPr>
        <w:spacing w:after="0" w:line="248" w:lineRule="exact"/>
        <w:rPr>
          <w:rFonts w:ascii="Times New Roman" w:cs="Times New Roman" w:eastAsia="Times New Roman" w:hAnsi="Times New Roman"/>
          <w:sz w:val="18"/>
          <w:szCs w:val="18"/>
          <w:b w:val="1"/>
          <w:bCs w:val="1"/>
          <w:color w:val="auto"/>
        </w:rPr>
      </w:pPr>
    </w:p>
    <w:p>
      <w:pPr>
        <w:ind w:left="340" w:right="7500" w:hanging="332"/>
        <w:spacing w:after="0" w:line="530" w:lineRule="auto"/>
        <w:tabs>
          <w:tab w:leader="none" w:pos="343"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Arrears and Delinquencies </w:t>
      </w:r>
      <w:r>
        <w:rPr>
          <w:rFonts w:ascii="Times New Roman" w:cs="Times New Roman" w:eastAsia="Times New Roman" w:hAnsi="Times New Roman"/>
          <w:sz w:val="17"/>
          <w:szCs w:val="17"/>
          <w:color w:val="auto"/>
        </w:rPr>
        <w:t>No matters to report.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52" w:lineRule="exact"/>
        <w:rPr>
          <w:sz w:val="20"/>
          <w:szCs w:val="20"/>
          <w:color w:val="auto"/>
        </w:rPr>
      </w:pPr>
    </w:p>
    <w:p>
      <w:pPr>
        <w:ind w:left="340" w:right="6600" w:hanging="332"/>
        <w:spacing w:after="0" w:line="516" w:lineRule="auto"/>
        <w:tabs>
          <w:tab w:leader="none" w:pos="353"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Modifications to Instruments </w:t>
      </w:r>
      <w:r>
        <w:rPr>
          <w:rFonts w:ascii="Times New Roman" w:cs="Times New Roman" w:eastAsia="Times New Roman" w:hAnsi="Times New Roman"/>
          <w:sz w:val="18"/>
          <w:szCs w:val="18"/>
          <w:color w:val="auto"/>
        </w:rPr>
        <w:t>Not applicable.</w:t>
      </w:r>
    </w:p>
    <w:p>
      <w:pPr>
        <w:ind w:left="340" w:right="7060" w:hanging="332"/>
        <w:spacing w:after="0" w:line="516" w:lineRule="auto"/>
        <w:tabs>
          <w:tab w:leader="none" w:pos="343"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Modifications to Rights </w:t>
      </w:r>
      <w:r>
        <w:rPr>
          <w:rFonts w:ascii="Times New Roman" w:cs="Times New Roman" w:eastAsia="Times New Roman" w:hAnsi="Times New Roman"/>
          <w:sz w:val="18"/>
          <w:szCs w:val="18"/>
          <w:color w:val="auto"/>
        </w:rPr>
        <w:t>Not applicable.</w:t>
      </w:r>
    </w:p>
    <w:p>
      <w:pPr>
        <w:ind w:left="340" w:right="6760" w:hanging="332"/>
        <w:spacing w:after="0" w:line="516" w:lineRule="auto"/>
        <w:tabs>
          <w:tab w:leader="none" w:pos="353"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Withdrawal or Submission of Assets </w:t>
      </w:r>
      <w:r>
        <w:rPr>
          <w:rFonts w:ascii="Times New Roman" w:cs="Times New Roman" w:eastAsia="Times New Roman" w:hAnsi="Times New Roman"/>
          <w:sz w:val="18"/>
          <w:szCs w:val="18"/>
          <w:color w:val="auto"/>
        </w:rPr>
        <w:t>Not applicable.</w:t>
      </w:r>
    </w:p>
    <w:p>
      <w:pPr>
        <w:ind w:left="340" w:right="6640" w:hanging="332"/>
        <w:spacing w:after="0" w:line="516" w:lineRule="auto"/>
        <w:tabs>
          <w:tab w:leader="none" w:pos="353"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Changes in Trustees or Paying Agents </w:t>
      </w:r>
      <w:r>
        <w:rPr>
          <w:rFonts w:ascii="Times New Roman" w:cs="Times New Roman" w:eastAsia="Times New Roman" w:hAnsi="Times New Roman"/>
          <w:sz w:val="18"/>
          <w:szCs w:val="18"/>
          <w:color w:val="auto"/>
        </w:rPr>
        <w:t>Not applicable.</w:t>
      </w:r>
    </w:p>
    <w:p>
      <w:pPr>
        <w:ind w:left="340" w:hanging="332"/>
        <w:spacing w:after="0"/>
        <w:tabs>
          <w:tab w:leader="none" w:pos="3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required by Rules 13a-15(e) and 15d-15(e) under the Exchange Act, our management, including our Chief Executive Officer (CEO) and our Chief Financial Officer (CFO), has performed an evaluation of the effectiveness of our disclosure controls and procedures as of December 31, 2023.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limitations, controls and procedures designed to ensure that information required to be disclosed by us in our reports that we file or submit under the Exchange Act is accumulated and communicated to management, including our principal executive and principal financial officers, or persons performing similar functions, as appropriate to allow timely decisions regarding our required disclosures.</w:t>
      </w:r>
    </w:p>
    <w:p>
      <w:pPr>
        <w:spacing w:after="0" w:line="192"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Based on the foregoing, our Chief Executive Officer and our Chief Financial Officer, together with our other members of management, have concluded that, as of December 31, 2023, due to a material weakness in internal control over financial reporting described below, our disclosure controls and procedures were not effective.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 13a-15(f) and 15d-15(f) under the Exchange Act). Internal control over financial reporting is designed to provide reasonable assurance regarding the reliability of financial reporting and the preparation of financial statements for external purposes in accordance with IFRS as issued by IASB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financial statements in accordance with IFRS as issued by IASB, and that receipts and expenditures of our Company are being made only in accordance with authorizations of management and directors of our Company; and (3) provide reasonable assurance regarding prevention or timely detection of unauthorized acquisition, use, or disposition of our Company’s assets that could have a material effect on the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Any internal control system, no matter how well designed, has inherent limitations, including the possibility of human error and the circumvention or overriding of the controls and procedures, which may not prevent or detect misstatements.</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management has assessed the effectiveness of our internal control over financial reporting as of December 31, 2023. In making this assessment, our management used the updated criteria set forth in 2013 by the Committee of Sponsoring Organizations of the Treadway Commission (COSO) in “Internal Control – Integrated Framework”.</w:t>
      </w:r>
    </w:p>
    <w:p>
      <w:pPr>
        <w:spacing w:after="0" w:line="176"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management has concluded, based on its assessment, that our internal control over financial reporting was not effective as of December 31, 2023 due to a material weakness resulting from (i) lack of sufficient accounting and supervisory personnel, (ii) lack of appropriate level of technical accounting training; and (iii) lack of consistent performance of controls over financial reporting.</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 identified as of December 31, 2023, our management has concluded that the consolidated financial statements included in this Annual Report on Form 20-F, present fairly, in all material respects, our financial position, results of operations and cash flows for the periods presented in conformity with IFRS as issued by IASB.</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Remediation plan</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previously disclosed, we reported in our Annual Report 20-F for the year ended December 31, 2022, a material weakness in internal control over financial reporting primarily related to an IT system’s functionalities that were not configured to support segregation of duties in the recording of manual journal entries as well as in the authorization of purchase orders. During 2023, we implemented measures to successfully remediate this material weakness.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Management’s planned remediation measures for the material weakness identified as of December 31, 2023 include (i) training and hiring additional qualified staff; (ii) implementing, streamlining, and/or replacing certain IT systems to increase automation in accounting processes and procedures; and (iii) engaging third parties, as required, to assist with technical expertise, integration and streamlining of business controls.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Management believes the foregoing plans will effectively remediate the deficiencies constituting the material weakness. However, there is no assurance as to when such remediation will be successful. As the remediation plans are implemented, management may take additional measures or modify the plan described above. See </w:t>
      </w:r>
      <w:r>
        <w:rPr>
          <w:rFonts w:ascii="Times New Roman" w:cs="Times New Roman" w:eastAsia="Times New Roman" w:hAnsi="Times New Roman"/>
          <w:sz w:val="18"/>
          <w:szCs w:val="18"/>
          <w:i w:val="1"/>
          <w:iCs w:val="1"/>
          <w:color w:val="auto"/>
        </w:rPr>
        <w:t>“Item 3. Key Information — D. Risk Factors — We have identified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weakness in our internal control related (i) lack of sufficient accounting and supervisory personnel, (ii) lack of appropriate level of technical accounting training; and (iii) lack of consistent performance of controls over financial reporting which, if not remediated appropriately or timely, could result in loss of investor confidence and adversely impact our stock price. If we are unable to remediate the material weakness, or if other material weaknesses are identified, we may not be able to report our financial results accurately, prevent fraud or file our periodic reports as a public company in a timely manner.”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KPMG AG Wirtschaftsprüfungsgesellschaft, an independent registered public accounting firm who audited the consolidated financial statements as of and for the year ended December 31, 2023, has also audited the effectiveness of the Company’s internal control over financial reporting as of December 31, 2023. Their reports are included in this Annual Report on Form 20-F beginning on page F-3.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Other than the changes described above there were no changes to our internal control over financial reporting (as defined in Rule 13a-15(f) and 15d-15(f) under the Exchange Act of 1934), which occurred during the period covered by this Form 20-F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supervisory board has determined that Michael Brosnan, Craig A. Tooman, Klaus Schollmeier, Hans Christoph Tanner and Ralf Clemens satisfy the “independence” requirements set forth in Rule 10A-3 under the Exchange Act and each qualifies as an “audit committee financial expert,” as such term is defined in the rules of the SEC. Hans Christoph Tanner resigned from the Supervisory Board on June 19, 2023 and Ralf Clemens resigned from the Supervisory Board on September 30, 2023. For more information see “Item 6. Directors, Senior Management and Employees — C. Board Practices — Committees — Audit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Conduct</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adopted a written code of business conduct and ethics, or code of conduct, which outlines the principles of legal and ethical business conduct under which we do business, and is a code of ethics as defined in Item 16B of Form 20-F promulgated by the SEC. The code of conduct applies to all of our management board and supervisory directors and employees. The full text of the code of conduct is available on our website at www.curevac.com. Information contained on, or that can be accessed through, our website does not constitute a part of this Annual Report and is not incorporated by reference herein. If we make any amendment to the code of conduct or grant any waivers, including any implicit waiver, from a provision of the code of conduct, we will disclose the nature of such amendment or waiver on our website to the extent required by the rules and regulations of the SEC.</w:t>
      </w:r>
    </w:p>
    <w:p>
      <w:pPr>
        <w:spacing w:after="0" w:line="18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addition, we have implemented a compliance management policy which describes the compliance management system implemented at CureVac SE, which is designed to ensure compliance with all legal requirements, while at the same time implementing high ethical standards that are mandatory for both management and each employee. The overall responsibility for the compliance management system lies with the management board, which reports regularly to the audit committee. In the performance of its compliance responsibilities, the management board has delegated the corresponding tasks to various functions at CureVac 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IFRS as issued by the IASB and are audited by KPMG. KPMG has acted as our independent registered public accounting firm registered with the Public Company Accounting Oversight Board in the United States.</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KPMG has served as our independent registered public accounting firm for the year ended December 31, 2023, for which audited financial statements appear in this Annual Report. EY GmbH &amp; Co. KG Wirtschaftsprüfungsgesellschaft (“EY”) served as our independent registered public accounting firm for the years ended December 31, 2021 and 2022, for which audited financial statements appear in this Annual Report.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incurred fees of €1.2 million to KPMG for audit services for fiscal 2023 and €1.8 million to EY for audit services for fiscal 2022, respectively, including fees associated with the annual audit, consultations on various accounting issues, performance of local statutory audits and comfort letters and review of offering documents filed with the SEC.</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audit-related services fees were incurred for fiscal 2023 and 2022.</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incurred €0.1 million to KPMG for tax fees for fiscal 2023 and €0.5 million for tax fees to EY for fiscal 2022, including fees associated with tax compliance, tax advice and tax planning services for fiscal 2023 and 2022,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189"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No fees for services other than those categorized in Audit Fees, Audit-Related Fees and Tax Fees described above incurred to KPMG in 2023.We incurred €0.1 million for services other than those categorized in Audit Fees, Audit-Related Fees and Tax Fees described above to EY in 2022.</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2023, our Audit Committee approved all of the services provided by KPMG.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0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following comparison between Dutch corporate law, which applies to us, and Delaware corporation law, the law under which many publicly listed corporations in the United States are incorporated, discusses additional matters not otherwise described in this Annual Report. Although we believe this summary is materially accurate, the summary is subject to Dutch law, including Book 2 of the Dutch Civil Code and the DCGC and Delaware corporation law, including the Delaware General Corporation Law.</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Duties of Managing and Supervisory Directors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In the Netherlands, a listed company typically has a two-tier board structure with a management board comprised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managing directors (executive directors) and a supervisory board comprised of the supervisory directors (non-executive directors). We have a two-tier board structure consisting of our management board (</w:t>
      </w:r>
      <w:r>
        <w:rPr>
          <w:rFonts w:ascii="Times New Roman" w:cs="Times New Roman" w:eastAsia="Times New Roman" w:hAnsi="Times New Roman"/>
          <w:sz w:val="18"/>
          <w:szCs w:val="18"/>
          <w:i w:val="1"/>
          <w:iCs w:val="1"/>
          <w:color w:val="auto"/>
        </w:rPr>
        <w:t>bestuur</w:t>
      </w:r>
      <w:r>
        <w:rPr>
          <w:rFonts w:ascii="Times New Roman" w:cs="Times New Roman" w:eastAsia="Times New Roman" w:hAnsi="Times New Roman"/>
          <w:sz w:val="18"/>
          <w:szCs w:val="18"/>
          <w:color w:val="auto"/>
        </w:rPr>
        <w:t>) and a separate supervisory board (</w:t>
      </w:r>
      <w:r>
        <w:rPr>
          <w:rFonts w:ascii="Times New Roman" w:cs="Times New Roman" w:eastAsia="Times New Roman" w:hAnsi="Times New Roman"/>
          <w:sz w:val="18"/>
          <w:szCs w:val="18"/>
          <w:i w:val="1"/>
          <w:iCs w:val="1"/>
          <w:color w:val="auto"/>
        </w:rPr>
        <w:t>raad van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commissarissen</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Dutch law, the management board is charged with the management of the company, subject to the restrictions contained in our articles of association, and the supervisory board is charged with the supervision of the policy of the management board and the general course of affairs of the company and of the business connected with it. The managing directors may divide their tasks among themselves in or pursuant to the internal rules applicable to the management board. Each managing director and supervisory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management board regarding a material change in our identity or character requires approval of the general meeting. In addition, during the initial approval period, the following additional resolutions of the management board will require approval of the general meeting and our supervisory board:</w:t>
      </w:r>
    </w:p>
    <w:p>
      <w:pPr>
        <w:spacing w:after="0" w:line="151" w:lineRule="exact"/>
        <w:rPr>
          <w:sz w:val="20"/>
          <w:szCs w:val="20"/>
          <w:color w:val="auto"/>
        </w:rPr>
      </w:pPr>
    </w:p>
    <w:p>
      <w:pPr>
        <w:ind w:left="680" w:right="500" w:hanging="321"/>
        <w:spacing w:after="0" w:line="282" w:lineRule="auto"/>
        <w:tabs>
          <w:tab w:leader="none" w:pos="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the tax domicile of CureVac N.V. and/or the approval of the transfer of the corporate or administrative seat of CureVac SE;</w:t>
      </w:r>
    </w:p>
    <w:p>
      <w:pPr>
        <w:spacing w:after="0" w:line="161" w:lineRule="exact"/>
        <w:rPr>
          <w:rFonts w:ascii="Times New Roman" w:cs="Times New Roman" w:eastAsia="Times New Roman" w:hAnsi="Times New Roman"/>
          <w:sz w:val="18"/>
          <w:szCs w:val="18"/>
          <w:color w:val="auto"/>
        </w:rPr>
      </w:pPr>
    </w:p>
    <w:p>
      <w:pPr>
        <w:jc w:val="both"/>
        <w:ind w:left="680" w:right="40" w:hanging="321"/>
        <w:spacing w:after="0" w:line="266" w:lineRule="auto"/>
        <w:tabs>
          <w:tab w:leader="none" w:pos="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relocating or ceasing (including by way of disposal, demerger or similar transactions) activities in specified areas in or to a state outside the European Union, except to the extent our supervisory board considers such activities (in particular in the area of the development of vaccines) not to be material for the protection of the health of the population of the European Union;</w:t>
      </w:r>
    </w:p>
    <w:p>
      <w:pPr>
        <w:spacing w:after="0" w:line="175"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mergers, demergers and similar reorganizations and entering into acquisitions or businesses or participations, except to the extent our supervisory board considers such transactions not to be material;</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articles of association of CureVac SE which would affect these approval rights during the initial approval period;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voting rights in CureVac SE approving, directing or causing any of the foregoing matters.</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Under our articles of association, the approval of our supervisory board is also required for resolutions of the management board, including concerning the following matters:</w:t>
      </w:r>
    </w:p>
    <w:p>
      <w:pPr>
        <w:spacing w:after="0" w:line="162" w:lineRule="exact"/>
        <w:rPr>
          <w:sz w:val="20"/>
          <w:szCs w:val="20"/>
          <w:color w:val="auto"/>
        </w:rPr>
      </w:pPr>
    </w:p>
    <w:p>
      <w:pPr>
        <w:ind w:left="680" w:hanging="321"/>
        <w:spacing w:after="0"/>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certain proposals to the general meeting;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of shares or the granting of rights to subscribe for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or exclusion of pre-emption rights;</w:t>
      </w:r>
    </w:p>
    <w:p>
      <w:pPr>
        <w:spacing w:after="0" w:line="225" w:lineRule="exact"/>
        <w:rPr>
          <w:rFonts w:ascii="Times New Roman" w:cs="Times New Roman" w:eastAsia="Times New Roman" w:hAnsi="Times New Roman"/>
          <w:sz w:val="18"/>
          <w:szCs w:val="18"/>
          <w:color w:val="auto"/>
        </w:rPr>
      </w:pPr>
    </w:p>
    <w:p>
      <w:pPr>
        <w:jc w:val="both"/>
        <w:ind w:left="680" w:right="140" w:hanging="321"/>
        <w:spacing w:after="0" w:line="266" w:lineRule="auto"/>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new activities of us or our direct or indirect subsidiaries in the areas of research, development, production and administration and/or the approval to establish activities of CureVac SE or its subsidiaries in these areas, in each case in a state outside the European Union;</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shares by us in our own capital;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drawing up or amendment of our management board rules;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legal acts relating to non-cash contributions on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identity or the character of the company or its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charging of amounts to be paid up on shares against the company’s reserves;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 interim distribution;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designating a current or former officer or employee as indemnitees under our articles of association;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40" w:hanging="321"/>
        <w:spacing w:after="0" w:line="282" w:lineRule="auto"/>
        <w:tabs>
          <w:tab w:leader="none" w:pos="6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stipulation of additional terms, conditions and restrictions in relation to the indemnification offered under our articles of association;</w:t>
      </w:r>
    </w:p>
    <w:p>
      <w:pPr>
        <w:spacing w:after="0" w:line="161"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such other resolutions as the supervisory board shall have specified in a resolution to that effect and notified to the management board.</w:t>
      </w:r>
    </w:p>
    <w:p>
      <w:pPr>
        <w:spacing w:after="0" w:line="162"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Under the internal rules applicable to our management board, certain additional resolutions are subject to the approval of our supervisory board.</w:t>
      </w:r>
    </w:p>
    <w:p>
      <w:pPr>
        <w:spacing w:after="0" w:line="16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Under the internal rules applicable to our supervisory board, resolutions of our supervisory board to approve a resolution of our management board to exclude or limit pre-emption rights (except in connection with the ordinary operation of our equity incentive plans) or to issue shares against non-cash contribution, shall require the approval of a special committee consisting of one supervisory director nominated by dievini (or its legal successors or permitted assigns under the KfW dievini Shareholders’ Agreement) (during the initial nomination period for dievini), the supervisory director nominated by KfW (or its legal successors or permitted assigns under the KfW dievini Shareholders’ Agreement) (during the initial nomination period for KfW) and, if applicable, one supervisory director nominated by a nomination concert. In this special committee, the affirmative votes of one supervisory director nominated by dievini (or its legal successors or permitted assigns under the KfW dievini Shareholders’ Agreement) (during the initial nomination period for dievini) and the supervisory director nominated by KfW (or its legal successors or permitted assigns under the KfW dievini Shareholders’ Agreement) (during the initial nomination period for KfW) shall be required. Similarly, the affirmative votes of at least one supervisory director nominated by dievini (or its legal successors or permitted assigns under the KfW dievini Shareholders’ Agreement) (during the initial nomination period for dievini) and the supervisory director nominated by KfW (or its legal successors or permitted assigns under the KfW dievini Shareholders’ Agreement) (during the initial nomination period for KfW) shall be required for certain resolutions of the supervisory board specified by our articles of association and the internal rules applicable to our supervisory board.</w:t>
      </w:r>
    </w:p>
    <w:p>
      <w:pPr>
        <w:spacing w:after="0" w:line="19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absence of the approval of the supervisory board shall result in the relevant resolution being null and void but shall not affect the powers of representation of the management board or of the managing directors.</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management board is entitled to represent us. The power to represent us also vests in the chief executive officer individually, as well as in any other two managing directors acting jointly.</w:t>
      </w:r>
    </w:p>
    <w:p>
      <w:pPr>
        <w:spacing w:after="0" w:line="13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The board of directors bears the ultimate responsibility for managing the business and affairs of a corporation.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 Terms</w:t>
      </w:r>
    </w:p>
    <w:p>
      <w:pPr>
        <w:spacing w:after="0" w:line="227"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The DCGC provides the following best practice recommendations on the terms for tenure of managing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supervisory directors:</w:t>
      </w:r>
    </w:p>
    <w:p>
      <w:pPr>
        <w:spacing w:after="0" w:line="160" w:lineRule="exact"/>
        <w:rPr>
          <w:sz w:val="20"/>
          <w:szCs w:val="20"/>
          <w:color w:val="auto"/>
        </w:rPr>
      </w:pPr>
    </w:p>
    <w:p>
      <w:pPr>
        <w:ind w:left="680" w:right="60" w:hanging="321"/>
        <w:spacing w:after="0" w:line="282" w:lineRule="auto"/>
        <w:tabs>
          <w:tab w:leader="none" w:pos="6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directors should be appointed for a maximum period of four years, without limiting the number of consecutive terms managing directors may serve.</w:t>
      </w:r>
    </w:p>
    <w:p>
      <w:pPr>
        <w:spacing w:after="0" w:line="161" w:lineRule="exact"/>
        <w:rPr>
          <w:rFonts w:ascii="Times New Roman" w:cs="Times New Roman" w:eastAsia="Times New Roman" w:hAnsi="Times New Roman"/>
          <w:sz w:val="18"/>
          <w:szCs w:val="18"/>
          <w:color w:val="auto"/>
        </w:rPr>
      </w:pPr>
    </w:p>
    <w:p>
      <w:pPr>
        <w:ind w:left="680" w:right="440" w:hanging="321"/>
        <w:spacing w:after="0" w:line="266" w:lineRule="auto"/>
        <w:tabs>
          <w:tab w:leader="none" w:pos="6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Supervisory directors should be appointed for two consecutive periods of no more than four years. Thereafter, supervisory directors may be reappointed for a maximum of two consecutive periods of no more than two years, provided that any reappointment after an eight-year term of office should be disclosed in the company’s annual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general meeting shall at all times be entitled to suspend or dismiss a managing director or supervisory director. Under our articles of association, the general meeting may only adopt a resolution to suspend or dismiss such director by at least a two-thirds majority of the votes cast, provided that such majority represents more than half of the issued share capital, unless the resolution is passed at the proposal of the supervisory board or, with respect to supervisory directors nominated by dievini or KfW, by dievini (or its legal successor or permitted assigns under the KfW dievini Shareholders’ Agreement) during the nomination period for dievini (or its legal successor or permitted assigns under the KfW dievini Shareholders’ Agreement) or by KfW (or its legal successor or permitted assigns under the KfW dievini Shareholders’ Agreement) during the nomination period for KfW, respectively, in which case a simple majority of the votes cast is sufficient. In addition, the supervisory board may at any time suspend a managing director. A suspension by the supervisory board can at any time be lifted by the general meeting. If a managing director is suspended and the general meeting does not resolve to dismiss him or her within three months from the date of such suspension, the suspension shall lapse.</w:t>
      </w:r>
    </w:p>
    <w:p>
      <w:pPr>
        <w:spacing w:after="0" w:line="15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The Delaware General Corporation Law generally provides for a one-year term for directors, but permits directorships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225"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managing directors and supervisory directors of a company like ours are appointed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reappointed by the general meeting. Under our articles of association, managing directors and supervisory directors are appointed by the general meeting upon the binding nomination by our supervisory board. During the periods specified below, dievini (or its legal successor or permitted assigns under the KfW dievini Shareholders’ Agreement), KfW (or its legal successor or permitted assigns under the KfW dievini Shareholders’ Agreement), and any nomination concert have the right to make a binding nomination for one or more supervisory directors as specified below:</w:t>
      </w:r>
    </w:p>
    <w:p>
      <w:pPr>
        <w:spacing w:after="0" w:line="184" w:lineRule="exact"/>
        <w:rPr>
          <w:sz w:val="20"/>
          <w:szCs w:val="20"/>
          <w:color w:val="auto"/>
        </w:rPr>
      </w:pPr>
    </w:p>
    <w:p>
      <w:pPr>
        <w:ind w:left="680" w:right="140" w:hanging="321"/>
        <w:spacing w:after="0" w:line="266" w:lineRule="auto"/>
        <w:tabs>
          <w:tab w:leader="none" w:pos="6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nomination period for dievini, dievini (or its legal successor or permitted assigns under the KfW dievini Shareholders’ Agreement) will have the right under our articles of association to make a binding nomination for the following number of supervisory directors:</w:t>
      </w:r>
    </w:p>
    <w:p>
      <w:pPr>
        <w:spacing w:after="0" w:line="175" w:lineRule="exact"/>
        <w:rPr>
          <w:rFonts w:ascii="Times New Roman" w:cs="Times New Roman" w:eastAsia="Times New Roman" w:hAnsi="Times New Roman"/>
          <w:sz w:val="18"/>
          <w:szCs w:val="18"/>
          <w:color w:val="auto"/>
        </w:rPr>
      </w:pPr>
    </w:p>
    <w:p>
      <w:pPr>
        <w:ind w:left="1000" w:right="80" w:hanging="317"/>
        <w:spacing w:after="0" w:line="266" w:lineRule="auto"/>
        <w:tabs>
          <w:tab w:leader="none" w:pos="10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supervisory directors for as long as dievini (or its legal successors or permitted assigns under the KfW dievini Shareholders’ Agreement) and its affiliates, as defined by our articles of association, and ultimate beneficiaries, as defined by our articles of association (individually or collectively) owns at least 70% of our issued share capital;</w:t>
      </w:r>
    </w:p>
    <w:p>
      <w:pPr>
        <w:spacing w:after="0" w:line="175" w:lineRule="exact"/>
        <w:rPr>
          <w:rFonts w:ascii="Times New Roman" w:cs="Times New Roman" w:eastAsia="Times New Roman" w:hAnsi="Times New Roman"/>
          <w:sz w:val="18"/>
          <w:szCs w:val="18"/>
          <w:color w:val="auto"/>
        </w:rPr>
      </w:pPr>
    </w:p>
    <w:p>
      <w:pPr>
        <w:ind w:left="1000" w:right="80" w:hanging="317"/>
        <w:spacing w:after="0" w:line="261" w:lineRule="auto"/>
        <w:tabs>
          <w:tab w:leader="none" w:pos="10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supervisory directors for as long as dievini (or its legal successors or permitted assigns under the KfW dievini Shareholders’ Agreement) and its affiliates, as defined by our articles of association, and ultimate beneficiaries, as defined by our articles of association (individually or collectively) owns at least 50% (but less than 70%) of our issued share capital;</w:t>
      </w:r>
    </w:p>
    <w:p>
      <w:pPr>
        <w:spacing w:after="0" w:line="179" w:lineRule="exact"/>
        <w:rPr>
          <w:rFonts w:ascii="Times New Roman" w:cs="Times New Roman" w:eastAsia="Times New Roman" w:hAnsi="Times New Roman"/>
          <w:sz w:val="18"/>
          <w:szCs w:val="18"/>
          <w:color w:val="auto"/>
        </w:rPr>
      </w:pPr>
    </w:p>
    <w:p>
      <w:pPr>
        <w:ind w:left="1000" w:right="80" w:hanging="317"/>
        <w:spacing w:after="0" w:line="261" w:lineRule="auto"/>
        <w:tabs>
          <w:tab w:leader="none" w:pos="10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supervisory directors for as long as dievini (or its legal successors or permitted assigns under the KfW dievini Shareholders’ Agreement) and its affiliates, as defined by our articles of association, and ultimate beneficiaries, as defined by our articles of association (individually or collectively) owns at least 30% (but less than 50%) of our issued share capital; and</w:t>
      </w:r>
    </w:p>
    <w:p>
      <w:pPr>
        <w:spacing w:after="0" w:line="179" w:lineRule="exact"/>
        <w:rPr>
          <w:rFonts w:ascii="Times New Roman" w:cs="Times New Roman" w:eastAsia="Times New Roman" w:hAnsi="Times New Roman"/>
          <w:sz w:val="18"/>
          <w:szCs w:val="18"/>
          <w:color w:val="auto"/>
        </w:rPr>
      </w:pPr>
    </w:p>
    <w:p>
      <w:pPr>
        <w:ind w:left="1000" w:right="80" w:hanging="317"/>
        <w:spacing w:after="0" w:line="261" w:lineRule="auto"/>
        <w:tabs>
          <w:tab w:leader="none" w:pos="10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supervisory director for as long as dievini (or its legal successors or permitted assigns under the KfW dievini Shareholders’ Agreement) and its affiliates, as defined by our articles of association, and ultimate beneficiaries, as defined by our articles of association (individually or collectively) owns at least 10% (but less than 30%) of our issued share capital.</w:t>
      </w:r>
    </w:p>
    <w:p>
      <w:pPr>
        <w:spacing w:after="0" w:line="179" w:lineRule="exact"/>
        <w:rPr>
          <w:rFonts w:ascii="Times New Roman" w:cs="Times New Roman" w:eastAsia="Times New Roman" w:hAnsi="Times New Roman"/>
          <w:sz w:val="18"/>
          <w:szCs w:val="18"/>
          <w:color w:val="auto"/>
        </w:rPr>
      </w:pPr>
    </w:p>
    <w:p>
      <w:pPr>
        <w:jc w:val="both"/>
        <w:ind w:left="680" w:right="800" w:hanging="321"/>
        <w:spacing w:after="0" w:line="266" w:lineRule="auto"/>
        <w:tabs>
          <w:tab w:leader="none" w:pos="6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nomination period for KfW, KfW (or its legal successor or permitted assigns under the KfW dievini Shareholders’ Agreement) will have the right under our articles of association to make a binding nomination for one supervisory director;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58" w:lineRule="auto"/>
        <w:tabs>
          <w:tab w:leader="none" w:pos="6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each nomination concert (excluding dievini, its affiliates and its ultimate beneficiaries and excluding KfW and its affiliates for as long as dievini and KfW, respectively, have the nomination rights discussed above) will have the right under our articles of association to make a binding nomination for one supervisory director for each 20% of our issued share capital represented by that nomination concert, provided such nominee is independent from the nomination concert and CureVac N.V. under the DCGC and applicable U.S. securities laws and Nasdaq rules.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general meeting may at all times overrule the binding nomination by a resolution adopted by a simple majority of the votes cast, provided that such majority represents at least one-third of the issued share capital. If the general meeting overrules the binding nature of a binding nomination, a new nomination shall be prepared by whoever made the overruled nomination.</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If dievini, KfW and/or a nomination concert loses the right to nominate one or more of our supervisory directors, as applicable, the supervisory director(s) so nominated must promptly resign. A supervisory director nominated by a nomination concert must also promptly resign once that supervisory director is no longer independent from the nomination concert or our company.</w:t>
      </w:r>
    </w:p>
    <w:p>
      <w:pPr>
        <w:spacing w:after="0" w:line="176"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Under Dutch law, when nominating a person for appointment or reappointment as a supervisory director, the nomination must be supported by reasons (if it concerns a reappointment, past performance must be taken into consideration) and the following information about such person must be provided: (i) age and profession; (ii) the aggregate nominal value of the shares held in the company’s capital;</w:t>
      </w:r>
    </w:p>
    <w:p>
      <w:pPr>
        <w:spacing w:after="0" w:line="1" w:lineRule="exact"/>
        <w:rPr>
          <w:sz w:val="20"/>
          <w:szCs w:val="20"/>
          <w:color w:val="auto"/>
        </w:rPr>
      </w:pPr>
    </w:p>
    <w:p>
      <w:pPr>
        <w:jc w:val="both"/>
        <w:ind w:firstLine="8"/>
        <w:spacing w:after="0" w:line="255" w:lineRule="auto"/>
        <w:tabs>
          <w:tab w:leader="none" w:pos="3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and past positions, to the extent relevant for the performance of the tasks of a supervisory director; and (iv) the name of each entity where such person already holds a position as supervisory director or non-executive director (in case of multiple entities within the same group, the name of the group shall suffice).</w:t>
      </w:r>
    </w:p>
    <w:p>
      <w:pPr>
        <w:spacing w:after="0" w:line="18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The Delaware General Corporation Law provides that vacancies and newly created directorships may be filled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directors then in office (even though less than a quorum) unless (i) otherwise provided in the certificate of incorporation or bylaws of the corporation or (ii) the certificate of incorporation directs that a particular class of stock is to elect such director, in which case any other directors elected by such class, or a sole remaining director elected by such class, will fill such vacancy.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Conflict-of-Interest Transactions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and our articles of association, our managing directors and supervisory directors shall not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in any discussion or decision-making that involves a subject or transaction in relation to which he or she has a direct or indirect personal conflict of interest with us. Such a conflict of interest would generally arise if the managing director or supervisory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management board can be adopted, the resolution may be passed by the supervisory board and that, if as a result of conflicts of interests no resolution of the supervisory board can be adopted, the resolution may nonetheless be adopted by the supervisory board as if none of the supervisory directors had a conflict of interest. In that case, each supervisory director is entitled to participate in the discussion and decision-making process and to cast a vote.</w:t>
      </w:r>
    </w:p>
    <w:p>
      <w:pPr>
        <w:spacing w:after="0" w:line="190"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DCGC provides the following best practice recommendations in relation to conflicts of interests in respect of managing directors or supervisory directors:</w:t>
      </w:r>
    </w:p>
    <w:p>
      <w:pPr>
        <w:spacing w:after="0" w:line="162" w:lineRule="exact"/>
        <w:rPr>
          <w:sz w:val="20"/>
          <w:szCs w:val="20"/>
          <w:color w:val="auto"/>
        </w:rPr>
      </w:pPr>
    </w:p>
    <w:p>
      <w:pPr>
        <w:ind w:left="680" w:right="80" w:hanging="321"/>
        <w:spacing w:after="0" w:line="258" w:lineRule="auto"/>
        <w:tabs>
          <w:tab w:leader="none" w:pos="6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managing director should report any potential conflict of interest in a transaction that is of material significance to the company and/or to such person to the chairman of the supervisory board and to the other members of the management board without delay. The managing director should provide all relevant information in that regard, including the information relevant to the situation concerning his or her spouse, registered partner or other life companion, foster child and relatives by blood or marriage up to the second degree;</w:t>
      </w:r>
    </w:p>
    <w:p>
      <w:pPr>
        <w:spacing w:after="0" w:line="183"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supervisory director should report any conflict of interest or potential conflict of interest in a transaction that is of material significance to the company and/or to such person to the chairman of the supervisory board without delay and should provide all relevant information in that regard, including the relevant information pertaining to his or her spouse, registered partner or other life companion, foster child and relatives by blood or marriage up to the second degree. If the chairman of the supervisory board has a conflict of interest or potential conflict of interest, he or she should report this to the vice-chairman of the supervisory board without delay;</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60" w:hanging="321"/>
        <w:spacing w:after="0" w:line="282" w:lineRule="auto"/>
        <w:tabs>
          <w:tab w:leader="none" w:pos="6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supervisory board should decide, outside the presence of the managing director or supervisory director concerned, whether there is a conflict of interest;</w:t>
      </w:r>
    </w:p>
    <w:p>
      <w:pPr>
        <w:spacing w:after="0" w:line="121"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in which there are conflicts of interest with managing directors or supervisory directors should be agreed on terms that are customary in the market; and</w:t>
      </w:r>
    </w:p>
    <w:p>
      <w:pPr>
        <w:spacing w:after="0" w:line="134"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enter into transactions in which there are conflicts of interest with managing directors or supervisory directors that are of material significance to the company and/or to the relevant managing directors or supervisory directors should require the approval of the supervisory board. Such transactions should be published in the annual report, together with a description of the conflict of interest and a declaration that the relevant best practice provisions of the DCGC have been complied with.</w:t>
      </w:r>
    </w:p>
    <w:p>
      <w:pPr>
        <w:spacing w:after="0" w:line="137" w:lineRule="exact"/>
        <w:rPr>
          <w:sz w:val="20"/>
          <w:szCs w:val="20"/>
          <w:color w:val="auto"/>
        </w:rPr>
      </w:pPr>
    </w:p>
    <w:p>
      <w:pPr>
        <w:ind w:right="6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The Delaware General Corporation Law generally permits transactions involving a Delaware corporation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interested director of that corporation if:</w:t>
      </w:r>
    </w:p>
    <w:p>
      <w:pPr>
        <w:spacing w:after="0" w:line="120" w:lineRule="exact"/>
        <w:rPr>
          <w:sz w:val="20"/>
          <w:szCs w:val="20"/>
          <w:color w:val="auto"/>
        </w:rPr>
      </w:pPr>
    </w:p>
    <w:p>
      <w:pPr>
        <w:ind w:left="680" w:hanging="321"/>
        <w:spacing w:after="0"/>
        <w:tabs>
          <w:tab w:leader="none" w:pos="6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director’s relationship or interest are disclosed and a majority of disinterested directors consent;</w:t>
      </w:r>
    </w:p>
    <w:p>
      <w:pPr>
        <w:spacing w:after="0" w:line="198"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are disclosed as to the director’s relationship or interest and a majority of shares entitled to vote thereon consent; or</w:t>
      </w:r>
    </w:p>
    <w:p>
      <w:pPr>
        <w:spacing w:after="0" w:line="121"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fair to the corporation at the time it is authorized by the board of directors, a committee of the board of directors or the stockholders.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Proxy Voting by Directors</w:t>
      </w:r>
    </w:p>
    <w:p>
      <w:pPr>
        <w:spacing w:after="0" w:line="198" w:lineRule="exact"/>
        <w:rPr>
          <w:sz w:val="20"/>
          <w:szCs w:val="20"/>
          <w:color w:val="auto"/>
        </w:rPr>
      </w:pPr>
    </w:p>
    <w:p>
      <w:pPr>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An absent managing director may issue a proxy for a specific management board meeting but only to another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in writing or by electronic means. An absent supervisory director may issue a proxy for a specific supervisory board meeting but only to another supervisory director in writing or by electronic means.</w:t>
      </w:r>
    </w:p>
    <w:p>
      <w:pPr>
        <w:spacing w:after="0" w:line="133" w:lineRule="exact"/>
        <w:rPr>
          <w:sz w:val="20"/>
          <w:szCs w:val="20"/>
          <w:color w:val="auto"/>
        </w:rPr>
      </w:pPr>
    </w:p>
    <w:p>
      <w:pPr>
        <w:ind w:left="340" w:right="640"/>
        <w:spacing w:after="0" w:line="461"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A director of a Delaware corporation may not issue a proxy representing the director’s voting rights as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Shareholder Rights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Netherlands</w:t>
      </w:r>
      <w:r>
        <w:rPr>
          <w:rFonts w:ascii="Times New Roman" w:cs="Times New Roman" w:eastAsia="Times New Roman" w:hAnsi="Times New Roman"/>
          <w:sz w:val="18"/>
          <w:szCs w:val="18"/>
          <w:color w:val="auto"/>
        </w:rPr>
        <w:t>. In accordance with Dutch law and our articles of association, each issued common share confers the right to cast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vote at the general meeting. Each holder of shares may cast as many votes as it holds shares. No votes may be cast on shares that are held by us or our direct or indirect subsidiaries or on shares for which we or our subsidiaries hold depository receipts. Nonetheless, the holders of a right of use and enjoyment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and the holders of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in respect of shares held by us or our subsidiaries in our share capital are not excluded from the right to vote on such shares, if the right of use and enjoyment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the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was granted prior to the time such shares were acquired by us or any of our subsidiaries. Neither we nor any of our subsidiaries may cast votes in respect of a share on which we or such subsidiary holds a right of use and enjoyment (</w:t>
      </w:r>
      <w:r>
        <w:rPr>
          <w:rFonts w:ascii="Times New Roman" w:cs="Times New Roman" w:eastAsia="Times New Roman" w:hAnsi="Times New Roman"/>
          <w:sz w:val="18"/>
          <w:szCs w:val="18"/>
          <w:i w:val="1"/>
          <w:iCs w:val="1"/>
          <w:color w:val="auto"/>
        </w:rPr>
        <w:t>vruchtgebruik</w:t>
      </w:r>
      <w:r>
        <w:rPr>
          <w:rFonts w:ascii="Times New Roman" w:cs="Times New Roman" w:eastAsia="Times New Roman" w:hAnsi="Times New Roman"/>
          <w:sz w:val="18"/>
          <w:szCs w:val="18"/>
          <w:color w:val="auto"/>
        </w:rPr>
        <w:t>) or a right of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4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our articles of association, for each general meeting, the management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each stockholder is entitled to one vote per share of stock,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8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225"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Pursuant to our articles of association, extraordinary general meetings will be held whenever required under Dutch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or whenever our management board or supervisory board deems such to be appropriate or necessary. Pursuant to Dutch law, one or more shareholders or others with meeting rights under Dutch law representing at least one-tenth of the issued share capital may request us to convene a general meeting, setting out in detail the matters to be discussed. If we have not taken the steps necessary to ensure that such meeting can be held within six weeks after the request, the requesting party or parties may, on their application, be authorized by the competent Dutch court in preliminary relief proceedings to convene a general meeting.</w:t>
      </w:r>
    </w:p>
    <w:p>
      <w:pPr>
        <w:spacing w:after="0" w:line="18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Also, the agenda for a general meeting shall include such items requested by one or more shareholders, and others entitled to attend general meetings, representing at least 3% of the issued share capital, except where the articles of association state a lower percentage. Our articles of association do not state such lower percentage. Requests must be made in writing or by electronic means and received by us at least 60 days before the day of the meeting.</w:t>
      </w:r>
    </w:p>
    <w:p>
      <w:pPr>
        <w:spacing w:after="0" w:line="180"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the DCGC and our articles of association, a shareholder shall exercise the right of putting an item on the agenda only after consulting the management board in that respect. If one or more shareholders intend to request that an item be put on the agenda that may result in a change in the company’s strategy (for example, the removal of managing directors or supervisory directors),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managing directors or supervisory directors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managing directors and supervisory directors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53" w:lineRule="exact"/>
        <w:rPr>
          <w:sz w:val="20"/>
          <w:szCs w:val="20"/>
          <w:color w:val="auto"/>
        </w:rPr>
      </w:pPr>
    </w:p>
    <w:p>
      <w:pPr>
        <w:ind w:left="680" w:right="180" w:hanging="321"/>
        <w:spacing w:after="0" w:line="266" w:lineRule="auto"/>
        <w:tabs>
          <w:tab w:leader="none" w:pos="6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48"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board cannot reasonably believe that a continuation of the cooling-off period would contribute to careful policy-making; or</w:t>
      </w:r>
    </w:p>
    <w:p>
      <w:pPr>
        <w:spacing w:after="0" w:line="121"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3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Delaware law does not specifically grant stockholders the right to bring business before an annual or special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8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shareholders’ resolutions may be adopted in writing without holding a meeting of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that (i) 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43"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Although permitted by Delaware law, publicly listed companies do not typically permit stockholders of a corporation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 action by written consent.</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Appraisal Rights</w:t>
      </w:r>
    </w:p>
    <w:p>
      <w:pPr>
        <w:spacing w:after="0" w:line="18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Subject to certain exceptions, Dutch law does not recognize the concept of appraisal or dissenters’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Dutch law does provide for 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The Delaware General Corporation Law provides for stockholder appraisal rights, or the right to demand payment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judicially determined fair value of the stockholder’s shares, in connection with certain mergers and consolidations.</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Shareholder Suits</w:t>
      </w:r>
    </w:p>
    <w:p>
      <w:pPr>
        <w:spacing w:after="0" w:line="144"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In the event a third-party is liable to a Dutch company, only the company itself can bring a civil action against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 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spacing w:after="0" w:line="12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a stockholder may bring a derivative action on behalf of the corporation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Repurchase of Shares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when issuing shares, a public company such as ours may not subscribe for newly issued shares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own capital. Such company may, however, subject to certain restrictions of Dutch law and its articles of association, acquire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own capital. A listed public company such as ours may acquire fully paid shares in its own capital at any time for no valuable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Furthermore, subject to certain provisions of Dutch law and its articles of association, such company may repurchase fully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shares in its own capital if (i) the company’s shareholders’ equity less the payment required to make the acquisition does not fall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the sum of paid-in and called-up share capital plus any reserves required by Dutch law or its articles of association and (ii)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nominal value of shares of the company which the company acquires, holds or on which the company holds a pledge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or which are held by a subsidiary of the company, would not exceed 50% of its then-current issued share capital.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only acquire its own shares if its general meeting has granted the management board the authority to effect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w:t>
      </w:r>
    </w:p>
    <w:p>
      <w:pPr>
        <w:spacing w:after="0" w:line="13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 acquisition of common shares for a consideration must be authorized by our general meeting. Such authorization may be granted for a maximum period of 18 months and must specify the number of common shares that may be acquired, the manner in which common shares may be acquired and the price limits within which common shares may be acquired. The actual acquisition may only be effected pursuant to a resolution of our management board, with the approval of our supervisory board. Our management board, subject to approval of our supervisory board, has been authorized, for a period of 18 months following the completion of our initial public offering, to cause the repurchase of common shares by us of up to 20% of our issued share capital, for a price per share not exceeding 110% of the average market price of our common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management board, subject to approval by our supervisory board, has also been authorized for a period of 18 months following the completion of our initial public offering to cause the repurchase of preferred shares, for a price which is higher than nil and does not exceed the nominal value thereof. No authorization of the general meeting is required if fully paid common shares are acquired by us with the intention of transferring such common shares to our employees under an applicable employee share purchase plan.</w:t>
      </w:r>
    </w:p>
    <w:p>
      <w:pPr>
        <w:spacing w:after="0" w:line="13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a corporation may purchase or redeem its own shares unless the capital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is 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225" w:lineRule="exact"/>
        <w:rPr>
          <w:sz w:val="20"/>
          <w:szCs w:val="20"/>
          <w:color w:val="auto"/>
        </w:rPr>
      </w:pPr>
    </w:p>
    <w:p>
      <w:pPr>
        <w:jc w:val="both"/>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various protective measures are possible and permissible within the boundaries set by Dutch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Dutch case law. In this respect, certain provisions of our articles of association may make it more difficult for a third-party to acquire control of us or effect a change in our management board and supervisory board. These provisions include:</w:t>
      </w:r>
    </w:p>
    <w:p>
      <w:pPr>
        <w:spacing w:after="0" w:line="175" w:lineRule="exact"/>
        <w:rPr>
          <w:sz w:val="20"/>
          <w:szCs w:val="20"/>
          <w:color w:val="auto"/>
        </w:rPr>
      </w:pPr>
    </w:p>
    <w:p>
      <w:pPr>
        <w:ind w:left="680" w:right="20" w:hanging="321"/>
        <w:spacing w:after="0" w:line="258" w:lineRule="auto"/>
        <w:tabs>
          <w:tab w:leader="none" w:pos="6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a class of preferred shares that, after the expiration of the later of the initial period or the initial approval period, may be issued to a protective foundation pursuant to a call option to that effect, see “Item 3. Key Information — D. Risk Factors — Provisions of our articles of association or Dutch corporate law might deter acquisition bids for us that might be considered favorable and prevent, delay or frustrate any attempt to replace or remove the members of our managing directors or supervisory directors;</w:t>
      </w:r>
    </w:p>
    <w:p>
      <w:pPr>
        <w:spacing w:after="0" w:line="183" w:lineRule="exact"/>
        <w:rPr>
          <w:rFonts w:ascii="Times New Roman" w:cs="Times New Roman" w:eastAsia="Times New Roman" w:hAnsi="Times New Roman"/>
          <w:sz w:val="18"/>
          <w:szCs w:val="18"/>
          <w:color w:val="auto"/>
        </w:rPr>
      </w:pPr>
    </w:p>
    <w:p>
      <w:pPr>
        <w:ind w:left="680" w:right="260" w:hanging="321"/>
        <w:spacing w:after="0" w:line="266" w:lineRule="auto"/>
        <w:tabs>
          <w:tab w:leader="none" w:pos="6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managing directors and supervisory directors are appointed on the basis of a binding nomination, the binding nature of which can only be overruled by a simple majority of votes cast representing at least one-third of our issued share capital;</w:t>
      </w:r>
    </w:p>
    <w:p>
      <w:pPr>
        <w:spacing w:after="0" w:line="175" w:lineRule="exact"/>
        <w:rPr>
          <w:rFonts w:ascii="Times New Roman" w:cs="Times New Roman" w:eastAsia="Times New Roman" w:hAnsi="Times New Roman"/>
          <w:sz w:val="18"/>
          <w:szCs w:val="18"/>
          <w:color w:val="auto"/>
        </w:rPr>
      </w:pPr>
    </w:p>
    <w:p>
      <w:pPr>
        <w:ind w:left="680" w:right="20" w:hanging="321"/>
        <w:spacing w:after="0" w:line="256" w:lineRule="auto"/>
        <w:tabs>
          <w:tab w:leader="none" w:pos="6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managing directors and supervisory directors may only be dismissed by the general meeting by a two-thirds majority of votes cast representing more than 50% of our issued share capital (unless the dismissal is proposed by the supervisory board or, with respect to supervisory directors nominated by dievini or KfW, by dievini (or its legal successor) or permitted assigns under the KfW dievini Shareholders’ Agreement during the nomination period for dievini or by KfW (or its legal successors or permitted assigns under the KfW dievini Shareholders’ Agreement) during the nomination period for KfW, respectively, in which case a simple majority of the votes would be sufficient);</w:t>
      </w:r>
    </w:p>
    <w:p>
      <w:pPr>
        <w:spacing w:after="0" w:line="187" w:lineRule="exact"/>
        <w:rPr>
          <w:rFonts w:ascii="Times New Roman" w:cs="Times New Roman" w:eastAsia="Times New Roman" w:hAnsi="Times New Roman"/>
          <w:sz w:val="18"/>
          <w:szCs w:val="18"/>
          <w:color w:val="auto"/>
        </w:rPr>
      </w:pPr>
    </w:p>
    <w:p>
      <w:pPr>
        <w:ind w:left="680" w:hanging="321"/>
        <w:spacing w:after="0" w:line="255" w:lineRule="auto"/>
        <w:tabs>
          <w:tab w:leader="none" w:pos="6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where a supervisory director is no longer in office or is unable to act, he or she may be replaced temporarily by a person whom the supervisory board has designated for that purpose and, where a supervisory director who has been appointed upon a nomination of dievini or KfW, as applicable, is no longer in office or unable to act, such supervisory director may only be temporarily replaced by a person designated for such purposes by dievini or KfW, as applicable. Such person shall become a full member of the supervisory board with the rights of the relevant supervisory director appointed upon a nomination of dievini or KfW, as applicable, as soon as a written designation to that effect has been received by the chairman or vice-chairman of our supervisory board, subject to limitations, under applicable law regarding dievini’s rights under this provision;</w:t>
      </w:r>
    </w:p>
    <w:p>
      <w:pPr>
        <w:spacing w:after="0" w:line="188" w:lineRule="exact"/>
        <w:rPr>
          <w:rFonts w:ascii="Times New Roman" w:cs="Times New Roman" w:eastAsia="Times New Roman" w:hAnsi="Times New Roman"/>
          <w:sz w:val="18"/>
          <w:szCs w:val="18"/>
          <w:color w:val="auto"/>
        </w:rPr>
      </w:pPr>
    </w:p>
    <w:p>
      <w:pPr>
        <w:ind w:left="680" w:right="100" w:hanging="321"/>
        <w:spacing w:after="0" w:line="256" w:lineRule="auto"/>
        <w:tabs>
          <w:tab w:leader="none" w:pos="6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allowing, among other matters, a former chairman of our supervisory board, a former nominee of dievini, and a former nominee of KfW, to jointly take on the supervisory functions, which persons jointly may designate one or more other persons to be charged with the supervision of our company (instead of or together with the former chairman of our supervisory board), as applicable, to manage our affairs if all of our managing directors and supervisory directors are removed from office and to appoint others to be charged with the management and supervision of our affairs, until new managing directors and supervisory directors are appointed by the general meeting on the basis of a binding nomination discussed above;</w:t>
      </w:r>
    </w:p>
    <w:p>
      <w:pPr>
        <w:spacing w:after="0" w:line="187" w:lineRule="exact"/>
        <w:rPr>
          <w:rFonts w:ascii="Times New Roman" w:cs="Times New Roman" w:eastAsia="Times New Roman" w:hAnsi="Times New Roman"/>
          <w:sz w:val="18"/>
          <w:szCs w:val="18"/>
          <w:color w:val="auto"/>
        </w:rPr>
      </w:pPr>
    </w:p>
    <w:p>
      <w:pPr>
        <w:jc w:val="both"/>
        <w:ind w:left="680" w:right="160" w:hanging="321"/>
        <w:spacing w:after="0" w:line="266" w:lineRule="auto"/>
        <w:tabs>
          <w:tab w:leader="none" w:pos="6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allowing the management board to temporarily replace a managing director who is no longer in office or unable to act, by another person or persons designated for this purpose by the management board and attributing the management of the company to the supervisory board in case all managing directors are no longer in office or unable to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00" w:hanging="321"/>
        <w:spacing w:after="0" w:line="261" w:lineRule="auto"/>
        <w:tabs>
          <w:tab w:leader="none" w:pos="6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certain provisions of our articles of association can only be amended with the affirmative vote of (i) during the nomination period for dievini, dievini (or its legal successors or permitted assigns under the KfW dievini Shareholders’ Agreement) and (ii) during the nomination period for KfW, KfW (or its legal successors or permitted assigns under the KfW dievini Shareholders’ Agreement); and</w:t>
      </w:r>
    </w:p>
    <w:p>
      <w:pPr>
        <w:spacing w:after="0" w:line="112" w:lineRule="exact"/>
        <w:rPr>
          <w:rFonts w:ascii="Times New Roman" w:cs="Times New Roman" w:eastAsia="Times New Roman" w:hAnsi="Times New Roman"/>
          <w:sz w:val="18"/>
          <w:szCs w:val="18"/>
          <w:color w:val="auto"/>
        </w:rPr>
      </w:pPr>
    </w:p>
    <w:p>
      <w:pPr>
        <w:ind w:left="680" w:right="800" w:hanging="321"/>
        <w:spacing w:after="0" w:line="282" w:lineRule="auto"/>
        <w:tabs>
          <w:tab w:leader="none" w:pos="6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certain matters, including an amendment of our articles of association, may only be brought to our shareholders for a vote upon a proposal by our management board.</w:t>
      </w:r>
    </w:p>
    <w:p>
      <w:pPr>
        <w:spacing w:after="0" w:line="81" w:lineRule="exact"/>
        <w:rPr>
          <w:sz w:val="20"/>
          <w:szCs w:val="20"/>
          <w:color w:val="auto"/>
        </w:rPr>
      </w:pPr>
    </w:p>
    <w:p>
      <w:pPr>
        <w:ind w:right="280" w:firstLine="324"/>
        <w:spacing w:after="0" w:line="312" w:lineRule="auto"/>
        <w:rPr>
          <w:sz w:val="20"/>
          <w:szCs w:val="20"/>
          <w:color w:val="auto"/>
        </w:rPr>
      </w:pPr>
      <w:r>
        <w:rPr>
          <w:rFonts w:ascii="Times New Roman" w:cs="Times New Roman" w:eastAsia="Times New Roman" w:hAnsi="Times New Roman"/>
          <w:sz w:val="17"/>
          <w:szCs w:val="17"/>
          <w:color w:val="auto"/>
        </w:rPr>
        <w:t>In addition, Dutch law allows for staggered multi-year terms of our managing directors and supervisory directors, as a result of which only part of our managing directors and supervisory directors may be subject to appointment or reappointment in any one year.</w:t>
      </w:r>
    </w:p>
    <w:p>
      <w:pPr>
        <w:spacing w:after="0" w:line="72"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Furthermore, our management board may, under certain circumstances invoke a reasonable period of up to 180 days to respond to certain shareholder proposals or a statutory cooling-off period of up to 250 days to respond to certain shareholder proposals or a hostile bid. See above under “Shareholder Proposals.”</w:t>
      </w:r>
    </w:p>
    <w:p>
      <w:pPr>
        <w:spacing w:after="0" w:line="10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In addition to other aspects of Delaware law governing fiduciary duties of directors during a potential takeover,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General 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01"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108" w:lineRule="exact"/>
        <w:rPr>
          <w:sz w:val="20"/>
          <w:szCs w:val="20"/>
          <w:color w:val="auto"/>
        </w:rPr>
      </w:pPr>
    </w:p>
    <w:p>
      <w:pPr>
        <w:ind w:left="680" w:right="60" w:hanging="321"/>
        <w:spacing w:after="0" w:line="282" w:lineRule="auto"/>
        <w:tabs>
          <w:tab w:leader="none" w:pos="6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that will cause the person to become an interested stockholder is approved by the board of directors of the target prior to the transactions;</w:t>
      </w:r>
    </w:p>
    <w:p>
      <w:pPr>
        <w:spacing w:after="0" w:line="94"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94" w:lineRule="exact"/>
        <w:rPr>
          <w:rFonts w:ascii="Times New Roman" w:cs="Times New Roman" w:eastAsia="Times New Roman" w:hAnsi="Times New Roman"/>
          <w:sz w:val="18"/>
          <w:szCs w:val="18"/>
          <w:color w:val="auto"/>
        </w:rPr>
      </w:pPr>
    </w:p>
    <w:p>
      <w:pPr>
        <w:ind w:left="680" w:right="80" w:hanging="321"/>
        <w:spacing w:after="0" w:line="312" w:lineRule="auto"/>
        <w:tabs>
          <w:tab w:leader="none" w:pos="6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7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144"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The management board and the supervisory board provide the general meeting, within a reasonable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all information that the shareholders require for the exercise of their powers, unless this would be contrary to an overriding interest of our company. If the management board or supervisory board invokes such an overriding interest, it must give reasons.</w:t>
      </w:r>
    </w:p>
    <w:p>
      <w:pPr>
        <w:spacing w:after="0" w:line="106" w:lineRule="exact"/>
        <w:rPr>
          <w:sz w:val="20"/>
          <w:szCs w:val="20"/>
          <w:color w:val="auto"/>
        </w:rPr>
      </w:pPr>
    </w:p>
    <w:p>
      <w:pPr>
        <w:ind w:right="6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any stockholder may inspect for any proper purpose certain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books and records during the corporation’s usual hours of business.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Dismissal of Directors</w:t>
      </w:r>
    </w:p>
    <w:p>
      <w:pPr>
        <w:spacing w:after="0" w:line="15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our articles of association, the general meeting shall at all times be entitled to dismiss a managing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supervisory director. The general meeting may only adopt a resolution to suspend or dismiss a managing director or supervisory director by at least a two-thirds majority of the votes cast, provided that such majority represents more than half of the issued share capital, unless the proposal was made by the supervisory board or, with respect to supervisory directors nominated by dievini or KfW, by dievini (or its legal successor or permitted assigns under the KfW dievini Shareholders’ Agreement) during the nomination period for dievini or by KfW (or its legal successor or permitted assigns under the KfW dievini Shareholders’ Agreement) during the nomination period for KfW, respectively, in which latter case a simple majority is sufficient.</w:t>
      </w:r>
    </w:p>
    <w:p>
      <w:pPr>
        <w:spacing w:after="0" w:line="102"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any director or the entire board of directors may be removed, with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or she is a part.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Issuance of Shares</w:t>
      </w:r>
    </w:p>
    <w:p>
      <w:pPr>
        <w:spacing w:after="0" w:line="22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a company’s general meeting is the corporate body authorized to resolve on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and the granting of rights to subscribe for shares. The general meeting can delegate such authority to another corporate body of the company, such as the management board, for a period not exceeding five years; this authorization may only be extended from time to time for a maximum period of five years. In order for a resolution of the general meeting on an issuance or an authorization as discussed in the previous sentence to be valid, a prior or simultaneous approval shall be required from each meeting of holders of a certain class of shares whose rights are prejudiced by the issuance.</w:t>
      </w:r>
    </w:p>
    <w:p>
      <w:pPr>
        <w:spacing w:after="0" w:line="157"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management board, subject to approval of our supervisory board, has been authorized, for a period of five years from the completion of our initial public offering, to issue shares or grant rights to subscribe for shares up to our authorized share capital from time to time. We may not subscribe for our own shares on issue.</w:t>
      </w:r>
    </w:p>
    <w:p>
      <w:pPr>
        <w:spacing w:after="0" w:line="133" w:lineRule="exact"/>
        <w:rPr>
          <w:sz w:val="20"/>
          <w:szCs w:val="20"/>
          <w:color w:val="auto"/>
        </w:rPr>
      </w:pPr>
    </w:p>
    <w:p>
      <w:pPr>
        <w:ind w:right="2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All creation of shares require the board of directors to adopt a resolution or resolutions, pursuant to authority expressly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vested in the board of directors by the provisions of the company’s certificate of incorporation.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22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in the event of an issuance of common shares, each shareholder will have a pro rata preemptive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in proportion to the aggregate nominal value of the common shares held by such holder (with the exception of common shares to be issued to employees or common shares issued against a contribution other than in cash or pursuant to the exercise of a previously acquired right to subscribe for shares). Our preferred shares carry no preemptive rights. Under our articles of association, the preemptive rights in respect of newly issued common shares may be restricted or excluded by a resolution of the general meeting. Another corporate body, such as the management board, may restrict or exclude the preemptive rights in respect of newly issued common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 Our management board, subject to approval of our supervisory board, has been authorized, for a period of five years from the completion of our initial public offering, to limit or exclude preemptive rights in relation to an issuance of shares or a grant of rights to subscribe for shares that the management board is authorized to resolve upon. See “—Issuance of Shares.”</w:t>
      </w:r>
    </w:p>
    <w:p>
      <w:pPr>
        <w:spacing w:after="0" w:line="149"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stockholders have no preemptive rights to subscribe for additional issues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 or to any security convertible into such stock unless, and to the extent that, such rights are expressly provided for in the certificate of incorporation.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Dutch law provides that dividends (if it concerns a distribution of profits) may be distributed after adoption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accounts by the general meeting from which it appears that such dividend distribution is allowed. Moreover, dividends may be distributed, whether as a distribution of profits or of freely distributable reserves, only to the extent the shareholders’ equity exceeds the amount of the paid-in and called-up issued share capital and the reserves that must be maintained under the law or the articles of association. Interim dividends may be declared as provided in the articles of association and may be distributed to the extent that the shareholders’ equity exceeds the amount of the paid-in and called-up issued share capital plus any reserves as described above as apparent from our interim financial statements prepared under Dutch law.</w:t>
      </w:r>
    </w:p>
    <w:p>
      <w:pPr>
        <w:spacing w:after="0" w:line="144"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Under our articles of association, our management board, with the approval of our supervisory board, may decide that all or part of the profits are carried to reserves. Before reservation of any profit, to the extent that preferred shares have been canceled and preferred distributions on those canceled shares are outstanding, the profits are first to be used to satisfy the outstanding claim to those who held those preferred shares at the moment of such cancellation becoming effective and subsequently if any preferred shares are outstanding, the preferred dividend is paid out of the remaining profit on the preferred shares in accordance with our articles of association. The remaining profit will be at the disposal of the general meeting at the proposal of the management board for distribution on the common shares, subject to restrictions of Dutch law and approval by our supervisory board of such proposal of our management board. Our management board is permitted, subject to certain requirements, to declare interim dividends without the approval of the general meeting, but only with the approval of the supervisory board. 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a Delaware corporation may pay dividends out of its surplus (the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common stock, property or cash.</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Shareholder Vote on Certain Reorganizations</w:t>
      </w:r>
    </w:p>
    <w:p>
      <w:pPr>
        <w:spacing w:after="0" w:line="198"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Under Dutch law, the general meeting must approve resolutions of the management board relating to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the identity or the character of the company or the business of the company, which includes:</w:t>
      </w:r>
    </w:p>
    <w:p>
      <w:pPr>
        <w:spacing w:after="0" w:line="120" w:lineRule="exact"/>
        <w:rPr>
          <w:sz w:val="20"/>
          <w:szCs w:val="20"/>
          <w:color w:val="auto"/>
        </w:rPr>
      </w:pPr>
    </w:p>
    <w:p>
      <w:pPr>
        <w:ind w:left="680" w:hanging="321"/>
        <w:spacing w:after="0"/>
        <w:tabs>
          <w:tab w:leader="none" w:pos="6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business or virtually the entire business to a third party;</w:t>
      </w:r>
    </w:p>
    <w:p>
      <w:pPr>
        <w:spacing w:after="0" w:line="184"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148" w:lineRule="exact"/>
        <w:rPr>
          <w:rFonts w:ascii="Times New Roman" w:cs="Times New Roman" w:eastAsia="Times New Roman" w:hAnsi="Times New Roman"/>
          <w:sz w:val="18"/>
          <w:szCs w:val="18"/>
          <w:color w:val="auto"/>
        </w:rPr>
      </w:pPr>
    </w:p>
    <w:p>
      <w:pPr>
        <w:jc w:val="both"/>
        <w:ind w:left="680" w:right="300" w:hanging="321"/>
        <w:spacing w:after="0" w:line="261" w:lineRule="auto"/>
        <w:tabs>
          <w:tab w:leader="none" w:pos="6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3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the vote of a majority of the outstanding shares of capital stock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72" w:lineRule="auto"/>
        <w:rPr>
          <w:sz w:val="20"/>
          <w:szCs w:val="20"/>
          <w:color w:val="auto"/>
        </w:rPr>
      </w:pPr>
      <w:r>
        <w:rPr>
          <w:rFonts w:ascii="Times New Roman" w:cs="Times New Roman" w:eastAsia="Times New Roman" w:hAnsi="Times New Roman"/>
          <w:sz w:val="17"/>
          <w:szCs w:val="17"/>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w:t>
      </w:r>
    </w:p>
    <w:p>
      <w:pPr>
        <w:spacing w:after="0" w:line="2" w:lineRule="exact"/>
        <w:rPr>
          <w:sz w:val="20"/>
          <w:szCs w:val="20"/>
          <w:color w:val="auto"/>
        </w:rPr>
      </w:pPr>
    </w:p>
    <w:p>
      <w:pPr>
        <w:ind w:firstLine="8"/>
        <w:spacing w:after="0" w:line="265" w:lineRule="auto"/>
        <w:tabs>
          <w:tab w:leader="none" w:pos="315"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90% or more of the outstanding shares of each class of stock of such corporation, but the stockholders will be entitled to appraisal rights.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Managing Directors and Supervisory Directors</w:t>
      </w:r>
    </w:p>
    <w:p>
      <w:pPr>
        <w:spacing w:after="0" w:line="16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The supervisory board determines the remuneration of individual managing directors with due observance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policy at the recommendation of our compensation committee. A proposal with respect to remuneration schemes in the form of shares or rights to shares in which managing directors may participate is subject to approval by our general meeting. Such a proposal must set out at least the maximum number of shares or rights to subscribe for shares to be granted to the managing directors and the criteria for granting or amendment. The compensation for our supervisory directors is set by the general meeting.</w:t>
      </w:r>
    </w:p>
    <w:p>
      <w:pPr>
        <w:spacing w:after="0" w:line="116"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Delaware. </w:t>
      </w:r>
      <w:r>
        <w:rPr>
          <w:rFonts w:ascii="Times New Roman" w:cs="Times New Roman" w:eastAsia="Times New Roman" w:hAnsi="Times New Roman"/>
          <w:sz w:val="18"/>
          <w:szCs w:val="18"/>
          <w:color w:val="auto"/>
        </w:rPr>
        <w:t>Under the Delaware General Corporation Law, the stockholders do not generally have the right to approve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policy for directors or the senior management of the corporation, although certain aspects of the compensation policy may be subject to stockholder vote due to the provisions of U.S. federal securities and tax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Protecting the security and integrity of CureVac’s IT systems and safeguarding the privacy of our business partners, patients and employees along with our intellectual property is a key priority for us. Cybersecurity risks are among the core risks evaluated through our enterprise risk management program.</w:t>
      </w:r>
    </w:p>
    <w:p>
      <w:pPr>
        <w:spacing w:after="0" w:line="10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IT security team is responsible for assessing and maintaining our cybersecurity risk management program. Our Head of IT oversees our cybersecurity program and is supported by our Manager of Information Security, the Senior Director of Infrastructure &amp; Operations, the IT Leadership Team and other business leaders. Our cybersecurity program is designed to enable the Company to respond to the threat of security breaches and cyberattacks and to protect and preserve the confidentiality, integrity, and continued availability of information assets processed by the Company. Our Manager of Information Security and his team are experienced subject matter experts in the field of information security. The Senior Director of Infrastructure &amp; Operations has over 25 years of international experience in information security, IT strategy and IT management, including security consulting. Similarly, our Head of IT has over 25 years of experience in various senior international IT leadership roles. Our internal IT security team is augmented by third parties, who provide additional information security expertise.</w:t>
      </w:r>
    </w:p>
    <w:p>
      <w:pPr>
        <w:spacing w:after="0" w:line="107"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To address cybersecurity threats and in an effort to prevent IT system interruptions, we are developing enterprise-wide policies, procedures, and practices based on and audited against industry standards, including the ISO 27001 Standard and “BSI-Grundschutz”. CureVac’s systems are regularly patched and updated with supported software releases. We conduct regular internal vulnerability analyses (including simulated hacking) as well as external penetration testing utilizing third parties to verify and ensure the effectiveness of our cybersecurity controls. Our employees are required to participate in our cybersecurity awareness program, which includes access to specific cybersecurity and information security training sessions and content and periodic phishing attack simulations.</w:t>
      </w:r>
    </w:p>
    <w:p>
      <w:pPr>
        <w:spacing w:after="0" w:line="10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CureVac requires employees to report IT security incidents to the IT security team via CureVac’s internal service management platform. Additionally, we have implemented a 24/7/365 Cyber Security Operations Center (CSOC) operated by an external third party. The CSOC provides active monitoring and is responsible for investigating any security incidents and alerts on our platforms.</w:t>
      </w:r>
    </w:p>
    <w:p>
      <w:pPr>
        <w:spacing w:after="0" w:line="10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Where appropriate, threats or incidents are escalated to our Head of IT, who informs our CEO, management board and/or Data Protection Officer of any such threats or incidents. Any breaches related to personal data are managed by the Data Protection Officer in consultation with CureVac’s IT security team.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Head of IT updates the status of the cybersecurity program quarterly within the enterprise risk management program. The management board provides oversight over the enterprise risk management program, reviews the risk portfolio on a quarterly basis and is responsible for ensuring that we have implemented an appropriate and effective risk management system and process. The supervisory board reviews the enterprise risk management program on an annual basis. In addition, the Head of IT provides regular updates on the status of the cybersecurity program, and emerging cybersecurity threats and incidents to the management board. At least once each year, the Audit Committee discusses our approach to cybersecurity risk management with the Head of IT and, as necessary, to the full supervisory board, based on management’s assessment of risk.</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2023, we did not identify any cybersecurity threats or incidents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Factors–Risks Related to Our Business and Industry” in this Annual Report on Form 20-F.</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responded to Item 18 in lieu of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audited consolidated financial statements are included in this Annual Report beginning at Page 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CureVac N.V.</w:t>
      </w:r>
    </w:p>
    <w:p>
      <w:pPr>
        <w:spacing w:after="0" w:line="225"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Zehnder</w:t>
            </w:r>
          </w:p>
        </w:tc>
      </w:tr>
      <w:tr>
        <w:trPr>
          <w:trHeight w:val="189"/>
        </w:trPr>
        <w:tc>
          <w:tcPr>
            <w:tcW w:w="64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Alexander Zehnder</w:t>
            </w:r>
          </w:p>
        </w:tc>
      </w:tr>
      <w:tr>
        <w:trPr>
          <w:trHeight w:val="236"/>
        </w:trPr>
        <w:tc>
          <w:tcPr>
            <w:tcW w:w="64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Executive Officer</w:t>
            </w:r>
          </w:p>
        </w:tc>
      </w:tr>
    </w:tbl>
    <w:p>
      <w:pPr>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140" w:type="dxa"/>
            <w:vAlign w:val="bottom"/>
            <w:gridSpan w:val="24"/>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720" w:type="dxa"/>
            <w:vAlign w:val="bottom"/>
            <w:tcBorders>
              <w:bottom w:val="single" w:sz="8" w:color="0000EE"/>
            </w:tcBorders>
            <w:gridSpan w:val="19"/>
          </w:tcPr>
          <w:p>
            <w:pPr>
              <w:spacing w:after="0" w:line="182" w:lineRule="exact"/>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Form of Articles of Association of CureVac N.V. (translated into English) (incorporated by reference to Exhibit 3.1 to the</w:t>
              </w:r>
            </w:hyperlink>
          </w:p>
        </w:tc>
        <w:tc>
          <w:tcPr>
            <w:tcW w:w="3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Company’s Form F-1 (File No. 333-240076) filed on August 10, 2020).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9100" w:type="dxa"/>
            <w:vAlign w:val="bottom"/>
            <w:gridSpan w:val="31"/>
          </w:tcPr>
          <w:p>
            <w:pPr>
              <w:spacing w:after="0"/>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Investment and Shareholders’ Agreement among several shareholders and CureVac AG (incorporated by reference to</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97">
              <w:r>
                <w:rPr>
                  <w:rFonts w:ascii="Times New Roman" w:cs="Times New Roman" w:eastAsia="Times New Roman" w:hAnsi="Times New Roman"/>
                  <w:sz w:val="18"/>
                  <w:szCs w:val="18"/>
                  <w:color w:val="0000EE"/>
                  <w:w w:val="99"/>
                </w:rPr>
                <w:t>Exhibit 3.5 to the Company’s Form F-1 (File No. 333-240076) filed on August 10, 2020).</w:t>
              </w:r>
            </w:hyperlink>
          </w:p>
        </w:tc>
        <w:tc>
          <w:tcPr>
            <w:tcW w:w="1980" w:type="dxa"/>
            <w:vAlign w:val="bottom"/>
            <w:tcBorders>
              <w:top w:val="single" w:sz="8" w:color="0000EE"/>
            </w:tcBorders>
            <w:gridSpan w:val="3"/>
          </w:tcPr>
          <w:p>
            <w:pPr>
              <w:spacing w:after="0"/>
              <w:rPr>
                <w:sz w:val="17"/>
                <w:szCs w:val="17"/>
                <w:color w:val="auto"/>
              </w:rPr>
            </w:pPr>
          </w:p>
        </w:tc>
        <w:tc>
          <w:tcPr>
            <w:tcW w:w="6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4"/>
                <w:szCs w:val="24"/>
                <w:color w:val="auto"/>
              </w:rPr>
            </w:pPr>
          </w:p>
        </w:tc>
        <w:tc>
          <w:tcPr>
            <w:tcW w:w="88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Shareholders’ Agreement among Kreditanstalt für Wiederaufbau, dievini Hopp BioTechholding GmbH &amp; Co KG and Mr.</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Dietmar Hopp, dated June 16, 2020 (incorporated by reference to Exhibit 3.6 to the Company’s Form F-1 (File No. 333-</w:t>
              </w:r>
            </w:hyperlink>
          </w:p>
        </w:tc>
        <w:tc>
          <w:tcPr>
            <w:tcW w:w="4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240076) filed on August 10, 2020).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4"/>
                <w:szCs w:val="24"/>
                <w:color w:val="auto"/>
              </w:rPr>
            </w:pPr>
          </w:p>
        </w:tc>
        <w:tc>
          <w:tcPr>
            <w:tcW w:w="87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99">
              <w:r>
                <w:rPr>
                  <w:rFonts w:ascii="Times New Roman" w:cs="Times New Roman" w:eastAsia="Times New Roman" w:hAnsi="Times New Roman"/>
                  <w:sz w:val="18"/>
                  <w:szCs w:val="18"/>
                  <w:color w:val="0000EE"/>
                  <w:w w:val="99"/>
                </w:rPr>
                <w:t>Relationship Agreement among Kreditanstalt fur Wiederaufbau, dievini Hopp BioTechholding GmbH &amp; Co KG and Mr.</w:t>
              </w:r>
            </w:hyperlink>
          </w:p>
        </w:tc>
        <w:tc>
          <w:tcPr>
            <w:tcW w:w="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99">
              <w:r>
                <w:rPr>
                  <w:rFonts w:ascii="Times New Roman" w:cs="Times New Roman" w:eastAsia="Times New Roman" w:hAnsi="Times New Roman"/>
                  <w:sz w:val="18"/>
                  <w:szCs w:val="18"/>
                  <w:color w:val="0000EE"/>
                  <w:w w:val="99"/>
                </w:rPr>
                <w:t>Dietmar Hopp, dated July 17, 2020 (incorporated by reference to Exhibit 3.7 to the Company’s Form F-1 (File No. 333-</w:t>
              </w:r>
            </w:hyperlink>
          </w:p>
        </w:tc>
        <w:tc>
          <w:tcPr>
            <w:tcW w:w="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240076) filed on August 10, 2020).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4"/>
                <w:szCs w:val="24"/>
                <w:color w:val="auto"/>
              </w:rPr>
            </w:pPr>
          </w:p>
        </w:tc>
        <w:tc>
          <w:tcPr>
            <w:tcW w:w="89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300">
              <w:r>
                <w:rPr>
                  <w:rFonts w:ascii="Times New Roman" w:cs="Times New Roman" w:eastAsia="Times New Roman" w:hAnsi="Times New Roman"/>
                  <w:sz w:val="18"/>
                  <w:szCs w:val="18"/>
                  <w:color w:val="0000EE"/>
                  <w:w w:val="99"/>
                </w:rPr>
                <w:t>Registration Rights Agreement (incorporated by reference to Exhibit 4.5 to the Company’s Form F-3 (File No. 333-259613)</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filed on September 17, 2021).</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4"/>
                <w:szCs w:val="24"/>
                <w:color w:val="auto"/>
              </w:rPr>
            </w:pPr>
          </w:p>
        </w:tc>
        <w:tc>
          <w:tcPr>
            <w:tcW w:w="89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301">
              <w:r>
                <w:rPr>
                  <w:rFonts w:ascii="Times New Roman" w:cs="Times New Roman" w:eastAsia="Times New Roman" w:hAnsi="Times New Roman"/>
                  <w:sz w:val="18"/>
                  <w:szCs w:val="18"/>
                  <w:color w:val="0000EE"/>
                  <w:w w:val="99"/>
                </w:rPr>
                <w:t>Description of the rights of each class of securities registered under Section 12 of the Securities Exchange Act of 1934 as of</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301">
              <w:r>
                <w:rPr>
                  <w:rFonts w:ascii="Times New Roman" w:cs="Times New Roman" w:eastAsia="Times New Roman" w:hAnsi="Times New Roman"/>
                  <w:sz w:val="18"/>
                  <w:szCs w:val="18"/>
                  <w:color w:val="0000EE"/>
                  <w:w w:val="98"/>
                </w:rPr>
                <w:t>December 31, 2021.</w:t>
              </w:r>
            </w:hyperlink>
          </w:p>
        </w:tc>
        <w:tc>
          <w:tcPr>
            <w:tcW w:w="76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9100" w:type="dxa"/>
            <w:vAlign w:val="bottom"/>
            <w:gridSpan w:val="31"/>
          </w:tcPr>
          <w:p>
            <w:pPr>
              <w:spacing w:after="0"/>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Collaboration and License Agreement by and between CureVac AG and Genmab B.V., dated December 19, 2019</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302">
              <w:r>
                <w:rPr>
                  <w:rFonts w:ascii="Times New Roman" w:cs="Times New Roman" w:eastAsia="Times New Roman" w:hAnsi="Times New Roman"/>
                  <w:sz w:val="18"/>
                  <w:szCs w:val="18"/>
                  <w:color w:val="0000EE"/>
                  <w:w w:val="99"/>
                </w:rPr>
                <w:t>(incorporated by reference to Exhibit 10.1 to the Company’s Form F-1 (File No. 333-240076) filed on August 10, 2020).†</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9100" w:type="dxa"/>
            <w:vAlign w:val="bottom"/>
            <w:gridSpan w:val="31"/>
          </w:tcPr>
          <w:p>
            <w:pPr>
              <w:spacing w:after="0"/>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Development and License Agreement by and between CureVac AG and CRISPR Therapeutics AG, dated November 9, 2017</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303">
              <w:r>
                <w:rPr>
                  <w:rFonts w:ascii="Times New Roman" w:cs="Times New Roman" w:eastAsia="Times New Roman" w:hAnsi="Times New Roman"/>
                  <w:sz w:val="18"/>
                  <w:szCs w:val="18"/>
                  <w:color w:val="0000EE"/>
                  <w:w w:val="99"/>
                </w:rPr>
                <w:t>(incorporated by reference to Exhibit 10.2 to the Company’s Form F-1 (File No. 333-240076) filed on August 10, 2020).†</w:t>
              </w:r>
            </w:hyperlink>
          </w:p>
        </w:tc>
        <w:tc>
          <w:tcPr>
            <w:tcW w:w="200" w:type="dxa"/>
            <w:vAlign w:val="bottom"/>
            <w:tcBorders>
              <w:top w:val="single" w:sz="8" w:color="0000EE"/>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86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04">
              <w:r>
                <w:rPr>
                  <w:rFonts w:ascii="Times New Roman" w:cs="Times New Roman" w:eastAsia="Times New Roman" w:hAnsi="Times New Roman"/>
                  <w:sz w:val="18"/>
                  <w:szCs w:val="18"/>
                  <w:color w:val="0000EE"/>
                  <w:w w:val="99"/>
                </w:rPr>
                <w:t>Global Access Commitments Agreement, by and between Bill &amp; Melinda Gates Foundation and CureVac GmbH, dated</w:t>
              </w:r>
            </w:hyperlink>
          </w:p>
        </w:tc>
        <w:tc>
          <w:tcPr>
            <w:tcW w:w="4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February 13, 2015 (incorporated by reference to Exhibit 10.7 to the Company’s Form F-1 (File No. 333-240076) filed on</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04">
              <w:r>
                <w:rPr>
                  <w:rFonts w:ascii="Times New Roman" w:cs="Times New Roman" w:eastAsia="Times New Roman" w:hAnsi="Times New Roman"/>
                  <w:sz w:val="18"/>
                  <w:szCs w:val="18"/>
                  <w:color w:val="0000EE"/>
                  <w:w w:val="99"/>
                </w:rPr>
                <w:t>August 10, 2020).†</w:t>
              </w:r>
            </w:hyperlink>
          </w:p>
        </w:tc>
        <w:tc>
          <w:tcPr>
            <w:tcW w:w="7300" w:type="dxa"/>
            <w:vAlign w:val="bottom"/>
            <w:tcBorders>
              <w:top w:val="single" w:sz="8" w:color="0000EE"/>
            </w:tcBorders>
            <w:gridSpan w:val="15"/>
          </w:tcPr>
          <w:p>
            <w:pPr>
              <w:spacing w:after="0"/>
              <w:rPr>
                <w:sz w:val="17"/>
                <w:szCs w:val="17"/>
                <w:color w:val="auto"/>
              </w:rPr>
            </w:pPr>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88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305">
              <w:r>
                <w:rPr>
                  <w:rFonts w:ascii="Times New Roman" w:cs="Times New Roman" w:eastAsia="Times New Roman" w:hAnsi="Times New Roman"/>
                  <w:sz w:val="18"/>
                  <w:szCs w:val="18"/>
                  <w:color w:val="0000EE"/>
                  <w:w w:val="99"/>
                </w:rPr>
                <w:t>Definitive Agreement and Project Collaboration Plan for Assessment of RNA Vaccine Technology for Non-live Rotavirus</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305">
              <w:r>
                <w:rPr>
                  <w:rFonts w:ascii="Times New Roman" w:cs="Times New Roman" w:eastAsia="Times New Roman" w:hAnsi="Times New Roman"/>
                  <w:sz w:val="18"/>
                  <w:szCs w:val="18"/>
                  <w:color w:val="0000EE"/>
                  <w:w w:val="99"/>
                </w:rPr>
                <w:t>Vaccines in Pre-clinical Models by and between Bill &amp; Melinda Gates Foundation and CureVac GmbH, dated May 15, 2014</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305">
              <w:r>
                <w:rPr>
                  <w:rFonts w:ascii="Times New Roman" w:cs="Times New Roman" w:eastAsia="Times New Roman" w:hAnsi="Times New Roman"/>
                  <w:sz w:val="18"/>
                  <w:szCs w:val="18"/>
                  <w:color w:val="0000EE"/>
                  <w:w w:val="99"/>
                </w:rPr>
                <w:t>(incorporated by reference to Exhibit 10.8 to the Company’s Form F-1 (File No. 333-240076) filed on August 10, 2020).†</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8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06">
              <w:r>
                <w:rPr>
                  <w:rFonts w:ascii="Times New Roman" w:cs="Times New Roman" w:eastAsia="Times New Roman" w:hAnsi="Times New Roman"/>
                  <w:sz w:val="18"/>
                  <w:szCs w:val="18"/>
                  <w:color w:val="0000EE"/>
                  <w:w w:val="99"/>
                </w:rPr>
                <w:t>Framework Partnering Agreement between Coalition for Epidemic Preparedness Innovations and CureVac AG, dated</w:t>
              </w:r>
            </w:hyperlink>
          </w:p>
        </w:tc>
        <w:tc>
          <w:tcPr>
            <w:tcW w:w="6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February 15, 2019 (incorporated by reference to Exhibit 10.9 to the Company’s Form F-1 (File No. 333-240076) filed on</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06">
              <w:r>
                <w:rPr>
                  <w:rFonts w:ascii="Times New Roman" w:cs="Times New Roman" w:eastAsia="Times New Roman" w:hAnsi="Times New Roman"/>
                  <w:sz w:val="18"/>
                  <w:szCs w:val="18"/>
                  <w:color w:val="0000EE"/>
                  <w:w w:val="99"/>
                </w:rPr>
                <w:t>August 10, 2020).†</w:t>
              </w:r>
            </w:hyperlink>
          </w:p>
        </w:tc>
        <w:tc>
          <w:tcPr>
            <w:tcW w:w="7300" w:type="dxa"/>
            <w:vAlign w:val="bottom"/>
            <w:tcBorders>
              <w:top w:val="single" w:sz="8" w:color="0000EE"/>
            </w:tcBorders>
            <w:gridSpan w:val="15"/>
          </w:tcPr>
          <w:p>
            <w:pPr>
              <w:spacing w:after="0"/>
              <w:rPr>
                <w:sz w:val="17"/>
                <w:szCs w:val="17"/>
                <w:color w:val="auto"/>
              </w:rPr>
            </w:pPr>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9100" w:type="dxa"/>
            <w:vAlign w:val="bottom"/>
            <w:gridSpan w:val="31"/>
          </w:tcPr>
          <w:p>
            <w:pPr>
              <w:spacing w:after="0"/>
              <w:rPr>
                <w:rFonts w:ascii="Times New Roman" w:cs="Times New Roman" w:eastAsia="Times New Roman" w:hAnsi="Times New Roman"/>
                <w:sz w:val="18"/>
                <w:szCs w:val="18"/>
                <w:color w:val="0000EE"/>
              </w:rPr>
            </w:pPr>
            <w:hyperlink r:id="rId307">
              <w:r>
                <w:rPr>
                  <w:rFonts w:ascii="Times New Roman" w:cs="Times New Roman" w:eastAsia="Times New Roman" w:hAnsi="Times New Roman"/>
                  <w:sz w:val="18"/>
                  <w:szCs w:val="18"/>
                  <w:color w:val="0000EE"/>
                </w:rPr>
                <w:t>Workpackage Statement (Development of CureVac Outbreak Response To Novel Coronavirus (2019-nCoV)) between</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07">
              <w:r>
                <w:rPr>
                  <w:rFonts w:ascii="Times New Roman" w:cs="Times New Roman" w:eastAsia="Times New Roman" w:hAnsi="Times New Roman"/>
                  <w:sz w:val="18"/>
                  <w:szCs w:val="18"/>
                  <w:color w:val="0000EE"/>
                  <w:w w:val="99"/>
                </w:rPr>
                <w:t>Coalition for Epidemic Preparedness Innovations and CureVac AG, dated January 27, 2020 (incorporated by reference to</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307">
              <w:r>
                <w:rPr>
                  <w:rFonts w:ascii="Times New Roman" w:cs="Times New Roman" w:eastAsia="Times New Roman" w:hAnsi="Times New Roman"/>
                  <w:sz w:val="18"/>
                  <w:szCs w:val="18"/>
                  <w:color w:val="0000EE"/>
                </w:rPr>
                <w:t>Exhibit 10.10 to the Company’s Form F-1 (File No. 333-240076) filed on August 10, 2020).†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4"/>
                <w:szCs w:val="24"/>
                <w:color w:val="auto"/>
              </w:rPr>
            </w:pPr>
          </w:p>
        </w:tc>
        <w:tc>
          <w:tcPr>
            <w:tcW w:w="8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08">
              <w:r>
                <w:rPr>
                  <w:rFonts w:ascii="Times New Roman" w:cs="Times New Roman" w:eastAsia="Times New Roman" w:hAnsi="Times New Roman"/>
                  <w:sz w:val="18"/>
                  <w:szCs w:val="18"/>
                  <w:color w:val="0000EE"/>
                  <w:w w:val="99"/>
                </w:rPr>
                <w:t>Development and Option Agreement, between CureVac AG and Acuitas Therapeutics Inc., dated April 29, 2016</w:t>
              </w:r>
            </w:hyperlink>
          </w:p>
        </w:tc>
        <w:tc>
          <w:tcPr>
            <w:tcW w:w="9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308">
              <w:r>
                <w:rPr>
                  <w:rFonts w:ascii="Times New Roman" w:cs="Times New Roman" w:eastAsia="Times New Roman" w:hAnsi="Times New Roman"/>
                  <w:sz w:val="18"/>
                  <w:szCs w:val="18"/>
                  <w:color w:val="0000EE"/>
                  <w:w w:val="99"/>
                </w:rPr>
                <w:t>(incorporated by reference to Exhibit 10.11 to the Company’s Form F-1 (File No. 333-240076) filed on August 10, 2020).†</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4"/>
                <w:szCs w:val="24"/>
                <w:color w:val="auto"/>
              </w:rPr>
            </w:pPr>
          </w:p>
        </w:tc>
        <w:tc>
          <w:tcPr>
            <w:tcW w:w="910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309">
              <w:r>
                <w:rPr>
                  <w:rFonts w:ascii="Times New Roman" w:cs="Times New Roman" w:eastAsia="Times New Roman" w:hAnsi="Times New Roman"/>
                  <w:sz w:val="18"/>
                  <w:szCs w:val="18"/>
                  <w:color w:val="0000EE"/>
                  <w:w w:val="99"/>
                </w:rPr>
                <w:t>Side Agreement and Amendment Number One to the Development and Option Agreement, between CureVac AG and Acuitas</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309">
              <w:r>
                <w:rPr>
                  <w:rFonts w:ascii="Times New Roman" w:cs="Times New Roman" w:eastAsia="Times New Roman" w:hAnsi="Times New Roman"/>
                  <w:sz w:val="18"/>
                  <w:szCs w:val="18"/>
                  <w:color w:val="0000EE"/>
                  <w:w w:val="99"/>
                </w:rPr>
                <w:t>Therapeutics Inc., dated December 1, 2016 (incorporated by reference to Exhibit 10.12 to the Company’s Form F-1 (File No.</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309">
              <w:r>
                <w:rPr>
                  <w:rFonts w:ascii="Times New Roman" w:cs="Times New Roman" w:eastAsia="Times New Roman" w:hAnsi="Times New Roman"/>
                  <w:sz w:val="18"/>
                  <w:szCs w:val="18"/>
                  <w:color w:val="0000EE"/>
                </w:rPr>
                <w:t>333-240076) filed on August 10, 2020).†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5800" w:type="dxa"/>
            <w:vAlign w:val="bottom"/>
            <w:gridSpan w:val="1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4"/>
                <w:szCs w:val="24"/>
                <w:color w:val="auto"/>
              </w:rPr>
            </w:pPr>
          </w:p>
        </w:tc>
        <w:tc>
          <w:tcPr>
            <w:tcW w:w="87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310">
              <w:r>
                <w:rPr>
                  <w:rFonts w:ascii="Times New Roman" w:cs="Times New Roman" w:eastAsia="Times New Roman" w:hAnsi="Times New Roman"/>
                  <w:sz w:val="18"/>
                  <w:szCs w:val="18"/>
                  <w:color w:val="0000EE"/>
                  <w:w w:val="99"/>
                </w:rPr>
                <w:t>Development and Intellectual Property Agreement, between CureVac AG and Tesla Grohmann Automation GmbH, dated</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310">
              <w:r>
                <w:rPr>
                  <w:rFonts w:ascii="Times New Roman" w:cs="Times New Roman" w:eastAsia="Times New Roman" w:hAnsi="Times New Roman"/>
                  <w:sz w:val="18"/>
                  <w:szCs w:val="18"/>
                  <w:color w:val="0000EE"/>
                </w:rPr>
                <w:t>November 24, 2015 (incorporated by reference to Exhibit 10.13 to the Company’s Form F-1 (File No. 333-240076) filed on</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310">
              <w:r>
                <w:rPr>
                  <w:rFonts w:ascii="Times New Roman" w:cs="Times New Roman" w:eastAsia="Times New Roman" w:hAnsi="Times New Roman"/>
                  <w:sz w:val="18"/>
                  <w:szCs w:val="18"/>
                  <w:color w:val="0000EE"/>
                </w:rPr>
                <w:t>August 10, 2020).†</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6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3780" w:type="dxa"/>
            <w:vAlign w:val="bottom"/>
            <w:gridSpan w:val="6"/>
          </w:tcPr>
          <w:p>
            <w:pPr>
              <w:jc w:val="right"/>
              <w:ind w:right="808"/>
              <w:spacing w:after="0"/>
              <w:rPr>
                <w:sz w:val="20"/>
                <w:szCs w:val="20"/>
                <w:color w:val="auto"/>
              </w:rPr>
            </w:pPr>
            <w:r>
              <w:rPr>
                <w:rFonts w:ascii="Times New Roman" w:cs="Times New Roman" w:eastAsia="Times New Roman" w:hAnsi="Times New Roman"/>
                <w:sz w:val="18"/>
                <w:szCs w:val="18"/>
                <w:color w:val="auto"/>
              </w:rPr>
              <w:t>238</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40" w:type="dxa"/>
            <w:vAlign w:val="bottom"/>
            <w:gridSpan w:val="2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440" w:type="dxa"/>
            <w:vAlign w:val="bottom"/>
            <w:tcBorders>
              <w:bottom w:val="single" w:sz="8" w:color="auto"/>
            </w:tcBorders>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9000" w:type="dxa"/>
            <w:vAlign w:val="bottom"/>
            <w:tcBorders>
              <w:bottom w:val="single" w:sz="8" w:color="0000EE"/>
            </w:tcBorders>
            <w:gridSpan w:val="28"/>
          </w:tcPr>
          <w:p>
            <w:pPr>
              <w:spacing w:after="0" w:line="182" w:lineRule="exact"/>
              <w:rPr>
                <w:rFonts w:ascii="Times New Roman" w:cs="Times New Roman" w:eastAsia="Times New Roman" w:hAnsi="Times New Roman"/>
                <w:sz w:val="18"/>
                <w:szCs w:val="18"/>
                <w:color w:val="0000EE"/>
                <w:w w:val="99"/>
              </w:rPr>
            </w:pPr>
            <w:hyperlink r:id="rId311">
              <w:r>
                <w:rPr>
                  <w:rFonts w:ascii="Times New Roman" w:cs="Times New Roman" w:eastAsia="Times New Roman" w:hAnsi="Times New Roman"/>
                  <w:sz w:val="18"/>
                  <w:szCs w:val="18"/>
                  <w:color w:val="0000EE"/>
                  <w:w w:val="99"/>
                </w:rPr>
                <w:t>Sponsored Research Agreement, between CureVac AG and The Schepens Eye Research Institute, Inc., dated March 15, 2019</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311">
              <w:r>
                <w:rPr>
                  <w:rFonts w:ascii="Times New Roman" w:cs="Times New Roman" w:eastAsia="Times New Roman" w:hAnsi="Times New Roman"/>
                  <w:sz w:val="18"/>
                  <w:szCs w:val="18"/>
                  <w:color w:val="0000EE"/>
                  <w:w w:val="99"/>
                </w:rPr>
                <w:t>(incorporated by reference to Exhibit 10.19 to the Company’s Form F-1 (File No. 333-240076) filed on August 10, 2020).†</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24"/>
                <w:szCs w:val="24"/>
                <w:color w:val="auto"/>
              </w:rPr>
            </w:pPr>
          </w:p>
        </w:tc>
        <w:tc>
          <w:tcPr>
            <w:tcW w:w="89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312">
              <w:r>
                <w:rPr>
                  <w:rFonts w:ascii="Times New Roman" w:cs="Times New Roman" w:eastAsia="Times New Roman" w:hAnsi="Times New Roman"/>
                  <w:sz w:val="18"/>
                  <w:szCs w:val="18"/>
                  <w:color w:val="0000EE"/>
                  <w:w w:val="99"/>
                </w:rPr>
                <w:t>First Amendment to Sponsored Research Agreement, between CureVac AG and The Schepens Eye Research Institute, Inc.,</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312">
              <w:r>
                <w:rPr>
                  <w:rFonts w:ascii="Times New Roman" w:cs="Times New Roman" w:eastAsia="Times New Roman" w:hAnsi="Times New Roman"/>
                  <w:sz w:val="18"/>
                  <w:szCs w:val="18"/>
                  <w:color w:val="0000EE"/>
                  <w:w w:val="99"/>
                </w:rPr>
                <w:t>dated May 19, 2019 (incorporated by reference to Exhibit 10.20 to the Company’s Form F-1 (File No. 333-240076) filed on</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2"/>
          </w:tcPr>
          <w:p>
            <w:pPr>
              <w:spacing w:after="0" w:line="196" w:lineRule="exact"/>
              <w:rPr>
                <w:rFonts w:ascii="Times New Roman" w:cs="Times New Roman" w:eastAsia="Times New Roman" w:hAnsi="Times New Roman"/>
                <w:sz w:val="18"/>
                <w:szCs w:val="18"/>
                <w:color w:val="0000EE"/>
              </w:rPr>
            </w:pPr>
            <w:hyperlink r:id="rId312">
              <w:r>
                <w:rPr>
                  <w:rFonts w:ascii="Times New Roman" w:cs="Times New Roman" w:eastAsia="Times New Roman" w:hAnsi="Times New Roman"/>
                  <w:sz w:val="18"/>
                  <w:szCs w:val="18"/>
                  <w:color w:val="0000EE"/>
                </w:rPr>
                <w:t>August 10, 2020).†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24"/>
                <w:szCs w:val="24"/>
                <w:color w:val="auto"/>
              </w:rPr>
            </w:pPr>
          </w:p>
        </w:tc>
        <w:tc>
          <w:tcPr>
            <w:tcW w:w="89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313">
              <w:r>
                <w:rPr>
                  <w:rFonts w:ascii="Times New Roman" w:cs="Times New Roman" w:eastAsia="Times New Roman" w:hAnsi="Times New Roman"/>
                  <w:sz w:val="18"/>
                  <w:szCs w:val="18"/>
                  <w:color w:val="0000EE"/>
                  <w:w w:val="99"/>
                </w:rPr>
                <w:t>Rental contract for commercial premises, between CureVac Real Estate GmbH and Technologieparks Tübingen-Reutlingen</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2"/>
          </w:tcPr>
          <w:p>
            <w:pPr>
              <w:spacing w:after="0" w:line="196" w:lineRule="exact"/>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GmbH, dated January 31, 2018 (incorporated by reference to Exhibit 10.21 to the Company’s Form F-1 (File No. 333-</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240076) filed on August 10, 2020).</w:t>
              </w:r>
            </w:hyperlink>
          </w:p>
        </w:tc>
        <w:tc>
          <w:tcPr>
            <w:tcW w:w="5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4"/>
                <w:szCs w:val="24"/>
                <w:color w:val="auto"/>
              </w:rPr>
            </w:pPr>
          </w:p>
        </w:tc>
        <w:tc>
          <w:tcPr>
            <w:tcW w:w="8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14">
              <w:r>
                <w:rPr>
                  <w:rFonts w:ascii="Times New Roman" w:cs="Times New Roman" w:eastAsia="Times New Roman" w:hAnsi="Times New Roman"/>
                  <w:sz w:val="18"/>
                  <w:szCs w:val="18"/>
                  <w:color w:val="0000EE"/>
                  <w:w w:val="99"/>
                </w:rPr>
                <w:t>Rental Contract between CureVac Real Estate GmbH and Fränkel Immobilien-Service GmbH, dated June 6, 2018</w:t>
              </w:r>
            </w:hyperlink>
          </w:p>
        </w:tc>
        <w:tc>
          <w:tcPr>
            <w:tcW w:w="90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314">
              <w:r>
                <w:rPr>
                  <w:rFonts w:ascii="Times New Roman" w:cs="Times New Roman" w:eastAsia="Times New Roman" w:hAnsi="Times New Roman"/>
                  <w:sz w:val="18"/>
                  <w:szCs w:val="18"/>
                  <w:color w:val="0000EE"/>
                  <w:w w:val="99"/>
                </w:rPr>
                <w:t>(incorporated by reference to Exhibit 10.22 to the Company’s Form F-1 (File No. 333-240076) filed on August 10, 2020).</w:t>
              </w:r>
            </w:hyperlink>
          </w:p>
        </w:tc>
        <w:tc>
          <w:tcPr>
            <w:tcW w:w="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24"/>
                <w:szCs w:val="24"/>
                <w:color w:val="auto"/>
              </w:rPr>
            </w:pPr>
          </w:p>
        </w:tc>
        <w:tc>
          <w:tcPr>
            <w:tcW w:w="85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15">
              <w:r>
                <w:rPr>
                  <w:rFonts w:ascii="Times New Roman" w:cs="Times New Roman" w:eastAsia="Times New Roman" w:hAnsi="Times New Roman"/>
                  <w:sz w:val="18"/>
                  <w:szCs w:val="18"/>
                  <w:color w:val="0000EE"/>
                  <w:w w:val="99"/>
                </w:rPr>
                <w:t>Supplement to the rental contract, between CureVac Real Estate GmbH and Fränkel Immobilien-Service GmbH, dated</w:t>
              </w:r>
            </w:hyperlink>
          </w:p>
        </w:tc>
        <w:tc>
          <w:tcPr>
            <w:tcW w:w="5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2"/>
          </w:tcPr>
          <w:p>
            <w:pPr>
              <w:spacing w:after="0" w:line="196" w:lineRule="exact"/>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July 23, 2018 (incorporated by reference to Exhibit 10.23 to the Company’s Form F-1 (File No. 333-240076) filed on</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315">
              <w:r>
                <w:rPr>
                  <w:rFonts w:ascii="Times New Roman" w:cs="Times New Roman" w:eastAsia="Times New Roman" w:hAnsi="Times New Roman"/>
                  <w:sz w:val="18"/>
                  <w:szCs w:val="18"/>
                  <w:color w:val="0000EE"/>
                  <w:w w:val="98"/>
                </w:rPr>
                <w:t>August 10, 2020).</w:t>
              </w:r>
            </w:hyperlink>
          </w:p>
        </w:tc>
        <w:tc>
          <w:tcPr>
            <w:tcW w:w="7140" w:type="dxa"/>
            <w:vAlign w:val="bottom"/>
            <w:tcBorders>
              <w:top w:val="single" w:sz="8" w:color="0000EE"/>
            </w:tcBorders>
            <w:gridSpan w:val="9"/>
          </w:tcPr>
          <w:p>
            <w:pPr>
              <w:spacing w:after="0"/>
              <w:rPr>
                <w:sz w:val="17"/>
                <w:szCs w:val="17"/>
                <w:color w:val="auto"/>
              </w:rPr>
            </w:pPr>
          </w:p>
        </w:tc>
        <w:tc>
          <w:tcPr>
            <w:tcW w:w="6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24"/>
                <w:szCs w:val="24"/>
                <w:color w:val="auto"/>
              </w:rPr>
            </w:pPr>
          </w:p>
        </w:tc>
        <w:tc>
          <w:tcPr>
            <w:tcW w:w="86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16">
              <w:r>
                <w:rPr>
                  <w:rFonts w:ascii="Times New Roman" w:cs="Times New Roman" w:eastAsia="Times New Roman" w:hAnsi="Times New Roman"/>
                  <w:sz w:val="18"/>
                  <w:szCs w:val="18"/>
                  <w:color w:val="0000EE"/>
                  <w:w w:val="99"/>
                </w:rPr>
                <w:t>Second Supplement to the rental contract, between CureVac Real Estate GmbH and Fränkel Immobilien-Service GmbH,</w:t>
              </w:r>
            </w:hyperlink>
          </w:p>
        </w:tc>
        <w:tc>
          <w:tcPr>
            <w:tcW w:w="4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316">
              <w:r>
                <w:rPr>
                  <w:rFonts w:ascii="Times New Roman" w:cs="Times New Roman" w:eastAsia="Times New Roman" w:hAnsi="Times New Roman"/>
                  <w:sz w:val="18"/>
                  <w:szCs w:val="18"/>
                  <w:color w:val="0000EE"/>
                  <w:w w:val="99"/>
                </w:rPr>
                <w:t>dated August 20, 2018 (incorporated by reference to Exhibit 10.24 to the Company’s Form F-1 (File No. 333-240076) filed</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2"/>
          </w:tcPr>
          <w:p>
            <w:pPr>
              <w:spacing w:after="0" w:line="196" w:lineRule="exact"/>
              <w:rPr>
                <w:rFonts w:ascii="Times New Roman" w:cs="Times New Roman" w:eastAsia="Times New Roman" w:hAnsi="Times New Roman"/>
                <w:sz w:val="18"/>
                <w:szCs w:val="18"/>
                <w:color w:val="0000EE"/>
              </w:rPr>
            </w:pPr>
            <w:hyperlink r:id="rId316">
              <w:r>
                <w:rPr>
                  <w:rFonts w:ascii="Times New Roman" w:cs="Times New Roman" w:eastAsia="Times New Roman" w:hAnsi="Times New Roman"/>
                  <w:sz w:val="18"/>
                  <w:szCs w:val="18"/>
                  <w:color w:val="0000EE"/>
                </w:rPr>
                <w:t>on August 10, 2020).</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24"/>
                <w:szCs w:val="24"/>
                <w:color w:val="auto"/>
              </w:rPr>
            </w:pPr>
          </w:p>
        </w:tc>
        <w:tc>
          <w:tcPr>
            <w:tcW w:w="9100" w:type="dxa"/>
            <w:vAlign w:val="bottom"/>
            <w:gridSpan w:val="32"/>
          </w:tcPr>
          <w:p>
            <w:pPr>
              <w:spacing w:after="0"/>
              <w:rPr>
                <w:rFonts w:ascii="Times New Roman" w:cs="Times New Roman" w:eastAsia="Times New Roman" w:hAnsi="Times New Roman"/>
                <w:sz w:val="18"/>
                <w:szCs w:val="18"/>
                <w:color w:val="0000EE"/>
              </w:rPr>
            </w:pPr>
            <w:hyperlink r:id="rId317">
              <w:r>
                <w:rPr>
                  <w:rFonts w:ascii="Times New Roman" w:cs="Times New Roman" w:eastAsia="Times New Roman" w:hAnsi="Times New Roman"/>
                  <w:sz w:val="18"/>
                  <w:szCs w:val="18"/>
                  <w:color w:val="0000EE"/>
                </w:rPr>
                <w:t>Third Supplement to the rental contract, between CureVac Real Estate GmbH and HSB Vermietungs-und Verpachtungs-</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317">
              <w:r>
                <w:rPr>
                  <w:rFonts w:ascii="Times New Roman" w:cs="Times New Roman" w:eastAsia="Times New Roman" w:hAnsi="Times New Roman"/>
                  <w:sz w:val="18"/>
                  <w:szCs w:val="18"/>
                  <w:color w:val="0000EE"/>
                  <w:w w:val="99"/>
                </w:rPr>
                <w:t>GmbH &amp; Co. KG, dated November 5, 2018 (incorporated by reference to Exhibit 10.25 to the Company’s Form F-1 (File No.</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17">
              <w:r>
                <w:rPr>
                  <w:rFonts w:ascii="Times New Roman" w:cs="Times New Roman" w:eastAsia="Times New Roman" w:hAnsi="Times New Roman"/>
                  <w:sz w:val="18"/>
                  <w:szCs w:val="18"/>
                  <w:color w:val="0000EE"/>
                  <w:w w:val="99"/>
                </w:rPr>
                <w:t>333-240076) filed on August 10, 2020).</w:t>
              </w:r>
            </w:hyperlink>
          </w:p>
        </w:tc>
        <w:tc>
          <w:tcPr>
            <w:tcW w:w="62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24"/>
                <w:szCs w:val="24"/>
                <w:color w:val="auto"/>
              </w:rPr>
            </w:pPr>
          </w:p>
        </w:tc>
        <w:tc>
          <w:tcPr>
            <w:tcW w:w="9100" w:type="dxa"/>
            <w:vAlign w:val="bottom"/>
            <w:gridSpan w:val="32"/>
          </w:tcPr>
          <w:p>
            <w:pPr>
              <w:spacing w:after="0"/>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Fourth Supplement to the rental contract, between CureVac Real Estate GmbH and HSB Vermietungs-und Verpachtungs-</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318">
              <w:r>
                <w:rPr>
                  <w:rFonts w:ascii="Times New Roman" w:cs="Times New Roman" w:eastAsia="Times New Roman" w:hAnsi="Times New Roman"/>
                  <w:sz w:val="18"/>
                  <w:szCs w:val="18"/>
                  <w:color w:val="0000EE"/>
                  <w:w w:val="99"/>
                </w:rPr>
                <w:t>GmbH &amp; Co. KG, dated October 22, 2019 (incorporated by reference to Exhibit 10.26 to the Company’s Form F-1 (File No.</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18">
              <w:r>
                <w:rPr>
                  <w:rFonts w:ascii="Times New Roman" w:cs="Times New Roman" w:eastAsia="Times New Roman" w:hAnsi="Times New Roman"/>
                  <w:sz w:val="18"/>
                  <w:szCs w:val="18"/>
                  <w:color w:val="0000EE"/>
                  <w:w w:val="99"/>
                </w:rPr>
                <w:t>333-240076) filed on August 10, 2020).</w:t>
              </w:r>
            </w:hyperlink>
          </w:p>
        </w:tc>
        <w:tc>
          <w:tcPr>
            <w:tcW w:w="62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24"/>
                <w:szCs w:val="24"/>
                <w:color w:val="auto"/>
              </w:rPr>
            </w:pPr>
          </w:p>
        </w:tc>
        <w:tc>
          <w:tcPr>
            <w:tcW w:w="88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319">
              <w:r>
                <w:rPr>
                  <w:rFonts w:ascii="Times New Roman" w:cs="Times New Roman" w:eastAsia="Times New Roman" w:hAnsi="Times New Roman"/>
                  <w:sz w:val="18"/>
                  <w:szCs w:val="18"/>
                  <w:color w:val="0000EE"/>
                  <w:w w:val="99"/>
                </w:rPr>
                <w:t>Form of indemnification agreement between CureVac N.V. and members of the Supervisory Board or Management Board</w:t>
              </w:r>
            </w:hyperlink>
          </w:p>
        </w:tc>
        <w:tc>
          <w:tcPr>
            <w:tcW w:w="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319">
              <w:r>
                <w:rPr>
                  <w:rFonts w:ascii="Times New Roman" w:cs="Times New Roman" w:eastAsia="Times New Roman" w:hAnsi="Times New Roman"/>
                  <w:sz w:val="18"/>
                  <w:szCs w:val="18"/>
                  <w:color w:val="0000EE"/>
                  <w:w w:val="99"/>
                </w:rPr>
                <w:t>(incorporated by reference to Exhibit 10.27 to the Company’s Form F-1 (File No. 333-240076) filed on August 10, 2020).</w:t>
              </w:r>
            </w:hyperlink>
          </w:p>
        </w:tc>
        <w:tc>
          <w:tcPr>
            <w:tcW w:w="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24"/>
                <w:szCs w:val="24"/>
                <w:color w:val="auto"/>
              </w:rPr>
            </w:pPr>
          </w:p>
        </w:tc>
        <w:tc>
          <w:tcPr>
            <w:tcW w:w="88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320">
              <w:r>
                <w:rPr>
                  <w:rFonts w:ascii="Times New Roman" w:cs="Times New Roman" w:eastAsia="Times New Roman" w:hAnsi="Times New Roman"/>
                  <w:sz w:val="18"/>
                  <w:szCs w:val="18"/>
                  <w:color w:val="0000EE"/>
                  <w:w w:val="99"/>
                </w:rPr>
                <w:t>CureVac N.V. Long-Term Incentive Plan (incorporated by reference to Exhibit 10.28 to the Company’s Form F-1 (File No.</w:t>
              </w:r>
            </w:hyperlink>
          </w:p>
        </w:tc>
        <w:tc>
          <w:tcPr>
            <w:tcW w:w="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20">
              <w:r>
                <w:rPr>
                  <w:rFonts w:ascii="Times New Roman" w:cs="Times New Roman" w:eastAsia="Times New Roman" w:hAnsi="Times New Roman"/>
                  <w:sz w:val="18"/>
                  <w:szCs w:val="18"/>
                  <w:color w:val="0000EE"/>
                  <w:w w:val="99"/>
                </w:rPr>
                <w:t>333-240076) filed on August 10, 2020).</w:t>
              </w:r>
            </w:hyperlink>
          </w:p>
        </w:tc>
        <w:tc>
          <w:tcPr>
            <w:tcW w:w="62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24"/>
                <w:szCs w:val="24"/>
                <w:color w:val="auto"/>
              </w:rPr>
            </w:pPr>
          </w:p>
        </w:tc>
        <w:tc>
          <w:tcPr>
            <w:tcW w:w="88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321">
              <w:r>
                <w:rPr>
                  <w:rFonts w:ascii="Times New Roman" w:cs="Times New Roman" w:eastAsia="Times New Roman" w:hAnsi="Times New Roman"/>
                  <w:sz w:val="18"/>
                  <w:szCs w:val="18"/>
                  <w:color w:val="0000EE"/>
                  <w:w w:val="99"/>
                </w:rPr>
                <w:t>CureVac Virtual Share Plan (incorporated by reference to Exhibit 10.29 to the Company’s Form F-1 (File No. 333-240076)</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321">
              <w:r>
                <w:rPr>
                  <w:rFonts w:ascii="Times New Roman" w:cs="Times New Roman" w:eastAsia="Times New Roman" w:hAnsi="Times New Roman"/>
                  <w:sz w:val="18"/>
                  <w:szCs w:val="18"/>
                  <w:color w:val="0000EE"/>
                  <w:w w:val="98"/>
                </w:rPr>
                <w:t>filed on August 10, 2020).</w:t>
              </w:r>
            </w:hyperlink>
          </w:p>
        </w:tc>
        <w:tc>
          <w:tcPr>
            <w:tcW w:w="72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24"/>
                <w:szCs w:val="24"/>
                <w:color w:val="auto"/>
              </w:rPr>
            </w:pPr>
          </w:p>
        </w:tc>
        <w:tc>
          <w:tcPr>
            <w:tcW w:w="9100" w:type="dxa"/>
            <w:vAlign w:val="bottom"/>
            <w:gridSpan w:val="32"/>
          </w:tcPr>
          <w:p>
            <w:pPr>
              <w:spacing w:after="0"/>
              <w:rPr>
                <w:rFonts w:ascii="Times New Roman" w:cs="Times New Roman" w:eastAsia="Times New Roman" w:hAnsi="Times New Roman"/>
                <w:sz w:val="18"/>
                <w:szCs w:val="18"/>
                <w:color w:val="0000EE"/>
              </w:rPr>
            </w:pPr>
            <w:hyperlink r:id="rId322">
              <w:r>
                <w:rPr>
                  <w:rFonts w:ascii="Times New Roman" w:cs="Times New Roman" w:eastAsia="Times New Roman" w:hAnsi="Times New Roman"/>
                  <w:sz w:val="18"/>
                  <w:szCs w:val="18"/>
                  <w:color w:val="0000EE"/>
                </w:rPr>
                <w:t>First Amendment to Collaboration and License Agreement by and between CureVac AG and Genmab B.V., dated July 2,</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22">
              <w:r>
                <w:rPr>
                  <w:rFonts w:ascii="Times New Roman" w:cs="Times New Roman" w:eastAsia="Times New Roman" w:hAnsi="Times New Roman"/>
                  <w:sz w:val="18"/>
                  <w:szCs w:val="18"/>
                  <w:color w:val="0000EE"/>
                  <w:w w:val="99"/>
                </w:rPr>
                <w:t>2020 (incorporated by reference to Exhibit 10.32 to the Company’s Form F-1 (File No. 333-240076) filed on August 10,</w:t>
              </w:r>
            </w:hyperlink>
          </w:p>
        </w:tc>
        <w:tc>
          <w:tcPr>
            <w:tcW w:w="3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322">
              <w:r>
                <w:rPr>
                  <w:rFonts w:ascii="Times New Roman" w:cs="Times New Roman" w:eastAsia="Times New Roman" w:hAnsi="Times New Roman"/>
                  <w:sz w:val="18"/>
                  <w:szCs w:val="18"/>
                  <w:color w:val="0000EE"/>
                  <w:w w:val="97"/>
                </w:rPr>
                <w:t>2020).†</w:t>
              </w:r>
            </w:hyperlink>
          </w:p>
        </w:tc>
        <w:tc>
          <w:tcPr>
            <w:tcW w:w="8100" w:type="dxa"/>
            <w:vAlign w:val="bottom"/>
            <w:tcBorders>
              <w:top w:val="single" w:sz="8" w:color="0000EE"/>
            </w:tcBorders>
            <w:gridSpan w:val="14"/>
          </w:tcPr>
          <w:p>
            <w:pPr>
              <w:spacing w:after="0"/>
              <w:rPr>
                <w:sz w:val="17"/>
                <w:szCs w:val="17"/>
                <w:color w:val="auto"/>
              </w:rPr>
            </w:pPr>
          </w:p>
        </w:tc>
        <w:tc>
          <w:tcPr>
            <w:tcW w:w="4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24"/>
                <w:szCs w:val="24"/>
                <w:color w:val="auto"/>
              </w:rPr>
            </w:pPr>
          </w:p>
        </w:tc>
        <w:tc>
          <w:tcPr>
            <w:tcW w:w="9100" w:type="dxa"/>
            <w:vAlign w:val="bottom"/>
            <w:gridSpan w:val="32"/>
          </w:tcPr>
          <w:p>
            <w:pPr>
              <w:spacing w:after="0"/>
              <w:rPr>
                <w:rFonts w:ascii="Times New Roman" w:cs="Times New Roman" w:eastAsia="Times New Roman" w:hAnsi="Times New Roman"/>
                <w:sz w:val="18"/>
                <w:szCs w:val="18"/>
                <w:color w:val="0000EE"/>
              </w:rPr>
            </w:pPr>
            <w:hyperlink r:id="rId323">
              <w:r>
                <w:rPr>
                  <w:rFonts w:ascii="Times New Roman" w:cs="Times New Roman" w:eastAsia="Times New Roman" w:hAnsi="Times New Roman"/>
                  <w:sz w:val="18"/>
                  <w:szCs w:val="18"/>
                  <w:color w:val="0000EE"/>
                </w:rPr>
                <w:t>Collaboration and License Agreement by and between Curevac AG and Glaxosmithkline Biological SA, dated July 15, 2020</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8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323">
              <w:r>
                <w:rPr>
                  <w:rFonts w:ascii="Times New Roman" w:cs="Times New Roman" w:eastAsia="Times New Roman" w:hAnsi="Times New Roman"/>
                  <w:sz w:val="18"/>
                  <w:szCs w:val="18"/>
                  <w:color w:val="0000EE"/>
                </w:rPr>
                <w:t>(incorporated by reference to Exhibit 10.33 to the Company’s Form F-1 (File No. 333-240076) filed on August 10, 2020).†</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24"/>
                <w:szCs w:val="24"/>
                <w:color w:val="auto"/>
              </w:rPr>
            </w:pPr>
          </w:p>
        </w:tc>
        <w:tc>
          <w:tcPr>
            <w:tcW w:w="8860" w:type="dxa"/>
            <w:vAlign w:val="bottom"/>
            <w:tcBorders>
              <w:top w:val="single" w:sz="8" w:color="0000EE"/>
            </w:tcBorders>
            <w:gridSpan w:val="23"/>
          </w:tcPr>
          <w:p>
            <w:pPr>
              <w:spacing w:after="0"/>
              <w:rPr>
                <w:rFonts w:ascii="Times New Roman" w:cs="Times New Roman" w:eastAsia="Times New Roman" w:hAnsi="Times New Roman"/>
                <w:sz w:val="18"/>
                <w:szCs w:val="18"/>
                <w:color w:val="0000EE"/>
              </w:rPr>
            </w:pPr>
            <w:hyperlink r:id="rId324">
              <w:r>
                <w:rPr>
                  <w:rFonts w:ascii="Times New Roman" w:cs="Times New Roman" w:eastAsia="Times New Roman" w:hAnsi="Times New Roman"/>
                  <w:sz w:val="18"/>
                  <w:szCs w:val="18"/>
                  <w:color w:val="0000EE"/>
                </w:rPr>
                <w:t>Amendment Two to the Development and Option Agreement, between CureVac AG and Acuitas Therapeutics Inc., dated</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24">
              <w:r>
                <w:rPr>
                  <w:rFonts w:ascii="Times New Roman" w:cs="Times New Roman" w:eastAsia="Times New Roman" w:hAnsi="Times New Roman"/>
                  <w:sz w:val="18"/>
                  <w:szCs w:val="18"/>
                  <w:color w:val="0000EE"/>
                </w:rPr>
                <w:t>July 10, 2020 (incorporated by reference to Exhibit 10.34 to the Company’s Form F-1 (File No. 333-240076) filed on</w:t>
              </w:r>
            </w:hyperlink>
          </w:p>
        </w:tc>
        <w:tc>
          <w:tcPr>
            <w:tcW w:w="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24">
              <w:r>
                <w:rPr>
                  <w:rFonts w:ascii="Times New Roman" w:cs="Times New Roman" w:eastAsia="Times New Roman" w:hAnsi="Times New Roman"/>
                  <w:sz w:val="18"/>
                  <w:szCs w:val="18"/>
                  <w:color w:val="0000EE"/>
                </w:rPr>
                <w:t>August 10, 2020).†</w:t>
              </w:r>
            </w:hyperlink>
          </w:p>
        </w:tc>
        <w:tc>
          <w:tcPr>
            <w:tcW w:w="6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40" w:type="dxa"/>
            <w:vAlign w:val="bottom"/>
            <w:gridSpan w:val="1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Pr>
          <w:p>
            <w:pPr>
              <w:spacing w:after="0"/>
              <w:rPr>
                <w:sz w:val="24"/>
                <w:szCs w:val="24"/>
                <w:color w:val="auto"/>
              </w:rPr>
            </w:pPr>
          </w:p>
        </w:tc>
        <w:tc>
          <w:tcPr>
            <w:tcW w:w="9100" w:type="dxa"/>
            <w:vAlign w:val="bottom"/>
            <w:gridSpan w:val="32"/>
          </w:tcPr>
          <w:p>
            <w:pPr>
              <w:spacing w:after="0"/>
              <w:rPr>
                <w:rFonts w:ascii="Times New Roman" w:cs="Times New Roman" w:eastAsia="Times New Roman" w:hAnsi="Times New Roman"/>
                <w:sz w:val="18"/>
                <w:szCs w:val="18"/>
                <w:color w:val="0000EE"/>
              </w:rPr>
            </w:pPr>
            <w:hyperlink r:id="rId325">
              <w:r>
                <w:rPr>
                  <w:rFonts w:ascii="Times New Roman" w:cs="Times New Roman" w:eastAsia="Times New Roman" w:hAnsi="Times New Roman"/>
                  <w:sz w:val="18"/>
                  <w:szCs w:val="18"/>
                  <w:color w:val="0000EE"/>
                </w:rPr>
                <w:t>Letter Agreement regarding the alignment between the Global Access Commitments Agreement, between CureVac AG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25">
              <w:r>
                <w:rPr>
                  <w:rFonts w:ascii="Times New Roman" w:cs="Times New Roman" w:eastAsia="Times New Roman" w:hAnsi="Times New Roman"/>
                  <w:sz w:val="18"/>
                  <w:szCs w:val="18"/>
                  <w:color w:val="0000EE"/>
                  <w:w w:val="99"/>
                </w:rPr>
                <w:t>the Bill &amp; Melinda Gates Foundation and the Collaboration and License Agreement between CureVac AG and</w:t>
              </w:r>
            </w:hyperlink>
          </w:p>
        </w:tc>
        <w:tc>
          <w:tcPr>
            <w:tcW w:w="940" w:type="dxa"/>
            <w:vAlign w:val="bottom"/>
            <w:tcBorders>
              <w:top w:val="single" w:sz="8" w:color="0000EE"/>
            </w:tcBorders>
            <w:gridSpan w:val="15"/>
          </w:tcPr>
          <w:p>
            <w:pPr>
              <w:spacing w:after="0"/>
              <w:rPr>
                <w:sz w:val="17"/>
                <w:szCs w:val="17"/>
                <w:color w:val="auto"/>
              </w:rPr>
            </w:pP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2"/>
          </w:tcPr>
          <w:p>
            <w:pPr>
              <w:spacing w:after="0" w:line="196" w:lineRule="exact"/>
              <w:rPr>
                <w:rFonts w:ascii="Times New Roman" w:cs="Times New Roman" w:eastAsia="Times New Roman" w:hAnsi="Times New Roman"/>
                <w:sz w:val="18"/>
                <w:szCs w:val="18"/>
                <w:color w:val="0000EE"/>
              </w:rPr>
            </w:pPr>
            <w:hyperlink r:id="rId325">
              <w:r>
                <w:rPr>
                  <w:rFonts w:ascii="Times New Roman" w:cs="Times New Roman" w:eastAsia="Times New Roman" w:hAnsi="Times New Roman"/>
                  <w:sz w:val="18"/>
                  <w:szCs w:val="18"/>
                  <w:color w:val="0000EE"/>
                </w:rPr>
                <w:t>Glaxosmithkline Biologicals SA, dated July 15, 2020 (incorporated by reference to Exhibit 10.38 to the Company’s Form F-1</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4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325">
              <w:r>
                <w:rPr>
                  <w:rFonts w:ascii="Times New Roman" w:cs="Times New Roman" w:eastAsia="Times New Roman" w:hAnsi="Times New Roman"/>
                  <w:sz w:val="18"/>
                  <w:szCs w:val="18"/>
                  <w:color w:val="0000EE"/>
                </w:rPr>
                <w:t>(File No. 333-240076) filed on August 10, 2020).†</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6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3640" w:type="dxa"/>
            <w:vAlign w:val="bottom"/>
            <w:tcBorders>
              <w:top w:val="single" w:sz="8" w:color="0000EE"/>
            </w:tcBorders>
            <w:gridSpan w:val="8"/>
          </w:tcPr>
          <w:p>
            <w:pPr>
              <w:spacing w:after="0"/>
              <w:rPr>
                <w:sz w:val="24"/>
                <w:szCs w:val="24"/>
                <w:color w:val="auto"/>
              </w:rPr>
            </w:pPr>
          </w:p>
        </w:tc>
        <w:tc>
          <w:tcPr>
            <w:tcW w:w="4300" w:type="dxa"/>
            <w:vAlign w:val="bottom"/>
          </w:tcPr>
          <w:p>
            <w:pPr>
              <w:jc w:val="right"/>
              <w:ind w:right="3599"/>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40" w:type="dxa"/>
            <w:vAlign w:val="bottom"/>
            <w:gridSpan w:val="21"/>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440" w:type="dxa"/>
            <w:vAlign w:val="bottom"/>
            <w:tcBorders>
              <w:bottom w:val="single" w:sz="8" w:color="auto"/>
            </w:tcBorders>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940" w:type="dxa"/>
            <w:vAlign w:val="bottom"/>
            <w:tcBorders>
              <w:bottom w:val="single" w:sz="8" w:color="0000EE"/>
            </w:tcBorders>
            <w:gridSpan w:val="24"/>
          </w:tcPr>
          <w:p>
            <w:pPr>
              <w:spacing w:after="0" w:line="182" w:lineRule="exact"/>
              <w:rPr>
                <w:rFonts w:ascii="Times New Roman" w:cs="Times New Roman" w:eastAsia="Times New Roman" w:hAnsi="Times New Roman"/>
                <w:sz w:val="18"/>
                <w:szCs w:val="18"/>
                <w:color w:val="0000EE"/>
                <w:w w:val="99"/>
              </w:rPr>
            </w:pPr>
            <w:hyperlink r:id="rId326">
              <w:r>
                <w:rPr>
                  <w:rFonts w:ascii="Times New Roman" w:cs="Times New Roman" w:eastAsia="Times New Roman" w:hAnsi="Times New Roman"/>
                  <w:sz w:val="18"/>
                  <w:szCs w:val="18"/>
                  <w:color w:val="0000EE"/>
                  <w:w w:val="99"/>
                </w:rPr>
                <w:t>First Amendment and Joinder to Global Access Commitments Agreement, between CureVac AG, CureVac B.V. and the Bill</w:t>
              </w:r>
            </w:hyperlink>
          </w:p>
        </w:tc>
        <w:tc>
          <w:tcPr>
            <w:tcW w:w="1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326">
              <w:r>
                <w:rPr>
                  <w:rFonts w:ascii="Times New Roman" w:cs="Times New Roman" w:eastAsia="Times New Roman" w:hAnsi="Times New Roman"/>
                  <w:sz w:val="18"/>
                  <w:szCs w:val="18"/>
                  <w:color w:val="0000EE"/>
                </w:rPr>
                <w:t>&amp; Melinda Gates Foundation, dated July 15, 2020 (incorporated by reference to Exhibit 10.39 to the Company’s Form F-1</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26">
              <w:r>
                <w:rPr>
                  <w:rFonts w:ascii="Times New Roman" w:cs="Times New Roman" w:eastAsia="Times New Roman" w:hAnsi="Times New Roman"/>
                  <w:sz w:val="18"/>
                  <w:szCs w:val="18"/>
                  <w:color w:val="0000EE"/>
                  <w:w w:val="99"/>
                </w:rPr>
                <w:t>(File No. 333-240076) filed on August 10, 2020).†</w:t>
              </w:r>
            </w:hyperlink>
          </w:p>
        </w:tc>
        <w:tc>
          <w:tcPr>
            <w:tcW w:w="5140" w:type="dxa"/>
            <w:vAlign w:val="bottom"/>
            <w:tcBorders>
              <w:top w:val="single" w:sz="8" w:color="0000EE"/>
            </w:tcBorders>
            <w:gridSpan w:val="8"/>
          </w:tcPr>
          <w:p>
            <w:pPr>
              <w:spacing w:after="0"/>
              <w:rPr>
                <w:sz w:val="17"/>
                <w:szCs w:val="17"/>
                <w:color w:val="auto"/>
              </w:rPr>
            </w:pPr>
          </w:p>
        </w:tc>
        <w:tc>
          <w:tcPr>
            <w:tcW w:w="3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Pr>
          <w:p>
            <w:pPr>
              <w:spacing w:after="0"/>
              <w:rPr>
                <w:sz w:val="24"/>
                <w:szCs w:val="24"/>
                <w:color w:val="auto"/>
              </w:rPr>
            </w:pPr>
          </w:p>
        </w:tc>
        <w:tc>
          <w:tcPr>
            <w:tcW w:w="90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327">
              <w:r>
                <w:rPr>
                  <w:rFonts w:ascii="Times New Roman" w:cs="Times New Roman" w:eastAsia="Times New Roman" w:hAnsi="Times New Roman"/>
                  <w:sz w:val="18"/>
                  <w:szCs w:val="18"/>
                  <w:color w:val="0000EE"/>
                  <w:w w:val="99"/>
                </w:rPr>
                <w:t>Second Amendment to Global Access Commitments Agreement, between the Bill &amp; Melinda Gates Foundation and CureVac</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327">
              <w:r>
                <w:rPr>
                  <w:rFonts w:ascii="Times New Roman" w:cs="Times New Roman" w:eastAsia="Times New Roman" w:hAnsi="Times New Roman"/>
                  <w:sz w:val="18"/>
                  <w:szCs w:val="18"/>
                  <w:color w:val="0000EE"/>
                  <w:w w:val="99"/>
                </w:rPr>
                <w:t>AG, dated July 15, 2020 (incorporated by reference to Exhibit 10.40 to the Company’s Form F-1 (File No. 333-240076) filed</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27">
              <w:r>
                <w:rPr>
                  <w:rFonts w:ascii="Times New Roman" w:cs="Times New Roman" w:eastAsia="Times New Roman" w:hAnsi="Times New Roman"/>
                  <w:sz w:val="18"/>
                  <w:szCs w:val="18"/>
                  <w:color w:val="0000EE"/>
                  <w:w w:val="99"/>
                </w:rPr>
                <w:t>on August 10, 2020).†</w:t>
              </w:r>
            </w:hyperlink>
          </w:p>
        </w:tc>
        <w:tc>
          <w:tcPr>
            <w:tcW w:w="74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24"/>
                <w:szCs w:val="24"/>
                <w:color w:val="auto"/>
              </w:rPr>
            </w:pPr>
          </w:p>
        </w:tc>
        <w:tc>
          <w:tcPr>
            <w:tcW w:w="89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328">
              <w:r>
                <w:rPr>
                  <w:rFonts w:ascii="Times New Roman" w:cs="Times New Roman" w:eastAsia="Times New Roman" w:hAnsi="Times New Roman"/>
                  <w:sz w:val="18"/>
                  <w:szCs w:val="18"/>
                  <w:color w:val="0000EE"/>
                  <w:w w:val="99"/>
                </w:rPr>
                <w:t>Form of Long Term Incentive Plan of CureVac N.V. (incorporated by reference to Exhibit 10.41 to the Company’s Form F-1</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28">
              <w:r>
                <w:rPr>
                  <w:rFonts w:ascii="Times New Roman" w:cs="Times New Roman" w:eastAsia="Times New Roman" w:hAnsi="Times New Roman"/>
                  <w:sz w:val="18"/>
                  <w:szCs w:val="18"/>
                  <w:color w:val="0000EE"/>
                  <w:w w:val="99"/>
                </w:rPr>
                <w:t>(File No. 333-240076) filed on August 10, 2020).†</w:t>
              </w:r>
            </w:hyperlink>
          </w:p>
        </w:tc>
        <w:tc>
          <w:tcPr>
            <w:tcW w:w="54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24"/>
                <w:szCs w:val="24"/>
                <w:color w:val="auto"/>
              </w:rPr>
            </w:pPr>
          </w:p>
        </w:tc>
        <w:tc>
          <w:tcPr>
            <w:tcW w:w="88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329">
              <w:r>
                <w:rPr>
                  <w:rFonts w:ascii="Times New Roman" w:cs="Times New Roman" w:eastAsia="Times New Roman" w:hAnsi="Times New Roman"/>
                  <w:sz w:val="18"/>
                  <w:szCs w:val="18"/>
                  <w:color w:val="0000EE"/>
                  <w:w w:val="99"/>
                </w:rPr>
                <w:t>1st Amendment to the Development and License Agreement, effective as of November 9, 2017, between CureVac AG and</w:t>
              </w:r>
            </w:hyperlink>
          </w:p>
        </w:tc>
        <w:tc>
          <w:tcPr>
            <w:tcW w:w="2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329">
              <w:r>
                <w:rPr>
                  <w:rFonts w:ascii="Times New Roman" w:cs="Times New Roman" w:eastAsia="Times New Roman" w:hAnsi="Times New Roman"/>
                  <w:sz w:val="18"/>
                  <w:szCs w:val="18"/>
                  <w:color w:val="0000EE"/>
                  <w:w w:val="99"/>
                </w:rPr>
                <w:t>CRISPR Therapeutics, AG (incorporated by reference to Exhibit 10.42 to the Company’s Form F-1 (File No. 333-252391)</w:t>
              </w:r>
            </w:hyperlink>
          </w:p>
        </w:tc>
        <w:tc>
          <w:tcPr>
            <w:tcW w:w="2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329">
              <w:r>
                <w:rPr>
                  <w:rFonts w:ascii="Times New Roman" w:cs="Times New Roman" w:eastAsia="Times New Roman" w:hAnsi="Times New Roman"/>
                  <w:sz w:val="18"/>
                  <w:szCs w:val="18"/>
                  <w:color w:val="0000EE"/>
                </w:rPr>
                <w:t>filed on January 25, 2021).†</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24"/>
                <w:szCs w:val="24"/>
                <w:color w:val="auto"/>
              </w:rPr>
            </w:pPr>
          </w:p>
        </w:tc>
        <w:tc>
          <w:tcPr>
            <w:tcW w:w="9100" w:type="dxa"/>
            <w:vAlign w:val="bottom"/>
            <w:gridSpan w:val="31"/>
          </w:tcPr>
          <w:p>
            <w:pPr>
              <w:spacing w:after="0"/>
              <w:rPr>
                <w:rFonts w:ascii="Times New Roman" w:cs="Times New Roman" w:eastAsia="Times New Roman" w:hAnsi="Times New Roman"/>
                <w:sz w:val="18"/>
                <w:szCs w:val="18"/>
                <w:color w:val="0000EE"/>
              </w:rPr>
            </w:pPr>
            <w:hyperlink r:id="rId330">
              <w:r>
                <w:rPr>
                  <w:rFonts w:ascii="Times New Roman" w:cs="Times New Roman" w:eastAsia="Times New Roman" w:hAnsi="Times New Roman"/>
                  <w:sz w:val="18"/>
                  <w:szCs w:val="18"/>
                  <w:color w:val="0000EE"/>
                </w:rPr>
                <w:t>Amendment 4 to Definitive Agreement 1 between the Bill &amp; Melinda Gates Foundation and CureVac AG, effective</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30">
              <w:r>
                <w:rPr>
                  <w:rFonts w:ascii="Times New Roman" w:cs="Times New Roman" w:eastAsia="Times New Roman" w:hAnsi="Times New Roman"/>
                  <w:sz w:val="18"/>
                  <w:szCs w:val="18"/>
                  <w:color w:val="0000EE"/>
                  <w:w w:val="99"/>
                </w:rPr>
                <w:t>November 3, 2020 (incorporated by reference to Exhibit 10.43 to the Company’s Form F-1 (File No. 333-252391) filed on</w:t>
              </w:r>
            </w:hyperlink>
          </w:p>
        </w:tc>
        <w:tc>
          <w:tcPr>
            <w:tcW w:w="2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330">
              <w:r>
                <w:rPr>
                  <w:rFonts w:ascii="Times New Roman" w:cs="Times New Roman" w:eastAsia="Times New Roman" w:hAnsi="Times New Roman"/>
                  <w:sz w:val="18"/>
                  <w:szCs w:val="18"/>
                  <w:color w:val="0000EE"/>
                </w:rPr>
                <w:t>January 25, 2021).†</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24"/>
                <w:szCs w:val="24"/>
                <w:color w:val="auto"/>
              </w:rPr>
            </w:pPr>
          </w:p>
        </w:tc>
        <w:tc>
          <w:tcPr>
            <w:tcW w:w="89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331">
              <w:r>
                <w:rPr>
                  <w:rFonts w:ascii="Times New Roman" w:cs="Times New Roman" w:eastAsia="Times New Roman" w:hAnsi="Times New Roman"/>
                  <w:sz w:val="18"/>
                  <w:szCs w:val="18"/>
                  <w:color w:val="0000EE"/>
                  <w:w w:val="99"/>
                </w:rPr>
                <w:t>Addendum to Investment and Shareholders’ Agreement among several shareholders and CureVac N.V., dated June 16, 2020</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331">
              <w:r>
                <w:rPr>
                  <w:rFonts w:ascii="Times New Roman" w:cs="Times New Roman" w:eastAsia="Times New Roman" w:hAnsi="Times New Roman"/>
                  <w:sz w:val="18"/>
                  <w:szCs w:val="18"/>
                  <w:color w:val="0000EE"/>
                </w:rPr>
                <w:t>(incorporated by reference to Exhibit 10.44 to the Company’s Form F-1 (File No. 333-252391) filed on January 25, 2021).†</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24"/>
                <w:szCs w:val="24"/>
                <w:color w:val="auto"/>
              </w:rPr>
            </w:pPr>
          </w:p>
        </w:tc>
        <w:tc>
          <w:tcPr>
            <w:tcW w:w="9100" w:type="dxa"/>
            <w:vAlign w:val="bottom"/>
            <w:gridSpan w:val="31"/>
          </w:tcPr>
          <w:p>
            <w:pPr>
              <w:spacing w:after="0"/>
              <w:rPr>
                <w:rFonts w:ascii="Times New Roman" w:cs="Times New Roman" w:eastAsia="Times New Roman" w:hAnsi="Times New Roman"/>
                <w:sz w:val="18"/>
                <w:szCs w:val="18"/>
                <w:color w:val="0000EE"/>
              </w:rPr>
            </w:pPr>
            <w:hyperlink r:id="rId332">
              <w:r>
                <w:rPr>
                  <w:rFonts w:ascii="Times New Roman" w:cs="Times New Roman" w:eastAsia="Times New Roman" w:hAnsi="Times New Roman"/>
                  <w:sz w:val="18"/>
                  <w:szCs w:val="18"/>
                  <w:color w:val="0000EE"/>
                </w:rPr>
                <w:t>Second Amendment to Collaboration and License Agreement between Genmab B.V. and CureVac AG, dated December 19,</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332">
              <w:r>
                <w:rPr>
                  <w:rFonts w:ascii="Times New Roman" w:cs="Times New Roman" w:eastAsia="Times New Roman" w:hAnsi="Times New Roman"/>
                  <w:sz w:val="18"/>
                  <w:szCs w:val="18"/>
                  <w:color w:val="0000EE"/>
                </w:rPr>
                <w:t>2019 (incorporated by reference to Exhibit 10.46 to the Company’s Form F-1 (File No. 333-252391) filed on January 25,</w:t>
              </w:r>
            </w:hyperlink>
          </w:p>
        </w:tc>
        <w:tc>
          <w:tcPr>
            <w:tcW w:w="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332">
              <w:r>
                <w:rPr>
                  <w:rFonts w:ascii="Times New Roman" w:cs="Times New Roman" w:eastAsia="Times New Roman" w:hAnsi="Times New Roman"/>
                  <w:sz w:val="18"/>
                  <w:szCs w:val="18"/>
                  <w:color w:val="0000EE"/>
                  <w:w w:val="97"/>
                </w:rPr>
                <w:t>2021).†</w:t>
              </w:r>
            </w:hyperlink>
          </w:p>
        </w:tc>
        <w:tc>
          <w:tcPr>
            <w:tcW w:w="8140" w:type="dxa"/>
            <w:vAlign w:val="bottom"/>
            <w:tcBorders>
              <w:top w:val="single" w:sz="8" w:color="0000EE"/>
            </w:tcBorders>
            <w:gridSpan w:val="15"/>
          </w:tcPr>
          <w:p>
            <w:pPr>
              <w:spacing w:after="0"/>
              <w:rPr>
                <w:sz w:val="17"/>
                <w:szCs w:val="17"/>
                <w:color w:val="auto"/>
              </w:rPr>
            </w:pPr>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Pr>
          <w:p>
            <w:pPr>
              <w:spacing w:after="0"/>
              <w:rPr>
                <w:sz w:val="24"/>
                <w:szCs w:val="24"/>
                <w:color w:val="auto"/>
              </w:rPr>
            </w:pPr>
          </w:p>
        </w:tc>
        <w:tc>
          <w:tcPr>
            <w:tcW w:w="85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33">
              <w:r>
                <w:rPr>
                  <w:rFonts w:ascii="Times New Roman" w:cs="Times New Roman" w:eastAsia="Times New Roman" w:hAnsi="Times New Roman"/>
                  <w:sz w:val="18"/>
                  <w:szCs w:val="18"/>
                  <w:color w:val="0000EE"/>
                  <w:w w:val="99"/>
                </w:rPr>
                <w:t>Amendment Three to Development and Option Agreement between Acuitas Therapeutics Inc. and CureVac AG, dated</w:t>
              </w:r>
            </w:hyperlink>
          </w:p>
        </w:tc>
        <w:tc>
          <w:tcPr>
            <w:tcW w:w="5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333">
              <w:r>
                <w:rPr>
                  <w:rFonts w:ascii="Times New Roman" w:cs="Times New Roman" w:eastAsia="Times New Roman" w:hAnsi="Times New Roman"/>
                  <w:sz w:val="18"/>
                  <w:szCs w:val="18"/>
                  <w:color w:val="0000EE"/>
                </w:rPr>
                <w:t>December 24, 2020 (incorporated by reference to Exhibit 10.47 to the Company’s Form F-1 (File No. 333-252391) filed on</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333">
              <w:r>
                <w:rPr>
                  <w:rFonts w:ascii="Times New Roman" w:cs="Times New Roman" w:eastAsia="Times New Roman" w:hAnsi="Times New Roman"/>
                  <w:sz w:val="18"/>
                  <w:szCs w:val="18"/>
                  <w:color w:val="0000EE"/>
                </w:rPr>
                <w:t>January 25, 2021).†</w:t>
              </w:r>
            </w:hyperlink>
          </w:p>
        </w:tc>
        <w:tc>
          <w:tcPr>
            <w:tcW w:w="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rPr>
                <w:sz w:val="24"/>
                <w:szCs w:val="24"/>
                <w:color w:val="auto"/>
              </w:rPr>
            </w:pPr>
          </w:p>
        </w:tc>
        <w:tc>
          <w:tcPr>
            <w:tcW w:w="90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334">
              <w:r>
                <w:rPr>
                  <w:rFonts w:ascii="Times New Roman" w:cs="Times New Roman" w:eastAsia="Times New Roman" w:hAnsi="Times New Roman"/>
                  <w:sz w:val="18"/>
                  <w:szCs w:val="18"/>
                  <w:color w:val="0000EE"/>
                  <w:w w:val="99"/>
                </w:rPr>
                <w:t>Amendment Number One to the Framework Partnering Agreement between Coalition for Epidemic Preparedness Innovations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w w:val="99"/>
              </w:rPr>
            </w:pPr>
            <w:hyperlink r:id="rId334">
              <w:r>
                <w:rPr>
                  <w:rFonts w:ascii="Times New Roman" w:cs="Times New Roman" w:eastAsia="Times New Roman" w:hAnsi="Times New Roman"/>
                  <w:sz w:val="18"/>
                  <w:szCs w:val="18"/>
                  <w:color w:val="0000EE"/>
                  <w:w w:val="99"/>
                </w:rPr>
                <w:t>and CureVac AG, dated December 11, 2020 (incorporated by reference to Exhibit 10.48 to the Company’s Form F-1 (File No.</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6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334">
              <w:r>
                <w:rPr>
                  <w:rFonts w:ascii="Times New Roman" w:cs="Times New Roman" w:eastAsia="Times New Roman" w:hAnsi="Times New Roman"/>
                  <w:sz w:val="18"/>
                  <w:szCs w:val="18"/>
                  <w:color w:val="0000EE"/>
                </w:rPr>
                <w:t>333-252391) filed on January 25, 2021).†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24"/>
                <w:szCs w:val="24"/>
                <w:color w:val="auto"/>
              </w:rPr>
            </w:pPr>
          </w:p>
        </w:tc>
        <w:tc>
          <w:tcPr>
            <w:tcW w:w="89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335">
              <w:r>
                <w:rPr>
                  <w:rFonts w:ascii="Times New Roman" w:cs="Times New Roman" w:eastAsia="Times New Roman" w:hAnsi="Times New Roman"/>
                  <w:sz w:val="18"/>
                  <w:szCs w:val="18"/>
                  <w:color w:val="0000EE"/>
                  <w:w w:val="99"/>
                </w:rPr>
                <w:t>Amendment to the Collaboration and License Agreement by and between Curevac AG and Glaxosmithkline Biological SA,</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rPr>
            </w:pPr>
            <w:hyperlink r:id="rId335">
              <w:r>
                <w:rPr>
                  <w:rFonts w:ascii="Times New Roman" w:cs="Times New Roman" w:eastAsia="Times New Roman" w:hAnsi="Times New Roman"/>
                  <w:sz w:val="18"/>
                  <w:szCs w:val="18"/>
                  <w:color w:val="0000EE"/>
                </w:rPr>
                <w:t>dated April 2, 2021 (incorporated by reference to Exhibit 4.49 to the Company’s Annual Report on Form 20-F (File No. 001-</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35">
              <w:r>
                <w:rPr>
                  <w:rFonts w:ascii="Times New Roman" w:cs="Times New Roman" w:eastAsia="Times New Roman" w:hAnsi="Times New Roman"/>
                  <w:sz w:val="18"/>
                  <w:szCs w:val="18"/>
                  <w:color w:val="0000EE"/>
                  <w:w w:val="99"/>
                </w:rPr>
                <w:t>39446) filled on April 27, 2021).†</w:t>
              </w:r>
            </w:hyperlink>
          </w:p>
        </w:tc>
        <w:tc>
          <w:tcPr>
            <w:tcW w:w="6540" w:type="dxa"/>
            <w:vAlign w:val="bottom"/>
            <w:tcBorders>
              <w:top w:val="single" w:sz="8" w:color="0000EE"/>
            </w:tcBorders>
            <w:gridSpan w:val="19"/>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24"/>
                <w:szCs w:val="24"/>
                <w:color w:val="auto"/>
              </w:rPr>
            </w:pPr>
          </w:p>
        </w:tc>
        <w:tc>
          <w:tcPr>
            <w:tcW w:w="85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336">
              <w:r>
                <w:rPr>
                  <w:rFonts w:ascii="Times New Roman" w:cs="Times New Roman" w:eastAsia="Times New Roman" w:hAnsi="Times New Roman"/>
                  <w:sz w:val="18"/>
                  <w:szCs w:val="18"/>
                  <w:color w:val="0000EE"/>
                  <w:w w:val="99"/>
                </w:rPr>
                <w:t>COVID Collaboration and License Agreement by and between Curevac AG and Glaxosmithkline Biological SA, dated</w:t>
              </w:r>
            </w:hyperlink>
          </w:p>
        </w:tc>
        <w:tc>
          <w:tcPr>
            <w:tcW w:w="5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w w:val="99"/>
              </w:rPr>
            </w:pPr>
            <w:hyperlink r:id="rId336">
              <w:r>
                <w:rPr>
                  <w:rFonts w:ascii="Times New Roman" w:cs="Times New Roman" w:eastAsia="Times New Roman" w:hAnsi="Times New Roman"/>
                  <w:sz w:val="18"/>
                  <w:szCs w:val="18"/>
                  <w:color w:val="0000EE"/>
                  <w:w w:val="99"/>
                </w:rPr>
                <w:t>April 2, 2021 (incorporated by reference to Exhibit 4.50 to the Company’s Annual Report on Form 20-F (File No. 001-39446)</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336">
              <w:r>
                <w:rPr>
                  <w:rFonts w:ascii="Times New Roman" w:cs="Times New Roman" w:eastAsia="Times New Roman" w:hAnsi="Times New Roman"/>
                  <w:sz w:val="18"/>
                  <w:szCs w:val="18"/>
                  <w:color w:val="0000EE"/>
                  <w:w w:val="98"/>
                </w:rPr>
                <w:t>filled on April 27, 2021).†</w:t>
              </w:r>
            </w:hyperlink>
          </w:p>
        </w:tc>
        <w:tc>
          <w:tcPr>
            <w:tcW w:w="7180" w:type="dxa"/>
            <w:vAlign w:val="bottom"/>
            <w:tcBorders>
              <w:top w:val="single" w:sz="8" w:color="0000EE"/>
            </w:tcBorders>
            <w:gridSpan w:val="2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Pr>
          <w:p>
            <w:pPr>
              <w:spacing w:after="0"/>
              <w:rPr>
                <w:sz w:val="24"/>
                <w:szCs w:val="24"/>
                <w:color w:val="auto"/>
              </w:rPr>
            </w:pPr>
          </w:p>
        </w:tc>
        <w:tc>
          <w:tcPr>
            <w:tcW w:w="8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37">
              <w:r>
                <w:rPr>
                  <w:rFonts w:ascii="Times New Roman" w:cs="Times New Roman" w:eastAsia="Times New Roman" w:hAnsi="Times New Roman"/>
                  <w:sz w:val="18"/>
                  <w:szCs w:val="18"/>
                  <w:color w:val="0000EE"/>
                  <w:w w:val="99"/>
                </w:rPr>
                <w:t>Second Amendment to the Collaboration and License Agreement by and between Curevac AG and Glaxosmithkline</w:t>
              </w:r>
            </w:hyperlink>
          </w:p>
        </w:tc>
        <w:tc>
          <w:tcPr>
            <w:tcW w:w="7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337">
              <w:r>
                <w:rPr>
                  <w:rFonts w:ascii="Times New Roman" w:cs="Times New Roman" w:eastAsia="Times New Roman" w:hAnsi="Times New Roman"/>
                  <w:sz w:val="18"/>
                  <w:szCs w:val="18"/>
                  <w:color w:val="0000EE"/>
                  <w:w w:val="99"/>
                </w:rPr>
                <w:t>Biological SA, dated September 29, 2021 (incorporated by reference to Exhibit 99.3 to the Company’s Form 6-K (File No.</w:t>
              </w:r>
            </w:hyperlink>
          </w:p>
        </w:tc>
        <w:tc>
          <w:tcPr>
            <w:tcW w:w="2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37">
              <w:r>
                <w:rPr>
                  <w:rFonts w:ascii="Times New Roman" w:cs="Times New Roman" w:eastAsia="Times New Roman" w:hAnsi="Times New Roman"/>
                  <w:sz w:val="18"/>
                  <w:szCs w:val="18"/>
                  <w:color w:val="0000EE"/>
                  <w:w w:val="99"/>
                </w:rPr>
                <w:t>001-39446) filed on December 17, 2021).†</w:t>
              </w:r>
            </w:hyperlink>
          </w:p>
        </w:tc>
        <w:tc>
          <w:tcPr>
            <w:tcW w:w="60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24"/>
                <w:szCs w:val="24"/>
                <w:color w:val="auto"/>
              </w:rPr>
            </w:pPr>
          </w:p>
        </w:tc>
        <w:tc>
          <w:tcPr>
            <w:tcW w:w="84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38">
              <w:r>
                <w:rPr>
                  <w:rFonts w:ascii="Times New Roman" w:cs="Times New Roman" w:eastAsia="Times New Roman" w:hAnsi="Times New Roman"/>
                  <w:sz w:val="18"/>
                  <w:szCs w:val="18"/>
                  <w:color w:val="0000EE"/>
                  <w:w w:val="99"/>
                </w:rPr>
                <w:t>Amendment to the COVID Collaboration and License Agreement by and between Curevac AG and Glaxosmithkline</w:t>
              </w:r>
            </w:hyperlink>
          </w:p>
        </w:tc>
        <w:tc>
          <w:tcPr>
            <w:tcW w:w="6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338">
              <w:r>
                <w:rPr>
                  <w:rFonts w:ascii="Times New Roman" w:cs="Times New Roman" w:eastAsia="Times New Roman" w:hAnsi="Times New Roman"/>
                  <w:sz w:val="18"/>
                  <w:szCs w:val="18"/>
                  <w:color w:val="0000EE"/>
                  <w:w w:val="99"/>
                </w:rPr>
                <w:t>Biological SA, dated September 29, 2021 (incorporated by reference to Exhibit 99.4 to the Company’s Form 6-K (File No.</w:t>
              </w:r>
            </w:hyperlink>
          </w:p>
        </w:tc>
        <w:tc>
          <w:tcPr>
            <w:tcW w:w="2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38">
              <w:r>
                <w:rPr>
                  <w:rFonts w:ascii="Times New Roman" w:cs="Times New Roman" w:eastAsia="Times New Roman" w:hAnsi="Times New Roman"/>
                  <w:sz w:val="18"/>
                  <w:szCs w:val="18"/>
                  <w:color w:val="0000EE"/>
                  <w:w w:val="99"/>
                </w:rPr>
                <w:t>001-39446) filed on December 17, 2021).†</w:t>
              </w:r>
            </w:hyperlink>
          </w:p>
        </w:tc>
        <w:tc>
          <w:tcPr>
            <w:tcW w:w="60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Pr>
          <w:p>
            <w:pPr>
              <w:spacing w:after="0"/>
              <w:rPr>
                <w:sz w:val="24"/>
                <w:szCs w:val="24"/>
                <w:color w:val="auto"/>
              </w:rPr>
            </w:pPr>
          </w:p>
        </w:tc>
        <w:tc>
          <w:tcPr>
            <w:tcW w:w="88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339">
              <w:r>
                <w:rPr>
                  <w:rFonts w:ascii="Times New Roman" w:cs="Times New Roman" w:eastAsia="Times New Roman" w:hAnsi="Times New Roman"/>
                  <w:sz w:val="18"/>
                  <w:szCs w:val="18"/>
                  <w:color w:val="0000EE"/>
                  <w:w w:val="99"/>
                </w:rPr>
                <w:t>Second Amendment to the Shareholders’ Agreement among Kreditanstalt für Wiederaufbau, dievini Hopp BioTechholding</w:t>
              </w:r>
            </w:hyperlink>
          </w:p>
        </w:tc>
        <w:tc>
          <w:tcPr>
            <w:tcW w:w="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31"/>
          </w:tcPr>
          <w:p>
            <w:pPr>
              <w:spacing w:after="0" w:line="196" w:lineRule="exact"/>
              <w:rPr>
                <w:rFonts w:ascii="Times New Roman" w:cs="Times New Roman" w:eastAsia="Times New Roman" w:hAnsi="Times New Roman"/>
                <w:sz w:val="18"/>
                <w:szCs w:val="18"/>
                <w:color w:val="0000EE"/>
                <w:w w:val="99"/>
              </w:rPr>
            </w:pPr>
            <w:hyperlink r:id="rId339">
              <w:r>
                <w:rPr>
                  <w:rFonts w:ascii="Times New Roman" w:cs="Times New Roman" w:eastAsia="Times New Roman" w:hAnsi="Times New Roman"/>
                  <w:sz w:val="18"/>
                  <w:szCs w:val="18"/>
                  <w:color w:val="0000EE"/>
                  <w:w w:val="99"/>
                </w:rPr>
                <w:t>GmbH &amp; Co KG and Mr. Dietmar Hopp, dated January 13, 2022 (incorporated by reference to Exhibit 99.1 to the Company’s</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6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339">
              <w:r>
                <w:rPr>
                  <w:rFonts w:ascii="Times New Roman" w:cs="Times New Roman" w:eastAsia="Times New Roman" w:hAnsi="Times New Roman"/>
                  <w:sz w:val="18"/>
                  <w:szCs w:val="18"/>
                  <w:color w:val="0000EE"/>
                </w:rPr>
                <w:t>Form 6-K (File No. 001-39446) filed on January 13, 2022).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6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260" w:type="dxa"/>
            <w:vAlign w:val="bottom"/>
            <w:tcBorders>
              <w:top w:val="single" w:sz="8" w:color="0000EE"/>
            </w:tcBorders>
            <w:gridSpan w:val="10"/>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80" w:type="dxa"/>
            <w:vAlign w:val="bottom"/>
            <w:gridSpan w:val="19"/>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8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4.39</w:t>
            </w:r>
          </w:p>
        </w:tc>
        <w:tc>
          <w:tcPr>
            <w:tcW w:w="1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760" w:type="dxa"/>
            <w:vAlign w:val="bottom"/>
            <w:tcBorders>
              <w:bottom w:val="single" w:sz="8" w:color="0000EE"/>
            </w:tcBorders>
            <w:gridSpan w:val="17"/>
          </w:tcPr>
          <w:p>
            <w:pPr>
              <w:spacing w:after="0" w:line="182" w:lineRule="exact"/>
              <w:rPr>
                <w:rFonts w:ascii="Times New Roman" w:cs="Times New Roman" w:eastAsia="Times New Roman" w:hAnsi="Times New Roman"/>
                <w:sz w:val="18"/>
                <w:szCs w:val="18"/>
                <w:color w:val="0000EE"/>
                <w:w w:val="99"/>
              </w:rPr>
            </w:pPr>
            <w:hyperlink r:id="rId340">
              <w:r>
                <w:rPr>
                  <w:rFonts w:ascii="Times New Roman" w:cs="Times New Roman" w:eastAsia="Times New Roman" w:hAnsi="Times New Roman"/>
                  <w:sz w:val="18"/>
                  <w:szCs w:val="18"/>
                  <w:color w:val="0000EE"/>
                  <w:w w:val="99"/>
                </w:rPr>
                <w:t>Third Amendment to Collaboration and License Agreement between Genmab B.V. and CureVac AG, dated December 19,</w:t>
              </w:r>
            </w:hyperlink>
          </w:p>
        </w:tc>
        <w:tc>
          <w:tcPr>
            <w:tcW w:w="3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340">
              <w:r>
                <w:rPr>
                  <w:rFonts w:ascii="Times New Roman" w:cs="Times New Roman" w:eastAsia="Times New Roman" w:hAnsi="Times New Roman"/>
                  <w:sz w:val="18"/>
                  <w:szCs w:val="18"/>
                  <w:color w:val="0000EE"/>
                  <w:w w:val="99"/>
                </w:rPr>
                <w:t>2019, effective June 30, 2021 (incorporated by reference to Exhibit 4.56 to the Company’s Annual Report on Form 20-F (File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29"/>
          </w:tcPr>
          <w:p>
            <w:pPr>
              <w:spacing w:after="0" w:line="196" w:lineRule="exact"/>
              <w:rPr>
                <w:rFonts w:ascii="Times New Roman" w:cs="Times New Roman" w:eastAsia="Times New Roman" w:hAnsi="Times New Roman"/>
                <w:sz w:val="18"/>
                <w:szCs w:val="18"/>
                <w:color w:val="0000EE"/>
              </w:rPr>
            </w:pPr>
            <w:hyperlink r:id="rId340">
              <w:r>
                <w:rPr>
                  <w:rFonts w:ascii="Times New Roman" w:cs="Times New Roman" w:eastAsia="Times New Roman" w:hAnsi="Times New Roman"/>
                  <w:sz w:val="18"/>
                  <w:szCs w:val="18"/>
                  <w:color w:val="0000EE"/>
                </w:rPr>
                <w:t>No. 001-39446) filed on April 28, 2022).†</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Pr>
          <w:p>
            <w:pPr>
              <w:spacing w:after="0"/>
              <w:rPr>
                <w:sz w:val="24"/>
                <w:szCs w:val="24"/>
                <w:color w:val="auto"/>
              </w:rPr>
            </w:pPr>
          </w:p>
        </w:tc>
        <w:tc>
          <w:tcPr>
            <w:tcW w:w="86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341">
              <w:r>
                <w:rPr>
                  <w:rFonts w:ascii="Times New Roman" w:cs="Times New Roman" w:eastAsia="Times New Roman" w:hAnsi="Times New Roman"/>
                  <w:sz w:val="18"/>
                  <w:szCs w:val="18"/>
                  <w:color w:val="0000EE"/>
                  <w:w w:val="99"/>
                </w:rPr>
                <w:t>Consortium Agreement between CureVac AG, CureVac Real Estate GMBH and Glaxosmithkline Biologicals SA, dated</w:t>
              </w:r>
            </w:hyperlink>
          </w:p>
        </w:tc>
        <w:tc>
          <w:tcPr>
            <w:tcW w:w="4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341">
              <w:r>
                <w:rPr>
                  <w:rFonts w:ascii="Times New Roman" w:cs="Times New Roman" w:eastAsia="Times New Roman" w:hAnsi="Times New Roman"/>
                  <w:sz w:val="18"/>
                  <w:szCs w:val="18"/>
                  <w:color w:val="0000EE"/>
                  <w:w w:val="99"/>
                </w:rPr>
                <w:t>February 20, 2022 (incorporated by reference to Exhibit 4.57 to the Company’s Annual Report on Form 20-F (File No. 001-</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29"/>
          </w:tcPr>
          <w:p>
            <w:pPr>
              <w:spacing w:after="0" w:line="196" w:lineRule="exact"/>
              <w:rPr>
                <w:rFonts w:ascii="Times New Roman" w:cs="Times New Roman" w:eastAsia="Times New Roman" w:hAnsi="Times New Roman"/>
                <w:sz w:val="18"/>
                <w:szCs w:val="18"/>
                <w:color w:val="0000EE"/>
              </w:rPr>
            </w:pPr>
            <w:hyperlink r:id="rId341">
              <w:r>
                <w:rPr>
                  <w:rFonts w:ascii="Times New Roman" w:cs="Times New Roman" w:eastAsia="Times New Roman" w:hAnsi="Times New Roman"/>
                  <w:sz w:val="18"/>
                  <w:szCs w:val="18"/>
                  <w:color w:val="0000EE"/>
                </w:rPr>
                <w:t>39446) filed on April 28, 2022).†</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24"/>
                <w:szCs w:val="24"/>
                <w:color w:val="auto"/>
              </w:rPr>
            </w:pPr>
          </w:p>
        </w:tc>
        <w:tc>
          <w:tcPr>
            <w:tcW w:w="9100" w:type="dxa"/>
            <w:vAlign w:val="bottom"/>
            <w:gridSpan w:val="29"/>
          </w:tcPr>
          <w:p>
            <w:pPr>
              <w:spacing w:after="0"/>
              <w:rPr>
                <w:rFonts w:ascii="Times New Roman" w:cs="Times New Roman" w:eastAsia="Times New Roman" w:hAnsi="Times New Roman"/>
                <w:sz w:val="18"/>
                <w:szCs w:val="18"/>
                <w:color w:val="0000EE"/>
              </w:rPr>
            </w:pPr>
            <w:hyperlink r:id="rId342">
              <w:r>
                <w:rPr>
                  <w:rFonts w:ascii="Times New Roman" w:cs="Times New Roman" w:eastAsia="Times New Roman" w:hAnsi="Times New Roman"/>
                  <w:sz w:val="18"/>
                  <w:szCs w:val="18"/>
                  <w:color w:val="0000EE"/>
                </w:rPr>
                <w:t>Fourth Amendment to the Collaboration and License Agreement by and between Curevac AG and Glaxosmithkline</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342">
              <w:r>
                <w:rPr>
                  <w:rFonts w:ascii="Times New Roman" w:cs="Times New Roman" w:eastAsia="Times New Roman" w:hAnsi="Times New Roman"/>
                  <w:sz w:val="18"/>
                  <w:szCs w:val="18"/>
                  <w:color w:val="0000EE"/>
                  <w:w w:val="99"/>
                </w:rPr>
                <w:t>Biological SA, dated March 4, 2022 (incorporated by reference to Exhibit 4.58 to the Company’s Annual Report on Form 20-</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42">
              <w:r>
                <w:rPr>
                  <w:rFonts w:ascii="Times New Roman" w:cs="Times New Roman" w:eastAsia="Times New Roman" w:hAnsi="Times New Roman"/>
                  <w:sz w:val="18"/>
                  <w:szCs w:val="18"/>
                  <w:color w:val="0000EE"/>
                  <w:w w:val="99"/>
                </w:rPr>
                <w:t>F (File No. 001-39446) filed on April 28, 2022).†</w:t>
              </w:r>
            </w:hyperlink>
          </w:p>
        </w:tc>
        <w:tc>
          <w:tcPr>
            <w:tcW w:w="55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24"/>
                <w:szCs w:val="24"/>
                <w:color w:val="auto"/>
              </w:rPr>
            </w:pPr>
          </w:p>
        </w:tc>
        <w:tc>
          <w:tcPr>
            <w:tcW w:w="88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343">
              <w:r>
                <w:rPr>
                  <w:rFonts w:ascii="Times New Roman" w:cs="Times New Roman" w:eastAsia="Times New Roman" w:hAnsi="Times New Roman"/>
                  <w:sz w:val="18"/>
                  <w:szCs w:val="18"/>
                  <w:color w:val="0000EE"/>
                  <w:w w:val="99"/>
                </w:rPr>
                <w:t>Third Amendment to the COVID Collaboration and License Agreement by and between Curevac AG and Glaxosmithkline</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343">
              <w:r>
                <w:rPr>
                  <w:rFonts w:ascii="Times New Roman" w:cs="Times New Roman" w:eastAsia="Times New Roman" w:hAnsi="Times New Roman"/>
                  <w:sz w:val="18"/>
                  <w:szCs w:val="18"/>
                  <w:color w:val="0000EE"/>
                  <w:w w:val="99"/>
                </w:rPr>
                <w:t>Biological SA, dated March 4, 2022 (incorporated by reference to Exhibit 4.59 to the Company’s Annual Report on Form 20-</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43">
              <w:r>
                <w:rPr>
                  <w:rFonts w:ascii="Times New Roman" w:cs="Times New Roman" w:eastAsia="Times New Roman" w:hAnsi="Times New Roman"/>
                  <w:sz w:val="18"/>
                  <w:szCs w:val="18"/>
                  <w:color w:val="0000EE"/>
                  <w:w w:val="99"/>
                </w:rPr>
                <w:t>F (File No. 001-39446) filed on April 28, 2022).†</w:t>
              </w:r>
            </w:hyperlink>
          </w:p>
        </w:tc>
        <w:tc>
          <w:tcPr>
            <w:tcW w:w="55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Pr>
          <w:p>
            <w:pPr>
              <w:spacing w:after="0"/>
              <w:rPr>
                <w:sz w:val="24"/>
                <w:szCs w:val="24"/>
                <w:color w:val="auto"/>
              </w:rPr>
            </w:pPr>
          </w:p>
        </w:tc>
        <w:tc>
          <w:tcPr>
            <w:tcW w:w="9100" w:type="dxa"/>
            <w:vAlign w:val="bottom"/>
            <w:gridSpan w:val="29"/>
          </w:tcPr>
          <w:p>
            <w:pPr>
              <w:spacing w:after="0"/>
              <w:rPr>
                <w:rFonts w:ascii="Times New Roman" w:cs="Times New Roman" w:eastAsia="Times New Roman" w:hAnsi="Times New Roman"/>
                <w:sz w:val="18"/>
                <w:szCs w:val="18"/>
                <w:color w:val="0000EE"/>
                <w:w w:val="99"/>
              </w:rPr>
            </w:pPr>
            <w:hyperlink r:id="rId344">
              <w:r>
                <w:rPr>
                  <w:rFonts w:ascii="Times New Roman" w:cs="Times New Roman" w:eastAsia="Times New Roman" w:hAnsi="Times New Roman"/>
                  <w:sz w:val="18"/>
                  <w:szCs w:val="18"/>
                  <w:color w:val="0000EE"/>
                  <w:w w:val="99"/>
                </w:rPr>
                <w:t>Second Amendment to Sponsored Research Agreement, between CureVac AG and The Schepens Eye Research Institute, Inc.,</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344">
              <w:r>
                <w:rPr>
                  <w:rFonts w:ascii="Times New Roman" w:cs="Times New Roman" w:eastAsia="Times New Roman" w:hAnsi="Times New Roman"/>
                  <w:sz w:val="18"/>
                  <w:szCs w:val="18"/>
                  <w:color w:val="0000EE"/>
                  <w:w w:val="99"/>
                </w:rPr>
                <w:t>dated July 29, 2021 (incorporated by reference to Exhibit 4.60 to the Company’s Annual Report on Form 20-F (File No. 001-</w:t>
              </w:r>
            </w:hyperlink>
          </w:p>
        </w:tc>
        <w:tc>
          <w:tcPr>
            <w:tcW w:w="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29"/>
          </w:tcPr>
          <w:p>
            <w:pPr>
              <w:spacing w:after="0" w:line="196" w:lineRule="exact"/>
              <w:rPr>
                <w:rFonts w:ascii="Times New Roman" w:cs="Times New Roman" w:eastAsia="Times New Roman" w:hAnsi="Times New Roman"/>
                <w:sz w:val="18"/>
                <w:szCs w:val="18"/>
                <w:color w:val="0000EE"/>
              </w:rPr>
            </w:pPr>
            <w:hyperlink r:id="rId344">
              <w:r>
                <w:rPr>
                  <w:rFonts w:ascii="Times New Roman" w:cs="Times New Roman" w:eastAsia="Times New Roman" w:hAnsi="Times New Roman"/>
                  <w:sz w:val="18"/>
                  <w:szCs w:val="18"/>
                  <w:color w:val="0000EE"/>
                </w:rPr>
                <w:t>39446) filed on April 28, 2022).†</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24"/>
                <w:szCs w:val="24"/>
                <w:color w:val="auto"/>
              </w:rPr>
            </w:pPr>
          </w:p>
        </w:tc>
        <w:tc>
          <w:tcPr>
            <w:tcW w:w="89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345">
              <w:r>
                <w:rPr>
                  <w:rFonts w:ascii="Times New Roman" w:cs="Times New Roman" w:eastAsia="Times New Roman" w:hAnsi="Times New Roman"/>
                  <w:sz w:val="18"/>
                  <w:szCs w:val="18"/>
                  <w:color w:val="0000EE"/>
                  <w:w w:val="99"/>
                </w:rPr>
                <w:t>Third Amendment to Sponsored Research Agreement, between CureVac AG and The Schepens Eye Research Institute, Inc.,</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29"/>
          </w:tcPr>
          <w:p>
            <w:pPr>
              <w:spacing w:after="0" w:line="196" w:lineRule="exact"/>
              <w:rPr>
                <w:rFonts w:ascii="Times New Roman" w:cs="Times New Roman" w:eastAsia="Times New Roman" w:hAnsi="Times New Roman"/>
                <w:sz w:val="18"/>
                <w:szCs w:val="18"/>
                <w:color w:val="0000EE"/>
              </w:rPr>
            </w:pPr>
            <w:hyperlink r:id="rId345">
              <w:r>
                <w:rPr>
                  <w:rFonts w:ascii="Times New Roman" w:cs="Times New Roman" w:eastAsia="Times New Roman" w:hAnsi="Times New Roman"/>
                  <w:sz w:val="18"/>
                  <w:szCs w:val="18"/>
                  <w:color w:val="0000EE"/>
                </w:rPr>
                <w:t>dated September 1, 2021 (incorporated by reference to Exhibit 4.61 to the Company’s Annual Report on Form 20-F (File No.</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45">
              <w:r>
                <w:rPr>
                  <w:rFonts w:ascii="Times New Roman" w:cs="Times New Roman" w:eastAsia="Times New Roman" w:hAnsi="Times New Roman"/>
                  <w:sz w:val="18"/>
                  <w:szCs w:val="18"/>
                  <w:color w:val="0000EE"/>
                  <w:w w:val="99"/>
                </w:rPr>
                <w:t>001-39446) filed on April 28, 2022).†</w:t>
              </w:r>
            </w:hyperlink>
          </w:p>
        </w:tc>
        <w:tc>
          <w:tcPr>
            <w:tcW w:w="6280" w:type="dxa"/>
            <w:vAlign w:val="bottom"/>
            <w:tcBorders>
              <w:top w:val="single" w:sz="8" w:color="0000EE"/>
            </w:tcBorders>
            <w:gridSpan w:val="18"/>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tcPr>
          <w:p>
            <w:pPr>
              <w:spacing w:after="0"/>
              <w:rPr>
                <w:sz w:val="24"/>
                <w:szCs w:val="24"/>
                <w:color w:val="auto"/>
              </w:rPr>
            </w:pPr>
          </w:p>
        </w:tc>
        <w:tc>
          <w:tcPr>
            <w:tcW w:w="86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46">
              <w:r>
                <w:rPr>
                  <w:rFonts w:ascii="Times New Roman" w:cs="Times New Roman" w:eastAsia="Times New Roman" w:hAnsi="Times New Roman"/>
                  <w:sz w:val="18"/>
                  <w:szCs w:val="18"/>
                  <w:color w:val="0000EE"/>
                  <w:w w:val="99"/>
                </w:rPr>
                <w:t>First Amendment to the Collaborative Research Agreement between CureVac AG and Yale University (incorporated by</w:t>
              </w:r>
            </w:hyperlink>
          </w:p>
        </w:tc>
        <w:tc>
          <w:tcPr>
            <w:tcW w:w="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29"/>
          </w:tcPr>
          <w:p>
            <w:pPr>
              <w:spacing w:after="0" w:line="196" w:lineRule="exact"/>
              <w:rPr>
                <w:rFonts w:ascii="Times New Roman" w:cs="Times New Roman" w:eastAsia="Times New Roman" w:hAnsi="Times New Roman"/>
                <w:sz w:val="18"/>
                <w:szCs w:val="18"/>
                <w:color w:val="0000EE"/>
              </w:rPr>
            </w:pPr>
            <w:hyperlink r:id="rId346">
              <w:r>
                <w:rPr>
                  <w:rFonts w:ascii="Times New Roman" w:cs="Times New Roman" w:eastAsia="Times New Roman" w:hAnsi="Times New Roman"/>
                  <w:sz w:val="18"/>
                  <w:szCs w:val="18"/>
                  <w:color w:val="0000EE"/>
                </w:rPr>
                <w:t>reference to Exhibit 4.62 to the Company’s Annual Report on Form 20-F (File No. 001-39446) filed on April 28, 2022).†</w:t>
              </w:r>
            </w:hyperlink>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tcPr>
          <w:p>
            <w:pPr>
              <w:spacing w:after="0"/>
              <w:rPr>
                <w:sz w:val="24"/>
                <w:szCs w:val="24"/>
                <w:color w:val="auto"/>
              </w:rPr>
            </w:pPr>
          </w:p>
        </w:tc>
        <w:tc>
          <w:tcPr>
            <w:tcW w:w="872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r:id="rId347">
              <w:r>
                <w:rPr>
                  <w:rFonts w:ascii="Times New Roman" w:cs="Times New Roman" w:eastAsia="Times New Roman" w:hAnsi="Times New Roman"/>
                  <w:sz w:val="18"/>
                  <w:szCs w:val="18"/>
                  <w:color w:val="0000EE"/>
                </w:rPr>
                <w:t>Research and Option Agreement, by and between CureVac AG and myNEO NV, dated May 12, 2022 (incorporated by</w:t>
              </w:r>
            </w:hyperlink>
          </w:p>
        </w:tc>
        <w:tc>
          <w:tcPr>
            <w:tcW w:w="3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29"/>
          </w:tcPr>
          <w:p>
            <w:pPr>
              <w:spacing w:after="0" w:line="196" w:lineRule="exact"/>
              <w:rPr>
                <w:rFonts w:ascii="Times New Roman" w:cs="Times New Roman" w:eastAsia="Times New Roman" w:hAnsi="Times New Roman"/>
                <w:sz w:val="18"/>
                <w:szCs w:val="18"/>
                <w:color w:val="0000EE"/>
              </w:rPr>
            </w:pPr>
            <w:hyperlink r:id="rId347">
              <w:r>
                <w:rPr>
                  <w:rFonts w:ascii="Times New Roman" w:cs="Times New Roman" w:eastAsia="Times New Roman" w:hAnsi="Times New Roman"/>
                  <w:sz w:val="18"/>
                  <w:szCs w:val="18"/>
                  <w:color w:val="0000EE"/>
                </w:rPr>
                <w:t>reference to Exhibit 4.61 to the Company’s Annual Report on Form 20-F (File No. 001-39446) filed on April 25, 2023).†</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tcPr>
          <w:p>
            <w:pPr>
              <w:spacing w:after="0"/>
              <w:rPr>
                <w:sz w:val="24"/>
                <w:szCs w:val="24"/>
                <w:color w:val="auto"/>
              </w:rPr>
            </w:pPr>
          </w:p>
        </w:tc>
        <w:tc>
          <w:tcPr>
            <w:tcW w:w="89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348">
              <w:r>
                <w:rPr>
                  <w:rFonts w:ascii="Times New Roman" w:cs="Times New Roman" w:eastAsia="Times New Roman" w:hAnsi="Times New Roman"/>
                  <w:sz w:val="18"/>
                  <w:szCs w:val="18"/>
                  <w:color w:val="0000EE"/>
                  <w:w w:val="99"/>
                </w:rPr>
                <w:t>Fourth Amendment to the COVID Collaboration and License Agreement by and between Curevac AG and Glaxosmithkline</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348">
              <w:r>
                <w:rPr>
                  <w:rFonts w:ascii="Times New Roman" w:cs="Times New Roman" w:eastAsia="Times New Roman" w:hAnsi="Times New Roman"/>
                  <w:sz w:val="18"/>
                  <w:szCs w:val="18"/>
                  <w:color w:val="0000EE"/>
                  <w:w w:val="99"/>
                </w:rPr>
                <w:t>Biological SA, dated August 25, 2022 (incorporated by reference to Exhibit 4.62 to the Company’s Annual Report on Form</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48">
              <w:r>
                <w:rPr>
                  <w:rFonts w:ascii="Times New Roman" w:cs="Times New Roman" w:eastAsia="Times New Roman" w:hAnsi="Times New Roman"/>
                  <w:sz w:val="18"/>
                  <w:szCs w:val="18"/>
                  <w:color w:val="0000EE"/>
                  <w:w w:val="99"/>
                </w:rPr>
                <w:t>20-F (File No. 001-39446) filed on April 25, 2023).†</w:t>
              </w:r>
            </w:hyperlink>
          </w:p>
        </w:tc>
        <w:tc>
          <w:tcPr>
            <w:tcW w:w="52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24"/>
                <w:szCs w:val="24"/>
                <w:color w:val="auto"/>
              </w:rPr>
            </w:pPr>
          </w:p>
        </w:tc>
        <w:tc>
          <w:tcPr>
            <w:tcW w:w="90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349">
              <w:r>
                <w:rPr>
                  <w:rFonts w:ascii="Times New Roman" w:cs="Times New Roman" w:eastAsia="Times New Roman" w:hAnsi="Times New Roman"/>
                  <w:sz w:val="18"/>
                  <w:szCs w:val="18"/>
                  <w:color w:val="0000EE"/>
                  <w:w w:val="99"/>
                </w:rPr>
                <w:t>Fourth Amendment to Sponsored Research Agreement, between CureVac AG and The Schepens Eye Research Institute, Inc.,</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29"/>
          </w:tcPr>
          <w:p>
            <w:pPr>
              <w:spacing w:after="0" w:line="196" w:lineRule="exact"/>
              <w:rPr>
                <w:rFonts w:ascii="Times New Roman" w:cs="Times New Roman" w:eastAsia="Times New Roman" w:hAnsi="Times New Roman"/>
                <w:sz w:val="18"/>
                <w:szCs w:val="18"/>
                <w:color w:val="0000EE"/>
              </w:rPr>
            </w:pPr>
            <w:hyperlink r:id="rId349">
              <w:r>
                <w:rPr>
                  <w:rFonts w:ascii="Times New Roman" w:cs="Times New Roman" w:eastAsia="Times New Roman" w:hAnsi="Times New Roman"/>
                  <w:sz w:val="18"/>
                  <w:szCs w:val="18"/>
                  <w:color w:val="0000EE"/>
                </w:rPr>
                <w:t>dated August 31, 2022 (incorporated by reference to Exhibit 4.63 to the Company’s Annual Report on Form 20-F (File No.</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49">
              <w:r>
                <w:rPr>
                  <w:rFonts w:ascii="Times New Roman" w:cs="Times New Roman" w:eastAsia="Times New Roman" w:hAnsi="Times New Roman"/>
                  <w:sz w:val="18"/>
                  <w:szCs w:val="18"/>
                  <w:color w:val="0000EE"/>
                  <w:w w:val="99"/>
                </w:rPr>
                <w:t>001-39446) filed on April 25, 2023).†</w:t>
              </w:r>
            </w:hyperlink>
          </w:p>
        </w:tc>
        <w:tc>
          <w:tcPr>
            <w:tcW w:w="6120" w:type="dxa"/>
            <w:vAlign w:val="bottom"/>
            <w:tcBorders>
              <w:top w:val="single" w:sz="8" w:color="0000EE"/>
            </w:tcBorders>
            <w:gridSpan w:val="13"/>
          </w:tcPr>
          <w:p>
            <w:pPr>
              <w:spacing w:after="0"/>
              <w:rPr>
                <w:sz w:val="17"/>
                <w:szCs w:val="17"/>
                <w:color w:val="auto"/>
              </w:rPr>
            </w:pPr>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Pr>
          <w:p>
            <w:pPr>
              <w:spacing w:after="0"/>
              <w:rPr>
                <w:sz w:val="24"/>
                <w:szCs w:val="24"/>
                <w:color w:val="auto"/>
              </w:rPr>
            </w:pPr>
          </w:p>
        </w:tc>
        <w:tc>
          <w:tcPr>
            <w:tcW w:w="9100" w:type="dxa"/>
            <w:vAlign w:val="bottom"/>
            <w:gridSpan w:val="29"/>
          </w:tcPr>
          <w:p>
            <w:pPr>
              <w:spacing w:after="0"/>
              <w:rPr>
                <w:rFonts w:ascii="Times New Roman" w:cs="Times New Roman" w:eastAsia="Times New Roman" w:hAnsi="Times New Roman"/>
                <w:sz w:val="18"/>
                <w:szCs w:val="18"/>
                <w:color w:val="0000EE"/>
              </w:rPr>
            </w:pPr>
            <w:hyperlink r:id="rId350">
              <w:r>
                <w:rPr>
                  <w:rFonts w:ascii="Times New Roman" w:cs="Times New Roman" w:eastAsia="Times New Roman" w:hAnsi="Times New Roman"/>
                  <w:sz w:val="18"/>
                  <w:szCs w:val="18"/>
                  <w:color w:val="0000EE"/>
                </w:rPr>
                <w:t>Fifth Amendment to Sponsored Research Agreement, between CureVac AG and The Schepens Eye Research Institute, Inc.,</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50">
              <w:r>
                <w:rPr>
                  <w:rFonts w:ascii="Times New Roman" w:cs="Times New Roman" w:eastAsia="Times New Roman" w:hAnsi="Times New Roman"/>
                  <w:sz w:val="18"/>
                  <w:szCs w:val="18"/>
                  <w:color w:val="0000EE"/>
                  <w:w w:val="99"/>
                </w:rPr>
                <w:t>dated January 1, 2023 (incorporated by reference to Exhibit 4.64 to the Company’s Annual Report on Form 20-F (File No.</w:t>
              </w:r>
            </w:hyperlink>
          </w:p>
        </w:tc>
        <w:tc>
          <w:tcPr>
            <w:tcW w:w="80" w:type="dxa"/>
            <w:vAlign w:val="bottom"/>
            <w:tcBorders>
              <w:top w:val="single" w:sz="8" w:color="0000EE"/>
            </w:tcBorders>
            <w:gridSpan w:val="2"/>
          </w:tcPr>
          <w:p>
            <w:pPr>
              <w:spacing w:after="0"/>
              <w:rPr>
                <w:sz w:val="17"/>
                <w:szCs w:val="17"/>
                <w:color w:val="auto"/>
              </w:rPr>
            </w:pPr>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50">
              <w:r>
                <w:rPr>
                  <w:rFonts w:ascii="Times New Roman" w:cs="Times New Roman" w:eastAsia="Times New Roman" w:hAnsi="Times New Roman"/>
                  <w:sz w:val="18"/>
                  <w:szCs w:val="18"/>
                  <w:color w:val="0000EE"/>
                  <w:w w:val="99"/>
                </w:rPr>
                <w:t>001-39446) filed on April 25, 2023).†</w:t>
              </w:r>
            </w:hyperlink>
          </w:p>
        </w:tc>
        <w:tc>
          <w:tcPr>
            <w:tcW w:w="63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40" w:type="dxa"/>
            <w:vAlign w:val="bottom"/>
          </w:tcPr>
          <w:p>
            <w:pPr>
              <w:spacing w:after="0"/>
              <w:rPr>
                <w:sz w:val="24"/>
                <w:szCs w:val="24"/>
                <w:color w:val="auto"/>
              </w:rPr>
            </w:pPr>
          </w:p>
        </w:tc>
        <w:tc>
          <w:tcPr>
            <w:tcW w:w="91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CureVac N.V. Long-Term Incentive Plan (Amended and Restated as of 2024).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980" w:type="dxa"/>
            <w:vAlign w:val="bottom"/>
            <w:gridSpan w:val="6"/>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4.51*</w:t>
            </w:r>
          </w:p>
        </w:tc>
        <w:tc>
          <w:tcPr>
            <w:tcW w:w="140" w:type="dxa"/>
            <w:vAlign w:val="bottom"/>
          </w:tcPr>
          <w:p>
            <w:pPr>
              <w:spacing w:after="0"/>
              <w:rPr>
                <w:sz w:val="24"/>
                <w:szCs w:val="24"/>
                <w:color w:val="auto"/>
              </w:rPr>
            </w:pPr>
          </w:p>
        </w:tc>
        <w:tc>
          <w:tcPr>
            <w:tcW w:w="87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1st Amendment of the Research and Option Agreement, by and between CureVac AG and myNEO NV, dated January 12,</w:t>
            </w:r>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2023. †</w:t>
            </w:r>
          </w:p>
        </w:tc>
        <w:tc>
          <w:tcPr>
            <w:tcW w:w="85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4.52*</w:t>
            </w:r>
          </w:p>
        </w:tc>
        <w:tc>
          <w:tcPr>
            <w:tcW w:w="140" w:type="dxa"/>
            <w:vAlign w:val="bottom"/>
          </w:tcPr>
          <w:p>
            <w:pPr>
              <w:spacing w:after="0"/>
              <w:rPr>
                <w:sz w:val="24"/>
                <w:szCs w:val="24"/>
                <w:color w:val="auto"/>
              </w:rPr>
            </w:pPr>
          </w:p>
        </w:tc>
        <w:tc>
          <w:tcPr>
            <w:tcW w:w="89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Second Amendment to the Development and License Agreement between CureVac SE and CRISPR Therapeutics AG, dated</w:t>
            </w:r>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October 27, 2023. †</w:t>
            </w:r>
          </w:p>
        </w:tc>
        <w:tc>
          <w:tcPr>
            <w:tcW w:w="76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4.53*</w:t>
            </w:r>
          </w:p>
        </w:tc>
        <w:tc>
          <w:tcPr>
            <w:tcW w:w="140" w:type="dxa"/>
            <w:vAlign w:val="bottom"/>
          </w:tcPr>
          <w:p>
            <w:pPr>
              <w:spacing w:after="0"/>
              <w:rPr>
                <w:sz w:val="24"/>
                <w:szCs w:val="24"/>
                <w:color w:val="auto"/>
              </w:rPr>
            </w:pPr>
          </w:p>
        </w:tc>
        <w:tc>
          <w:tcPr>
            <w:tcW w:w="8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Amendment Four to Development and Option Agreement between Acuitas Therapeutics Inc. and CureVac AG, dated</w:t>
            </w:r>
          </w:p>
        </w:tc>
        <w:tc>
          <w:tcPr>
            <w:tcW w:w="6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February 13, 2024. †</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20" w:type="dxa"/>
            <w:vAlign w:val="bottom"/>
            <w:gridSpan w:val="17"/>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4.54*</w:t>
            </w:r>
          </w:p>
        </w:tc>
        <w:tc>
          <w:tcPr>
            <w:tcW w:w="140" w:type="dxa"/>
            <w:vAlign w:val="bottom"/>
          </w:tcPr>
          <w:p>
            <w:pPr>
              <w:spacing w:after="0"/>
              <w:rPr>
                <w:sz w:val="24"/>
                <w:szCs w:val="24"/>
                <w:color w:val="auto"/>
              </w:rPr>
            </w:pPr>
          </w:p>
        </w:tc>
        <w:tc>
          <w:tcPr>
            <w:tcW w:w="89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Sixth Amendment to Sponsored Research Agreement, between CureVac AG and The Schepens Eye Research Institute, Inc.,</w:t>
            </w:r>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dated June 29, 2023. †</w:t>
            </w:r>
          </w:p>
        </w:tc>
        <w:tc>
          <w:tcPr>
            <w:tcW w:w="0" w:type="dxa"/>
            <w:vAlign w:val="bottom"/>
          </w:tcPr>
          <w:p>
            <w:pPr>
              <w:spacing w:after="0"/>
              <w:rPr>
                <w:sz w:val="1"/>
                <w:szCs w:val="1"/>
                <w:color w:val="auto"/>
              </w:rPr>
            </w:pPr>
          </w:p>
        </w:tc>
      </w:tr>
      <w:tr>
        <w:trPr>
          <w:trHeight w:val="817"/>
        </w:trPr>
        <w:tc>
          <w:tcPr>
            <w:tcW w:w="6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1600" w:type="dxa"/>
            <w:vAlign w:val="bottom"/>
            <w:tcBorders>
              <w:top w:val="single" w:sz="8" w:color="0000EE"/>
            </w:tcBorders>
            <w:gridSpan w:val="4"/>
          </w:tcPr>
          <w:p>
            <w:pPr>
              <w:spacing w:after="0"/>
              <w:rPr>
                <w:sz w:val="24"/>
                <w:szCs w:val="24"/>
                <w:color w:val="auto"/>
              </w:rPr>
            </w:pPr>
          </w:p>
        </w:tc>
        <w:tc>
          <w:tcPr>
            <w:tcW w:w="3980" w:type="dxa"/>
            <w:vAlign w:val="bottom"/>
            <w:gridSpan w:val="6"/>
          </w:tcPr>
          <w:p>
            <w:pPr>
              <w:jc w:val="right"/>
              <w:ind w:right="1248"/>
              <w:spacing w:after="0"/>
              <w:rPr>
                <w:sz w:val="20"/>
                <w:szCs w:val="20"/>
                <w:color w:val="auto"/>
              </w:rPr>
            </w:pPr>
            <w:r>
              <w:rPr>
                <w:rFonts w:ascii="Times New Roman" w:cs="Times New Roman" w:eastAsia="Times New Roman" w:hAnsi="Times New Roman"/>
                <w:sz w:val="18"/>
                <w:szCs w:val="18"/>
                <w:color w:val="auto"/>
              </w:rPr>
              <w:t>241</w:t>
            </w: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3"/>
        </w:trPr>
        <w:tc>
          <w:tcPr>
            <w:tcW w:w="8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4.55*</w:t>
            </w:r>
          </w:p>
        </w:tc>
        <w:tc>
          <w:tcPr>
            <w:tcW w:w="140" w:type="dxa"/>
            <w:vAlign w:val="bottom"/>
          </w:tcPr>
          <w:p>
            <w:pPr>
              <w:spacing w:after="0"/>
              <w:rPr>
                <w:sz w:val="15"/>
                <w:szCs w:val="15"/>
                <w:color w:val="auto"/>
              </w:rPr>
            </w:pPr>
          </w:p>
        </w:tc>
        <w:tc>
          <w:tcPr>
            <w:tcW w:w="8780" w:type="dxa"/>
            <w:vAlign w:val="bottom"/>
            <w:tcBorders>
              <w:top w:val="single" w:sz="8" w:color="auto"/>
              <w:bottom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EE"/>
                <w:w w:val="99"/>
              </w:rPr>
              <w:t>Seventh Amendment to Sponsored Research Agreement, between CureVac AG and The Schepens Eye Research Institute,</w:t>
            </w:r>
          </w:p>
        </w:tc>
        <w:tc>
          <w:tcPr>
            <w:tcW w:w="120" w:type="dxa"/>
            <w:vAlign w:val="bottom"/>
            <w:tcBorders>
              <w:top w:val="single" w:sz="8" w:color="auto"/>
            </w:tcBorders>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 dated February 23, 2024. †</w:t>
            </w:r>
          </w:p>
        </w:tc>
      </w:tr>
      <w:tr>
        <w:trPr>
          <w:trHeight w:val="34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4"/>
                <w:szCs w:val="24"/>
                <w:color w:val="auto"/>
              </w:rPr>
            </w:pPr>
          </w:p>
        </w:tc>
        <w:tc>
          <w:tcPr>
            <w:tcW w:w="14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List of subsidiaries.</w:t>
            </w:r>
          </w:p>
        </w:tc>
        <w:tc>
          <w:tcPr>
            <w:tcW w:w="880" w:type="dxa"/>
            <w:vAlign w:val="bottom"/>
            <w:tcBorders>
              <w:top w:val="single" w:sz="8" w:color="0000EE"/>
            </w:tcBorders>
          </w:tcPr>
          <w:p>
            <w:pPr>
              <w:spacing w:after="0"/>
              <w:rPr>
                <w:sz w:val="24"/>
                <w:szCs w:val="24"/>
                <w:color w:val="auto"/>
              </w:rPr>
            </w:pPr>
          </w:p>
        </w:tc>
        <w:tc>
          <w:tcPr>
            <w:tcW w:w="6600" w:type="dxa"/>
            <w:vAlign w:val="bottom"/>
            <w:gridSpan w:val="8"/>
          </w:tcPr>
          <w:p>
            <w:pPr>
              <w:spacing w:after="0"/>
              <w:rPr>
                <w:sz w:val="24"/>
                <w:szCs w:val="24"/>
                <w:color w:val="auto"/>
              </w:rPr>
            </w:pPr>
          </w:p>
        </w:tc>
      </w:tr>
      <w:tr>
        <w:trPr>
          <w:trHeight w:val="34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12.1**</w:t>
            </w:r>
          </w:p>
        </w:tc>
        <w:tc>
          <w:tcPr>
            <w:tcW w:w="140" w:type="dxa"/>
            <w:vAlign w:val="bottom"/>
          </w:tcPr>
          <w:p>
            <w:pPr>
              <w:spacing w:after="0"/>
              <w:rPr>
                <w:sz w:val="24"/>
                <w:szCs w:val="24"/>
                <w:color w:val="auto"/>
              </w:rPr>
            </w:pPr>
          </w:p>
        </w:tc>
        <w:tc>
          <w:tcPr>
            <w:tcW w:w="52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w:t>
            </w:r>
          </w:p>
        </w:tc>
        <w:tc>
          <w:tcPr>
            <w:tcW w:w="3620" w:type="dxa"/>
            <w:vAlign w:val="bottom"/>
            <w:gridSpan w:val="4"/>
          </w:tcPr>
          <w:p>
            <w:pPr>
              <w:spacing w:after="0"/>
              <w:rPr>
                <w:sz w:val="24"/>
                <w:szCs w:val="24"/>
                <w:color w:val="auto"/>
              </w:rPr>
            </w:pPr>
          </w:p>
        </w:tc>
      </w:tr>
      <w:tr>
        <w:trPr>
          <w:trHeight w:val="345"/>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140" w:type="dxa"/>
            <w:vAlign w:val="bottom"/>
          </w:tcPr>
          <w:p>
            <w:pPr>
              <w:spacing w:after="0"/>
              <w:rPr>
                <w:sz w:val="24"/>
                <w:szCs w:val="24"/>
                <w:color w:val="auto"/>
              </w:rPr>
            </w:pPr>
          </w:p>
        </w:tc>
        <w:tc>
          <w:tcPr>
            <w:tcW w:w="52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w:t>
            </w:r>
          </w:p>
        </w:tc>
        <w:tc>
          <w:tcPr>
            <w:tcW w:w="3620" w:type="dxa"/>
            <w:vAlign w:val="bottom"/>
            <w:gridSpan w:val="4"/>
          </w:tcPr>
          <w:p>
            <w:pPr>
              <w:spacing w:after="0"/>
              <w:rPr>
                <w:sz w:val="24"/>
                <w:szCs w:val="24"/>
                <w:color w:val="auto"/>
              </w:rPr>
            </w:pPr>
          </w:p>
        </w:tc>
      </w:tr>
      <w:tr>
        <w:trPr>
          <w:trHeight w:val="34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13.1**</w:t>
            </w:r>
          </w:p>
        </w:tc>
        <w:tc>
          <w:tcPr>
            <w:tcW w:w="140" w:type="dxa"/>
            <w:vAlign w:val="bottom"/>
          </w:tcPr>
          <w:p>
            <w:pPr>
              <w:spacing w:after="0"/>
              <w:rPr>
                <w:sz w:val="24"/>
                <w:szCs w:val="24"/>
                <w:color w:val="auto"/>
              </w:rPr>
            </w:pPr>
          </w:p>
        </w:tc>
        <w:tc>
          <w:tcPr>
            <w:tcW w:w="87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p>
        </w:tc>
        <w:tc>
          <w:tcPr>
            <w:tcW w:w="160" w:type="dxa"/>
            <w:vAlign w:val="bottom"/>
            <w:gridSpan w:val="2"/>
          </w:tcPr>
          <w:p>
            <w:pPr>
              <w:spacing w:after="0"/>
              <w:rPr>
                <w:sz w:val="24"/>
                <w:szCs w:val="24"/>
                <w:color w:val="auto"/>
              </w:rPr>
            </w:pPr>
          </w:p>
        </w:tc>
      </w:tr>
      <w:tr>
        <w:trPr>
          <w:trHeight w:val="345"/>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13.2**</w:t>
            </w:r>
          </w:p>
        </w:tc>
        <w:tc>
          <w:tcPr>
            <w:tcW w:w="140" w:type="dxa"/>
            <w:vAlign w:val="bottom"/>
          </w:tcPr>
          <w:p>
            <w:pPr>
              <w:spacing w:after="0"/>
              <w:rPr>
                <w:sz w:val="24"/>
                <w:szCs w:val="24"/>
                <w:color w:val="auto"/>
              </w:rPr>
            </w:pPr>
          </w:p>
        </w:tc>
        <w:tc>
          <w:tcPr>
            <w:tcW w:w="89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34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15.1*</w:t>
            </w:r>
          </w:p>
        </w:tc>
        <w:tc>
          <w:tcPr>
            <w:tcW w:w="14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KPMG AG Wirtschaftsprüfungsgesellschaft.</w:t>
            </w:r>
          </w:p>
        </w:tc>
        <w:tc>
          <w:tcPr>
            <w:tcW w:w="4660" w:type="dxa"/>
            <w:vAlign w:val="bottom"/>
            <w:tcBorders>
              <w:top w:val="single" w:sz="8" w:color="0000EE"/>
            </w:tcBorders>
            <w:gridSpan w:val="3"/>
          </w:tcPr>
          <w:p>
            <w:pPr>
              <w:spacing w:after="0"/>
              <w:rPr>
                <w:sz w:val="24"/>
                <w:szCs w:val="24"/>
                <w:color w:val="auto"/>
              </w:rPr>
            </w:pPr>
          </w:p>
        </w:tc>
        <w:tc>
          <w:tcPr>
            <w:tcW w:w="180" w:type="dxa"/>
            <w:vAlign w:val="bottom"/>
            <w:gridSpan w:val="3"/>
          </w:tcPr>
          <w:p>
            <w:pPr>
              <w:spacing w:after="0"/>
              <w:rPr>
                <w:sz w:val="24"/>
                <w:szCs w:val="24"/>
                <w:color w:val="auto"/>
              </w:rPr>
            </w:pPr>
          </w:p>
        </w:tc>
      </w:tr>
      <w:tr>
        <w:trPr>
          <w:trHeight w:val="34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15.2*</w:t>
            </w:r>
          </w:p>
        </w:tc>
        <w:tc>
          <w:tcPr>
            <w:tcW w:w="140" w:type="dxa"/>
            <w:vAlign w:val="bottom"/>
          </w:tcPr>
          <w:p>
            <w:pPr>
              <w:spacing w:after="0"/>
              <w:rPr>
                <w:sz w:val="24"/>
                <w:szCs w:val="24"/>
                <w:color w:val="auto"/>
              </w:rPr>
            </w:pPr>
          </w:p>
        </w:tc>
        <w:tc>
          <w:tcPr>
            <w:tcW w:w="47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EY GmbH &amp; Co. KG Wirtschaftsprüfungsgesellschaft</w:t>
            </w:r>
          </w:p>
        </w:tc>
        <w:tc>
          <w:tcPr>
            <w:tcW w:w="4140" w:type="dxa"/>
            <w:vAlign w:val="bottom"/>
            <w:gridSpan w:val="5"/>
          </w:tcPr>
          <w:p>
            <w:pPr>
              <w:spacing w:after="0"/>
              <w:rPr>
                <w:sz w:val="24"/>
                <w:szCs w:val="24"/>
                <w:color w:val="auto"/>
              </w:rPr>
            </w:pPr>
          </w:p>
        </w:tc>
      </w:tr>
      <w:tr>
        <w:trPr>
          <w:trHeight w:val="345"/>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97.1*</w:t>
            </w:r>
          </w:p>
        </w:tc>
        <w:tc>
          <w:tcPr>
            <w:tcW w:w="140" w:type="dxa"/>
            <w:vAlign w:val="bottom"/>
          </w:tcPr>
          <w:p>
            <w:pPr>
              <w:spacing w:after="0"/>
              <w:rPr>
                <w:sz w:val="24"/>
                <w:szCs w:val="24"/>
                <w:color w:val="auto"/>
              </w:rPr>
            </w:pPr>
          </w:p>
        </w:tc>
        <w:tc>
          <w:tcPr>
            <w:tcW w:w="3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CureVac N.V. Compensation Recoupment Policy</w:t>
            </w:r>
          </w:p>
        </w:tc>
        <w:tc>
          <w:tcPr>
            <w:tcW w:w="5360" w:type="dxa"/>
            <w:vAlign w:val="bottom"/>
            <w:gridSpan w:val="7"/>
          </w:tcPr>
          <w:p>
            <w:pPr>
              <w:spacing w:after="0"/>
              <w:rPr>
                <w:sz w:val="24"/>
                <w:szCs w:val="24"/>
                <w:color w:val="auto"/>
              </w:rPr>
            </w:pPr>
          </w:p>
        </w:tc>
      </w:tr>
      <w:tr>
        <w:trPr>
          <w:trHeight w:val="385"/>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101.INS**</w:t>
            </w:r>
          </w:p>
        </w:tc>
        <w:tc>
          <w:tcPr>
            <w:tcW w:w="8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64"/>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101.SCH**</w:t>
            </w:r>
          </w:p>
        </w:tc>
        <w:tc>
          <w:tcPr>
            <w:tcW w:w="8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5"/>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101.CAL**</w:t>
            </w:r>
          </w:p>
        </w:tc>
        <w:tc>
          <w:tcPr>
            <w:tcW w:w="8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4"/>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101.DEF**</w:t>
            </w:r>
          </w:p>
        </w:tc>
        <w:tc>
          <w:tcPr>
            <w:tcW w:w="8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5"/>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101.LAB**</w:t>
            </w:r>
          </w:p>
        </w:tc>
        <w:tc>
          <w:tcPr>
            <w:tcW w:w="8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64"/>
        </w:trPr>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101.PRE**</w:t>
            </w:r>
          </w:p>
        </w:tc>
        <w:tc>
          <w:tcPr>
            <w:tcW w:w="8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65"/>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w:t>
            </w:r>
          </w:p>
        </w:tc>
        <w:tc>
          <w:tcPr>
            <w:tcW w:w="140" w:type="dxa"/>
            <w:vAlign w:val="bottom"/>
          </w:tcPr>
          <w:p>
            <w:pPr>
              <w:spacing w:after="0"/>
              <w:rPr>
                <w:sz w:val="24"/>
                <w:szCs w:val="24"/>
                <w:color w:val="auto"/>
              </w:rPr>
            </w:pPr>
          </w:p>
        </w:tc>
        <w:tc>
          <w:tcPr>
            <w:tcW w:w="8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ind w:left="340" w:right="320" w:hanging="332"/>
        <w:spacing w:after="0" w:line="261"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excluded from the exhibit because it both (i) is not material and (ii) would likely cause competitive harm to the Registrant if publicly disclosed.</w:t>
      </w:r>
    </w:p>
    <w:p>
      <w:pPr>
        <w:ind w:left="340" w:hanging="332"/>
        <w:spacing w:after="0"/>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9" w:lineRule="exact"/>
        <w:rPr>
          <w:sz w:val="20"/>
          <w:szCs w:val="20"/>
          <w:color w:val="auto"/>
        </w:rPr>
      </w:pPr>
    </w:p>
    <w:p>
      <w:pPr>
        <w:ind w:left="340" w:right="200" w:hanging="332"/>
        <w:spacing w:after="0" w:line="253" w:lineRule="auto"/>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402 of Regulation S-T, the information in these exhibits shall not be deemed to be “filed” for purposes of Section 18 of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360045</wp:posOffset>
            </wp:positionV>
            <wp:extent cx="2486025" cy="8655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3">
                      <a:extLst>
                        <a:ext uri="{28A0092B-C50C-407E-A947-70E740481C1C}"/>
                      </a:extLst>
                    </a:blip>
                    <a:srcRect/>
                    <a:stretch>
                      <a:fillRect/>
                    </a:stretch>
                  </pic:blipFill>
                  <pic:spPr bwMode="auto">
                    <a:xfrm>
                      <a:off x="0" y="0"/>
                      <a:ext cx="248602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31"/>
          <w:szCs w:val="31"/>
          <w:b w:val="1"/>
          <w:bCs w:val="1"/>
          <w:color w:val="auto"/>
        </w:rPr>
        <w:t>CureVac N.V.</w:t>
      </w:r>
    </w:p>
    <w:p>
      <w:pPr>
        <w:spacing w:after="0" w:line="21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31"/>
          <w:szCs w:val="31"/>
          <w:b w:val="1"/>
          <w:bCs w:val="1"/>
          <w:color w:val="auto"/>
        </w:rPr>
        <w:t>Consolidated Financial</w:t>
      </w:r>
    </w:p>
    <w:p>
      <w:pPr>
        <w:spacing w:after="0" w:line="3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31"/>
          <w:szCs w:val="31"/>
          <w:b w:val="1"/>
          <w:bCs w:val="1"/>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As of December 31, 2023 and 2022</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and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160" w:type="dxa"/>
            <w:vAlign w:val="bottom"/>
            <w:gridSpan w:val="9"/>
          </w:tcPr>
          <w:p>
            <w:pPr>
              <w:ind w:left="1060"/>
              <w:spacing w:after="0"/>
              <w:rPr>
                <w:sz w:val="20"/>
                <w:szCs w:val="20"/>
                <w:color w:val="auto"/>
              </w:rPr>
            </w:pPr>
            <w:r>
              <w:rPr>
                <w:rFonts w:ascii="Times New Roman" w:cs="Times New Roman" w:eastAsia="Times New Roman" w:hAnsi="Times New Roman"/>
                <w:sz w:val="14"/>
                <w:szCs w:val="14"/>
                <w:b w:val="1"/>
                <w:bCs w:val="1"/>
                <w:color w:val="auto"/>
              </w:rPr>
              <w:t>Audited Annual Consolidated Financial Statements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20" w:type="dxa"/>
            <w:vAlign w:val="bottom"/>
            <w:tcBorders>
              <w:top w:val="single" w:sz="8" w:color="auto"/>
            </w:tcBorders>
            <w:gridSpan w:val="11"/>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PCAOB ID 1021</w:t>
            </w:r>
            <w:r>
              <w:rPr>
                <w:rFonts w:ascii="Times New Roman" w:cs="Times New Roman" w:eastAsia="Times New Roman" w:hAnsi="Times New Roman"/>
                <w:sz w:val="18"/>
                <w:szCs w:val="18"/>
                <w:color w:val="000000"/>
              </w:rPr>
              <w:t>)</w:t>
            </w:r>
          </w:p>
        </w:tc>
        <w:tc>
          <w:tcPr>
            <w:tcW w:w="2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i w:val="1"/>
                <w:iCs w:val="1"/>
                <w:color w:val="000000"/>
              </w:rPr>
              <w:t>(PCAOB ID 01251)</w:t>
            </w:r>
          </w:p>
        </w:tc>
        <w:tc>
          <w:tcPr>
            <w:tcW w:w="1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3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(Loss) for the Fiscal Years Ended December 31,</w:t>
            </w:r>
          </w:p>
        </w:tc>
        <w:tc>
          <w:tcPr>
            <w:tcW w:w="460" w:type="dxa"/>
            <w:vAlign w:val="bottom"/>
            <w:tcBorders>
              <w:bottom w:val="single" w:sz="8" w:color="CCEEFF"/>
            </w:tcBorders>
            <w:gridSpan w:val="3"/>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40" w:type="dxa"/>
            <w:vAlign w:val="bottom"/>
            <w:gridSpan w:val="12"/>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0000EE"/>
              </w:rPr>
              <w:t>2023, 2022 and 2021</w:t>
            </w:r>
          </w:p>
        </w:tc>
        <w:tc>
          <w:tcPr>
            <w:tcW w:w="10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2023 and 2022</w:t>
            </w:r>
          </w:p>
        </w:tc>
        <w:tc>
          <w:tcPr>
            <w:tcW w:w="1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Fiscal Years Ended December 31, 2023, 2022 and</w:t>
            </w: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tcBorders>
              <w:top w:val="single" w:sz="8" w:color="0000EE"/>
            </w:tcBorders>
            <w:gridSpan w:val="3"/>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0000EE"/>
              </w:rPr>
              <w:t>2021</w:t>
            </w:r>
          </w:p>
        </w:tc>
        <w:tc>
          <w:tcPr>
            <w:tcW w:w="1720" w:type="dxa"/>
            <w:vAlign w:val="bottom"/>
            <w:tcBorders>
              <w:top w:val="single" w:sz="8" w:color="0000EE"/>
            </w:tcBorders>
            <w:shd w:val="clear" w:color="auto" w:fill="CCEEFF"/>
          </w:tcPr>
          <w:p>
            <w:pPr>
              <w:spacing w:after="0"/>
              <w:rPr>
                <w:sz w:val="17"/>
                <w:szCs w:val="17"/>
                <w:color w:val="auto"/>
              </w:rPr>
            </w:pPr>
          </w:p>
        </w:tc>
        <w:tc>
          <w:tcPr>
            <w:tcW w:w="8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0" w:type="dxa"/>
            <w:vAlign w:val="bottom"/>
            <w:tcBorders>
              <w:top w:val="single" w:sz="8" w:color="0000EE"/>
            </w:tcBorders>
            <w:shd w:val="clear" w:color="auto" w:fill="CCEEFF"/>
          </w:tcPr>
          <w:p>
            <w:pPr>
              <w:spacing w:after="0"/>
              <w:rPr>
                <w:sz w:val="17"/>
                <w:szCs w:val="17"/>
                <w:color w:val="auto"/>
              </w:rPr>
            </w:pPr>
          </w:p>
        </w:tc>
        <w:tc>
          <w:tcPr>
            <w:tcW w:w="152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Fiscal Years ended December 31, 2023, 2022 and 2021</w:t>
            </w:r>
          </w:p>
        </w:tc>
        <w:tc>
          <w:tcPr>
            <w:tcW w:w="1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-1242695</wp:posOffset>
            </wp:positionV>
            <wp:extent cx="1289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CureVac N.V.: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CureVac N.V. and subsidiaries (the Company) as of December 31, 2023, the related consolidated statements of operations and comprehensive income (loss), changes in shareholders’ equity, and cash flows for the year ended December 31, 2023, and the related notes (collectively, the consolidated financial statements). In our opinion, the consolidated financial statements present fairly, in all material respects, the financial position of the Company as of December 31, 2023, and the results of its operations and its cash flows for the year ended December 31, 2023, in conformity with International Financial Reporting Standards (IFRS) as issued by the International Accounting Standards Board.</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and our report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24, 2024 expressed an adverse opinion on the effectiveness of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940"/>
        <w:spacing w:after="0" w:line="284" w:lineRule="auto"/>
        <w:rPr>
          <w:sz w:val="20"/>
          <w:szCs w:val="20"/>
          <w:color w:val="auto"/>
        </w:rPr>
      </w:pPr>
      <w:r>
        <w:rPr>
          <w:rFonts w:ascii="Times New Roman" w:cs="Times New Roman" w:eastAsia="Times New Roman" w:hAnsi="Times New Roman"/>
          <w:sz w:val="18"/>
          <w:szCs w:val="18"/>
          <w:i w:val="1"/>
          <w:iCs w:val="1"/>
          <w:color w:val="auto"/>
        </w:rPr>
        <w:t>Identification of distinct performance obligations and determining the over-time revenue recognition method under the GSK collaboration agreements</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discussed in Notes 2 and 3.1 to the consolidated financial statements, the Company entered into collaboration and license agreements with GlaxoSmithKline Biologicals SA (“GSK”) in July 2020, as amended and restated through March 2022. Under these arrangements, the Company recognized revenue in 2023 of EUR 38.3 million. These agreements contain multiple performance obligations and include licenses for the Company’s technology or programs, research and development services, and services or obligations in connection with participation in research or steering committees.</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part of our initial audit, we identified the evaluation of the distinct performance obligations identified by the Company and the determination of the appropriate method for measuring progress as a critical audit matter. Complex auditor judgment was required in evaluating the terms and conditions in the agreements to assess the identification of distinct performance obligations and to assess the most appropriate method to measure progress towards complete satisfaction of the identified performance obligations.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of a certain internal control related to the identification of distinct performance obligations and the determination of the appropriate method to measure progress. We obtained and read the amended and restated collaboration and license agreements and evaluated the terms and conditions of the agreements to assess that the performance obligations within the agreements were completely and accurately identified in accordance with the relevant accounting guidance, and an appropriate measure of progress has been selected that best depicts the transfer of control to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contract termination costs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recognizes provisions for contract termination costs when it is probable that an outflow of resources will be required to settle a present obligation and when the outflow can be reliably estimated. As described in Note 12 to the consolidated financial statements, as of December 31, 2023, the Company recorded provisions in the amount of EUR 37.4 million for the estimated costs that are expected to be required to settle the termination of arrangements that had been concluded with contract manufacturing organizations (CMOs) in prior years.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identified the evaluation of the provisions for terminated CMO contracts as a critical audit matter as the assessment required significant auditor judgment, due to the significant measurement uncertainty in the amount that will ultimately be required to be paid to release the Company from its remaining obligations under the CMO contracts, in particular considering the impact of future arbitration decisions.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a certain internal control related to the evaluation of legal proceedings, including the evaluation of information from external and internal legal counsels. We evaluated the competence of the external legal counsel of the Company. We assessed the provisions by: (1) Inspecting confirmation letters received directly from the Company’s external legal counsels that assessed the likelihood of loss and the amounts that would be paid in the event of loss of the arbitration proceedings, and comparing these assessments and estimates to those made by the Company; (2) Inquiring of the Company’s in-house legal counsel; and (3) Inspecting the latest correspondence between the Company and the CMOs.</w:t>
      </w:r>
    </w:p>
    <w:p>
      <w:pPr>
        <w:spacing w:after="0" w:line="18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 KPMG AG Wirtschaftsprüfungsgesellschaft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Mannheim,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CureVac N.V.:</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CureVac N.V.’s and subsidiaries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statement of financial position of the Company as of December 31, 2023, the related consolidated statements of operations and comprehensive income (loss), changes in shareholders’ equity, and cash flows for the year ended December 31, 2023, and the related notes (collectively, the consolidated financial statements), and our report dated April 24, 2024 expressed an unqualified opinion on those consolidated financial statements.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(i) lack of sufficient accounting and supervisory personnel, (ii) lack of appropriate level of technical accounting training; and (iii) lack of consistent performance of controls over financial reporting has been identified and included in management’s assessment. The material weakness was considered in determining the nature, timing, and extent of audit tests applied in our audit of the 2023 consolidated financial statements, and this report does not affect our report on those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AG Wirtschaftsprüfungsgesellschaft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Mannheim,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Audit Committee of CureVac N.V.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CureVac N.V. (the Company) as of December 31, 2022, the related consolidated statements of operations and other comprehensive income (loss), changes in shareholders’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the results of its operations and its cash flows for each of the two years in the period ended December 31, 2022, in conformity with International Financial Reporting Standards as issued by the International Accounting Standards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 GmbH &amp; Co. KG Wirtschaftsprüfungsgesellschaft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2015 to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Stuttgart,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EUR, except per share amounts)</w:t>
            </w: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44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6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94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96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(238,195)</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(183,993)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(1,743)</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(2,817)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(815,907)</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(62,550)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(100,402)</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(104,178)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release of governmental contract liabilities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574,502</w:t>
            </w:r>
          </w:p>
        </w:tc>
        <w:tc>
          <w:tcPr>
            <w:tcW w:w="180" w:type="dxa"/>
            <w:vAlign w:val="bottom"/>
          </w:tcPr>
          <w:p>
            <w:pPr>
              <w:spacing w:after="0"/>
              <w:rPr>
                <w:sz w:val="18"/>
                <w:szCs w:val="18"/>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(1,210)</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(412,263)</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(249,457)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(10,338)</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(3,707)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(412,498)</w:t>
            </w:r>
          </w:p>
        </w:tc>
        <w:tc>
          <w:tcPr>
            <w:tcW w:w="1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(249,155)</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for the period</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(411,716)</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(249,029)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(260,167)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profit or loss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(411,807)</w:t>
            </w:r>
          </w:p>
        </w:tc>
        <w:tc>
          <w:tcPr>
            <w:tcW w:w="1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(249,134)</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EUR)</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04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0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28,347</w:t>
            </w: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197,941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236,782</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41,843</w:t>
            </w: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0"/>
        </w:trPr>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276,443</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309,868</w:t>
            </w:r>
          </w:p>
        </w:tc>
        <w:tc>
          <w:tcPr>
            <w:tcW w:w="0" w:type="dxa"/>
            <w:vAlign w:val="bottom"/>
          </w:tcPr>
          <w:p>
            <w:pPr>
              <w:spacing w:after="0"/>
              <w:rPr>
                <w:sz w:val="1"/>
                <w:szCs w:val="1"/>
                <w:color w:val="auto"/>
              </w:rPr>
            </w:pPr>
          </w:p>
        </w:tc>
      </w:tr>
      <w:tr>
        <w:trPr>
          <w:trHeight w:val="20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Assets held for sale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24,801</w:t>
            </w: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Trade receivables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assets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financial assets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23,763</w:t>
            </w: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tax assets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495,797</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402,452</w:t>
            </w:r>
          </w:p>
        </w:tc>
        <w:tc>
          <w:tcPr>
            <w:tcW w:w="0" w:type="dxa"/>
            <w:vAlign w:val="bottom"/>
          </w:tcPr>
          <w:p>
            <w:pPr>
              <w:spacing w:after="0"/>
              <w:rPr>
                <w:sz w:val="1"/>
                <w:szCs w:val="1"/>
                <w:color w:val="auto"/>
              </w:rPr>
            </w:pPr>
          </w:p>
        </w:tc>
      </w:tr>
      <w:tr>
        <w:trPr>
          <w:trHeight w:val="210"/>
        </w:trPr>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584,029</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478,381</w:t>
            </w:r>
          </w:p>
        </w:tc>
        <w:tc>
          <w:tcPr>
            <w:tcW w:w="0" w:type="dxa"/>
            <w:vAlign w:val="bottom"/>
          </w:tcPr>
          <w:p>
            <w:pPr>
              <w:spacing w:after="0"/>
              <w:rPr>
                <w:sz w:val="1"/>
                <w:szCs w:val="1"/>
                <w:color w:val="auto"/>
              </w:rPr>
            </w:pPr>
          </w:p>
        </w:tc>
      </w:tr>
      <w:tr>
        <w:trPr>
          <w:trHeight w:val="209"/>
        </w:trPr>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860,472</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788,249</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Issued capital</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reserve</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1,817,287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2,056,110</w:t>
            </w: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Treasury Shares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(1,305,814)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(1,565,981)</w:t>
            </w: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7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533,253</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516,941</w:t>
            </w:r>
          </w:p>
        </w:tc>
        <w:tc>
          <w:tcPr>
            <w:tcW w:w="0" w:type="dxa"/>
            <w:vAlign w:val="bottom"/>
          </w:tcPr>
          <w:p>
            <w:pPr>
              <w:spacing w:after="0"/>
              <w:rPr>
                <w:sz w:val="1"/>
                <w:szCs w:val="1"/>
                <w:color w:val="auto"/>
              </w:rPr>
            </w:pPr>
          </w:p>
        </w:tc>
      </w:tr>
      <w:tr>
        <w:trPr>
          <w:trHeight w:val="21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37,106</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Contract liabilities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170,994</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84,919</w:t>
            </w:r>
          </w:p>
        </w:tc>
        <w:tc>
          <w:tcPr>
            <w:tcW w:w="0" w:type="dxa"/>
            <w:vAlign w:val="bottom"/>
          </w:tcPr>
          <w:p>
            <w:pPr>
              <w:spacing w:after="0"/>
              <w:rPr>
                <w:sz w:val="1"/>
                <w:szCs w:val="1"/>
                <w:color w:val="auto"/>
              </w:rPr>
            </w:pPr>
          </w:p>
        </w:tc>
      </w:tr>
      <w:tr>
        <w:trPr>
          <w:trHeight w:val="21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48,033</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37,400</w:t>
            </w:r>
          </w:p>
        </w:tc>
        <w:tc>
          <w:tcPr>
            <w:tcW w:w="0" w:type="dxa"/>
            <w:vAlign w:val="bottom"/>
          </w:tcPr>
          <w:p>
            <w:pPr>
              <w:spacing w:after="0"/>
              <w:rPr>
                <w:sz w:val="1"/>
                <w:szCs w:val="1"/>
                <w:color w:val="auto"/>
              </w:rPr>
            </w:pPr>
          </w:p>
        </w:tc>
      </w:tr>
      <w:tr>
        <w:trPr>
          <w:trHeight w:val="216"/>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50,717</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Contract liabilities</w:t>
            </w:r>
          </w:p>
        </w:tc>
        <w:tc>
          <w:tcPr>
            <w:tcW w:w="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34,759</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44,580</w:t>
            </w:r>
          </w:p>
        </w:tc>
        <w:tc>
          <w:tcPr>
            <w:tcW w:w="0" w:type="dxa"/>
            <w:vAlign w:val="bottom"/>
          </w:tcPr>
          <w:p>
            <w:pPr>
              <w:spacing w:after="0"/>
              <w:rPr>
                <w:sz w:val="1"/>
                <w:szCs w:val="1"/>
                <w:color w:val="auto"/>
              </w:rPr>
            </w:pPr>
          </w:p>
        </w:tc>
      </w:tr>
      <w:tr>
        <w:trPr>
          <w:trHeight w:val="20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156,225</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186,389</w:t>
            </w:r>
          </w:p>
        </w:tc>
        <w:tc>
          <w:tcPr>
            <w:tcW w:w="0" w:type="dxa"/>
            <w:vAlign w:val="bottom"/>
          </w:tcPr>
          <w:p>
            <w:pPr>
              <w:spacing w:after="0"/>
              <w:rPr>
                <w:sz w:val="1"/>
                <w:szCs w:val="1"/>
                <w:color w:val="auto"/>
              </w:rPr>
            </w:pPr>
          </w:p>
        </w:tc>
      </w:tr>
      <w:tr>
        <w:trPr>
          <w:trHeight w:val="210"/>
        </w:trPr>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327,219</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271,308</w:t>
            </w:r>
          </w:p>
        </w:tc>
        <w:tc>
          <w:tcPr>
            <w:tcW w:w="0" w:type="dxa"/>
            <w:vAlign w:val="bottom"/>
          </w:tcPr>
          <w:p>
            <w:pPr>
              <w:spacing w:after="0"/>
              <w:rPr>
                <w:sz w:val="1"/>
                <w:szCs w:val="1"/>
                <w:color w:val="auto"/>
              </w:rPr>
            </w:pPr>
          </w:p>
        </w:tc>
      </w:tr>
      <w:tr>
        <w:trPr>
          <w:trHeight w:val="210"/>
        </w:trPr>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860,472</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788,249</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40" w:type="dxa"/>
            <w:vAlign w:val="bottom"/>
          </w:tcPr>
          <w:p>
            <w:pPr>
              <w:spacing w:after="0"/>
              <w:rPr>
                <w:sz w:val="13"/>
                <w:szCs w:val="13"/>
                <w:color w:val="auto"/>
              </w:rPr>
            </w:pPr>
          </w:p>
        </w:tc>
        <w:tc>
          <w:tcPr>
            <w:tcW w:w="9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4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4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EUR)</w:t>
            </w:r>
          </w:p>
        </w:tc>
        <w:tc>
          <w:tcPr>
            <w:tcW w:w="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40" w:type="dxa"/>
            <w:vAlign w:val="bottom"/>
          </w:tcPr>
          <w:p>
            <w:pPr>
              <w:spacing w:after="0"/>
              <w:rPr>
                <w:sz w:val="15"/>
                <w:szCs w:val="15"/>
                <w:color w:val="auto"/>
              </w:rPr>
            </w:pPr>
          </w:p>
        </w:tc>
        <w:tc>
          <w:tcPr>
            <w:tcW w:w="7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6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21,655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1,334,704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(645,069)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(411,716)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(411,716)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(411,716)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 capital (net of transaction costs)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4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22,454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1,728,658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(1,056,785)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40" w:type="dxa"/>
            <w:vAlign w:val="bottom"/>
          </w:tcPr>
          <w:p>
            <w:pPr>
              <w:spacing w:after="0"/>
              <w:rPr>
                <w:sz w:val="24"/>
                <w:szCs w:val="24"/>
                <w:color w:val="auto"/>
              </w:rPr>
            </w:pPr>
          </w:p>
        </w:tc>
        <w:tc>
          <w:tcPr>
            <w:tcW w:w="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24"/>
                <w:szCs w:val="24"/>
                <w:color w:val="auto"/>
              </w:rPr>
            </w:pPr>
          </w:p>
        </w:tc>
        <w:tc>
          <w:tcPr>
            <w:tcW w:w="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24"/>
                <w:szCs w:val="24"/>
                <w:color w:val="auto"/>
              </w:rPr>
            </w:pPr>
          </w:p>
        </w:tc>
        <w:tc>
          <w:tcPr>
            <w:tcW w:w="10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EUR)</w:t>
            </w:r>
          </w:p>
        </w:tc>
        <w:tc>
          <w:tcPr>
            <w:tcW w:w="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9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40" w:type="dxa"/>
            <w:vAlign w:val="bottom"/>
          </w:tcPr>
          <w:p>
            <w:pPr>
              <w:spacing w:after="0"/>
              <w:rPr>
                <w:sz w:val="15"/>
                <w:szCs w:val="15"/>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6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22,454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1,728,658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(1,056,785)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(249,029)</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(249,029)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(249,029)</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share capital (net of transaction costs)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issuances and contingent consideration from business</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combination</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of options / Settlement of share-based payment awards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(3,440)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1,817,287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(1,305,814)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40" w:type="dxa"/>
            <w:vAlign w:val="bottom"/>
          </w:tcPr>
          <w:p>
            <w:pPr>
              <w:spacing w:after="0"/>
              <w:rPr>
                <w:sz w:val="24"/>
                <w:szCs w:val="24"/>
                <w:color w:val="auto"/>
              </w:rPr>
            </w:pPr>
          </w:p>
        </w:tc>
        <w:tc>
          <w:tcPr>
            <w:tcW w:w="9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24"/>
                <w:szCs w:val="24"/>
                <w:color w:val="auto"/>
              </w:rPr>
            </w:pPr>
          </w:p>
        </w:tc>
        <w:tc>
          <w:tcPr>
            <w:tcW w:w="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24"/>
                <w:szCs w:val="24"/>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EUR)</w:t>
            </w:r>
          </w:p>
        </w:tc>
        <w:tc>
          <w:tcPr>
            <w:tcW w:w="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9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40" w:type="dxa"/>
            <w:vAlign w:val="bottom"/>
          </w:tcPr>
          <w:p>
            <w:pPr>
              <w:spacing w:after="0"/>
              <w:rPr>
                <w:sz w:val="15"/>
                <w:szCs w:val="15"/>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6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1,817,287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(1,305,814)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(260,167)</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(260,167)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(260,167)</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share capital (net of transaction costs)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232,387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share-based payment awards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26,879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2,056,110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(1,565,981)</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516,941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EUR)</w:t>
            </w:r>
          </w:p>
        </w:tc>
        <w:tc>
          <w:tcPr>
            <w:tcW w:w="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86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880" w:type="dxa"/>
            <w:vAlign w:val="bottom"/>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780" w:type="dxa"/>
            <w:vAlign w:val="bottom"/>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(412,498)</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(249,155)</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(259,969)</w:t>
            </w:r>
          </w:p>
        </w:tc>
        <w:tc>
          <w:tcPr>
            <w:tcW w:w="0" w:type="dxa"/>
            <w:vAlign w:val="bottom"/>
          </w:tcPr>
          <w:p>
            <w:pPr>
              <w:spacing w:after="0"/>
              <w:rPr>
                <w:sz w:val="1"/>
                <w:szCs w:val="1"/>
                <w:color w:val="auto"/>
              </w:rPr>
            </w:pPr>
          </w:p>
        </w:tc>
      </w:tr>
      <w:tr>
        <w:trPr>
          <w:trHeight w:val="209"/>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loss before tax to net cash flows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income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(10,103)</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15,674</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of property, plant and equipment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Impairment of inventory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185,832</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from release of governmental contract liabilities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(574,502)</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of provisions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(58,799)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Working capital changes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 (increase) in asset held for sale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 / (increase) in trade receivables and contract assets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(16,682)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 (increase) in inventory</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(227,460)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(47,851)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(47,940)</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 / (increase) in prepaid expenses and other assets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(3,118)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Receipts from grants from government agencies and similar bodies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 / increase in trade and other payables and contract liabilities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179,316</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(96,186)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(29,984)</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 increase in other current financial and other liabilities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 / (increase) in deferred taxes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paid</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received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paid</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(9,785)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flow provided by (used in) operating activities</w:t>
            </w:r>
          </w:p>
        </w:tc>
        <w:tc>
          <w:tcPr>
            <w:tcW w:w="7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(733,128)</w:t>
            </w:r>
          </w:p>
        </w:tc>
        <w:tc>
          <w:tcPr>
            <w:tcW w:w="18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(286,177)</w:t>
            </w:r>
          </w:p>
        </w:tc>
        <w:tc>
          <w:tcPr>
            <w:tcW w:w="1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(267,887)</w:t>
            </w:r>
          </w:p>
        </w:tc>
        <w:tc>
          <w:tcPr>
            <w:tcW w:w="0" w:type="dxa"/>
            <w:vAlign w:val="bottom"/>
          </w:tcPr>
          <w:p>
            <w:pPr>
              <w:spacing w:after="0"/>
              <w:rPr>
                <w:sz w:val="1"/>
                <w:szCs w:val="1"/>
                <w:color w:val="auto"/>
              </w:rPr>
            </w:pPr>
          </w:p>
        </w:tc>
      </w:tr>
      <w:tr>
        <w:trPr>
          <w:trHeight w:val="197"/>
        </w:trPr>
        <w:tc>
          <w:tcPr>
            <w:tcW w:w="6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(124,222)</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(3,679)</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subsidiary, net of cash acquired</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 provided by (used in) investing activities</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(127,901)</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(93,499)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(55,200)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lease obligations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the issuance of shares (net of transaction costs)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404,062</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235,840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on / proceeds from treasury shares/exercise of options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(30,915)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at-the-market offering program (net of transaction costs)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the EIB loan</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(25,000)</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flow provided by financing activities</w:t>
            </w:r>
          </w:p>
        </w:tc>
        <w:tc>
          <w:tcPr>
            <w:tcW w:w="7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344,964</w:t>
            </w:r>
          </w:p>
        </w:tc>
        <w:tc>
          <w:tcPr>
            <w:tcW w:w="1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63,173</w:t>
            </w:r>
          </w:p>
        </w:tc>
        <w:tc>
          <w:tcPr>
            <w:tcW w:w="1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230,893</w:t>
            </w:r>
          </w:p>
        </w:tc>
        <w:tc>
          <w:tcPr>
            <w:tcW w:w="0" w:type="dxa"/>
            <w:vAlign w:val="bottom"/>
          </w:tcPr>
          <w:p>
            <w:pPr>
              <w:spacing w:after="0"/>
              <w:rPr>
                <w:sz w:val="1"/>
                <w:szCs w:val="1"/>
                <w:color w:val="auto"/>
              </w:rPr>
            </w:pPr>
          </w:p>
        </w:tc>
      </w:tr>
      <w:tr>
        <w:trPr>
          <w:trHeight w:val="196"/>
        </w:trPr>
        <w:tc>
          <w:tcPr>
            <w:tcW w:w="6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(516,065)</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(316,503)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(92,194)</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currency translation gains on cash and cash equivalents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1,322,593</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811,464</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495,797</w:t>
            </w:r>
          </w:p>
        </w:tc>
        <w:tc>
          <w:tcPr>
            <w:tcW w:w="0" w:type="dxa"/>
            <w:vAlign w:val="bottom"/>
          </w:tcPr>
          <w:p>
            <w:pPr>
              <w:spacing w:after="0"/>
              <w:rPr>
                <w:sz w:val="1"/>
                <w:szCs w:val="1"/>
                <w:color w:val="auto"/>
              </w:rPr>
            </w:pPr>
          </w:p>
        </w:tc>
      </w:tr>
      <w:tr>
        <w:trPr>
          <w:trHeight w:val="21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811,464</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495,797</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402,452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Corporate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CureVac N.V. (CureVac or CV or the Company) is the parent company of CureVac Group (Group) and, along with its subsidiaries, is a global biopharmaceutical company developing a new class of transformative medicines based on the messenger ribonucleic acid (mRNA) that has the potential to improve the lives of people.</w:t>
      </w:r>
    </w:p>
    <w:p>
      <w:pPr>
        <w:spacing w:after="0" w:line="176"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With in - house manufacturing capabilities and expertise we are an integrated biopharmaceutical company. We consider our manufacturing process an important part of our strategy that allows us to continuously improve our technology platform and maintain flexibility in clinical development and allow us to manufacture potential future commercial products. The close interaction of our technical development and research teams enables us to rapidly implement innovations and robustness to the manufacturing process.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were incorporated pursuant to the laws of the Netherlands as CureVac B.V. on April 7, 2020 to become a holding company for CureVac AG prior to our initial public offering. Pursuant to the terms of a corporate reorganization (the “Corporate Reorganization”), all of the outstanding shares in CureVac AG were contributed and transferred to CureVac B.V. in a capital increase in exchange for common shares of CureVac B.V. and, as a result, CureVac AG became a wholly-owned subsidiary of CureVac B.V. and then current shareholders of CureVac AG became the shareholders of CureVac B.V. Immediately following such exchange, and prior to the listing of our common shares on Nasdaq, we converted into a public company (naamloze vennootschap) under Dutch law pursuant to a Dutch notarial deed of amendment and conversion, following which our legal name became CureVac N.V. As part of our Corporate Reorganization, outstanding shares of all series in CureVac AG were exchanged for common shares in CureVac N.V.</w:t>
      </w:r>
    </w:p>
    <w:p>
      <w:pPr>
        <w:spacing w:after="0" w:line="19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are registered in the commercial register at the Netherlands Chamber of Commerce under company number 77798031 (RSIN 861149336). Our principal executive offices are located at Friedrich-Miescher-Strasse 15, 72076 Tübingen, Germany.</w:t>
      </w:r>
    </w:p>
    <w:p>
      <w:pPr>
        <w:spacing w:after="0" w:line="16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During fiscal 2023, dievini Hopp BioTech holding GmbH &amp; Co. KG (dievini), which is an investment company dedicated to the support of companies in health and life sciences, was the largest shareholder of CureVac. Together with its related parties, dievini held shares and voting rights in CureVac between appr. 37 – 43 % (prior year: 43 – 46 %) during that period. dievini is thus considered to be the de facto parent of the Group. Dietmar Hopp, Daniel Hopp and Oliver Hopp are the ultimate controlling persons (of the main shareholders) of dievini, and, therefore, control the voting and investment decisions of dievini.</w:t>
      </w:r>
    </w:p>
    <w:p>
      <w:pPr>
        <w:spacing w:after="0" w:line="179" w:lineRule="exact"/>
        <w:rPr>
          <w:sz w:val="20"/>
          <w:szCs w:val="20"/>
          <w:color w:val="auto"/>
        </w:rPr>
      </w:pPr>
    </w:p>
    <w:p>
      <w:pPr>
        <w:ind w:right="8200" w:firstLine="8"/>
        <w:spacing w:after="0" w:line="503" w:lineRule="auto"/>
        <w:tabs>
          <w:tab w:leader="none" w:pos="18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Basis of preparation</w:t>
      </w: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International Financial Reporting Standards (IFRS) as issued by the International Accounting Standards Board (IASB) and were authorized by the Management Board for presentation to the Supervisory Board on April 23, 2024. The Group’s consolidated financial statements are presented in Euros (EUR), which is also the parent company’s functional currency. Unless otherwise stated, the numbers are rounded to thousands of Euros, except per share amounts.Due to rounding, differences may arise when individual amounts or percentages are added together.</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Group has prepared the consolidated financial statements on the basis that it will continue to operate as a going concern. No commercial products have been marketed yet as CureVac is still in the development phase. Hence, the Group is raising capital to perform research &amp; development activities and to advance its technologies up to a successful development and regulatory approval of its products. To reach its development and commercialization objectives, the Group will seek additional funding through collaboration or licensing agreements or other financing activities. While the Group’s business projections could be unfavorably affected by being unable to obtain funding or enter into collaboration or license agreements on acceptable terms, CureVac’s cash and cash equivalents will be sufficient to fund operating expenses and capital expenditure requirements for at least 12 months from the issuance date of the financial statements. This anticipates, that for the foreseeable future the Group will continue to operate. Thus, no adjustments to the consolidated financial statements have been made related to the Group not being able to continue as a going concern.</w:t>
      </w:r>
    </w:p>
    <w:p>
      <w:pPr>
        <w:spacing w:after="0" w:line="18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Details of the Group’s accounting policies, including changes thereto are described below. The accounting policies have been consistently applied to all years presented unless otherwise stated.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Subsidiaries are entities controlled by the Group. The Group “controls” an entity when it is exposed, or has rights, to variable returns from its involvement with the investee and has the ability to affect those returns through its power over the investee.</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Company’s wholly-owned subsidiaries CureVac SE (until September 26, 2022: CureVac AG, Tuebingen, Germany), CureVac Inc. (Boston, Massachusetts, USA), CureVac Manufacturing GmbH (prior years: CureVac Real Estate GmbH, Tuebingen, Germany), CureVac Corporate Services GmbH (Tuebingen, Germany), CureVac RNA Printer GmbH (Tuebingen, Germany), CureVac Swiss AG (Basel, Switzerland – incorporated in 2021) and CureVac Belgium SA (Ottignies-Louvain-la-Neuve, Belgium – incorporated in 2022). Effective July 1, 2022, we acquired Frame Pharmaceuticals B.V., Amsterdam, Netherlands (Frame Pharmaceuticals), which was renamed to CureVac Netherlands B.V.; refer to Note 20 for additional information about this business combination.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fiscal year of all Group entities corresponds to the calendar year ending December 31.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goodwill</w:t>
      </w:r>
    </w:p>
    <w:p>
      <w:pPr>
        <w:spacing w:after="0" w:line="21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Group determines that it has acquired a business when the acquired set of activities and assets include an input and a substantive process that together significantly contribute to the ability to create outputs.</w:t>
      </w:r>
    </w:p>
    <w:p>
      <w:pPr>
        <w:spacing w:after="0" w:line="13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Any contingent consideration to be transferred by the acquirer is recognized at fair value at the acquisition date. Contingent consideration classified as equity is not remeasured and its subsequent settlement is accounted for within equity. Contingent consideration classified as an asset or liability that is a financial instrument and within the scope of IFRS 9 Financial Instruments, is measured at fair value with the changes in fair value recognized in the statement of operations in accordance with IFRS 9. Other contingent consideration that is not within the scope of IFRS 9 is measured at fair value at each reporting date with changes in fair value recognized in the statement of operations.</w:t>
      </w:r>
    </w:p>
    <w:p>
      <w:pPr>
        <w:spacing w:after="0" w:line="17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Goodwill is initially measured at cost (being the excess of the aggregate of the consideration transferred over the fair value of net identifiable assets acquired and liabilities assumed).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initial recognition, goodwill is measured at cost less any accumulated impairment losses.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1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Revenue from the sale of products and services is recognized when the Group transfers control to the customer. Control generally transfers when the customer gains the ability to direct the use of and obtain substantially all of the remaining benefits from the good or service. If the contract contains more than one performance obligation, the consideration which the Group expects to receive is allocated to each of the performance obligations, using the relative stand-along selling price method. Revenue is recognized at the amount of consideration that the Group is expected to receive in exchange for these goods or services.</w:t>
      </w:r>
    </w:p>
    <w:p>
      <w:pPr>
        <w:spacing w:after="0" w:line="17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Group primarily generates revenue from its licensing and development agreements with its customers, which include collaboration partners for the development of mRNA medicines against a variety of targets in diseases and conditions. These arrangements contain multiple contractual promises, including (i) licenses, or options to obtain licenses to the Group’s mRNA technology, as well as related research and development technology services, (ii) delivery of products, and (iii) research and development services. Such arrangements provide for various types of payments to the Group, including upfront fees, funding of research and development services, payment for delivered products, development, regulatory and commercial milestone payments, license fees, and royalties on product sales, all of which may be satisfied at different points in time. Outlicensing agreements may be entered into with or without any further significant contractual obligations.</w:t>
      </w:r>
    </w:p>
    <w:p>
      <w:pPr>
        <w:spacing w:after="0" w:line="192"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Goods or services promised in collaborative arrangements are accounted for as separate performance obligations if such promises are distinct (i.e., if the customer can benefit from the good or service on its own or together with other resources readily available to it and if the promise is separately identifiable from other promises in the contract).</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determining whether contractual promises are separately identifiable, the Group considers whether:</w:t>
      </w:r>
    </w:p>
    <w:p>
      <w:pPr>
        <w:spacing w:after="0" w:line="212" w:lineRule="exact"/>
        <w:rPr>
          <w:sz w:val="20"/>
          <w:szCs w:val="20"/>
          <w:color w:val="auto"/>
        </w:rPr>
      </w:pPr>
    </w:p>
    <w:p>
      <w:pPr>
        <w:ind w:left="1000" w:right="620" w:hanging="317"/>
        <w:spacing w:after="0" w:line="282" w:lineRule="auto"/>
        <w:tabs>
          <w:tab w:leader="none" w:pos="1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provides a significant service of integrating the goods or services with other goods or services that represent the combined output or outputs for which the other party has contracted.</w:t>
      </w:r>
    </w:p>
    <w:p>
      <w:pPr>
        <w:spacing w:after="0" w:line="148" w:lineRule="exact"/>
        <w:rPr>
          <w:rFonts w:ascii="Times New Roman" w:cs="Times New Roman" w:eastAsia="Times New Roman" w:hAnsi="Times New Roman"/>
          <w:sz w:val="18"/>
          <w:szCs w:val="18"/>
          <w:color w:val="auto"/>
        </w:rPr>
      </w:pPr>
    </w:p>
    <w:p>
      <w:pPr>
        <w:ind w:left="1000" w:right="400" w:hanging="317"/>
        <w:spacing w:after="0" w:line="282" w:lineRule="auto"/>
        <w:tabs>
          <w:tab w:leader="none" w:pos="1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the goods or services significantly modifies or customizes one or more of the other goods or services promised in the agreement.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goods or services the Group promised to transfer or to provide are highly interdependent or highly interrelated.</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Based on these criteria, management evaluates whether the intellectual property (IP) licenses granted, and to which further research and development activities may apply under the terms of a collaboration agreement, are distinct from the unperformed obligations to the collaboration partner, considering the relevant facts and circumstances of each arrangement. Factors considered in this determination include the nature of the IP license, the stage of development of the IP license granted, the research capabilities of the partner, and the availability of mRNA technology research expertise in the general marketplace.</w:t>
      </w:r>
    </w:p>
    <w:p>
      <w:pPr>
        <w:spacing w:after="0" w:line="1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When an IP license is not considered to be distinct from research services, the Group generally recognizes revenue, including any upfront payment, attributable to the license on a straight-line basis, which reflects the performance of services by the Group towards satisfaction of the obligation, over the contractual or estimated performance period, which is typically from the effective date of the related collaboration agreement through to the estimated date of Marketing Authorization Application (MAA) or Biologics License Application (BLA) for a product developed under the agreement. The determination of the estimated date of MAA or BLA is a significant estimate given the uncertainty inherent in developing innovative pharmaceutical products and is based upon development plans with the customer, which are subject to change, clinical trials, and approval of regulatory authorities Changes in the estimated date of market entry could have a material impact on the amount and timing of revenue the Group records in future periods.</w:t>
      </w:r>
    </w:p>
    <w:p>
      <w:pPr>
        <w:spacing w:after="0" w:line="17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Sometimes an IP license is granted together with research and development services relating to the technology. In this case, the services are not considered distinct from the licenses and form a bundle for which revenue is recognized on a straight line basis over the time of services, as the services are determined predominant.</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When an IP license is considered to be distinct, the Group determines whether it provides the customer with either (1) a right to access the IP throughout the license period (for which revenue is recognized over the license period) or (2) a right to use the IP as it exists at the point in time that the license is granted (for which revenue is recognized at a point in time where the customer can first use and benefit from the license).</w:t>
      </w:r>
    </w:p>
    <w:p>
      <w:pPr>
        <w:spacing w:after="0" w:line="15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Some of the collaboration arrangements include rights and obligations that are considered outside the scope of a customer-vendor relationship as they are more akin to the activities that joint operators perform. CureVac decided that the nature of these types of activities is best reflected by applying joint arrangements accounting which, as the main effect, usually leads to revenue recognition at a later point in time.</w:t>
      </w:r>
    </w:p>
    <w:p>
      <w:pPr>
        <w:spacing w:after="0" w:line="16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the transaction price in an agreement includes a variable amount, the Group estimates the amount of consideration to which the Group will be entitled in exchange for transferring the goods to the customer. At contract inception, the variable consideration is estimated based on the most likely amount of consideration expected from the transaction and constrained until it is highly probable that a significant revenue reversal in the amount of cumulative revenue recognized will not occur when the associated uncertainty with respect to the variable consideration is subsequently resolved. The estimated deferred contract liability is updated at each reporting date to reflect the current facts and circumstances.</w:t>
      </w:r>
    </w:p>
    <w:p>
      <w:pPr>
        <w:spacing w:after="0" w:line="17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Collaboration agreements may also provide a customer with the option to acquire additional goods or services. In these cases, the Group determines as to whether the customer was granted a material right.</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Product sales related to collaboration agreements include RNA products and are recognized over time as goods are produced because such goods have no alternative use. Otherwise, revenue for product sales is recognized at a point in time. In 2023 revenue for produced LNP batches were recognized on a point-in-time basis. No product revenue was recognized in 2022 and 2021. Revenue from certain research and development services, delivered as a distinct performance obligation under the collaboration agreements, are recognized over time as the services are provided.</w:t>
      </w:r>
    </w:p>
    <w:p>
      <w:pPr>
        <w:spacing w:after="0" w:line="17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 receivable is recognized when the consideration is unconditional and only the passage of time is required before payment is due. Amounts received prior to satisfying the above revenue recognition criteria are recorded as contract liability in the statements of financial position.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may present the following contract balances:</w:t>
      </w:r>
    </w:p>
    <w:p>
      <w:pPr>
        <w:spacing w:after="0" w:line="225" w:lineRule="exact"/>
        <w:rPr>
          <w:sz w:val="20"/>
          <w:szCs w:val="20"/>
          <w:color w:val="auto"/>
        </w:rPr>
      </w:pPr>
    </w:p>
    <w:p>
      <w:pPr>
        <w:ind w:left="680" w:right="820" w:hanging="321"/>
        <w:spacing w:after="0" w:line="282" w:lineRule="auto"/>
        <w:tabs>
          <w:tab w:leader="none" w:pos="6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 — Represents the Group’s right to consideration in exchange for goods or services that the Group has transferred to the customer when that right is conditioned on something other than the passage of time</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 — Represents the Group’s right to an amount of consideration that is unconditional (i.e., only the passage of time is required before payment of the consideration is due)</w:t>
      </w:r>
    </w:p>
    <w:p>
      <w:pPr>
        <w:spacing w:after="0" w:line="161"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liabilities — Represents the Group’s obligations to transfer goods or services to a customer for which the Group has received consideration (or consideration is due) from the customer</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Group recognizes revenue from contracts with customers relating to its core business. All other operating proceeds are presented as other operating income in the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from government agencies and similar bodies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Group receives grants from government agencies and similar bodies for the active participation in specific research and development projects. Each grant agreement is assessed to determine whether there are elements of the supply of products from the group to the grantor that are recognized separately from the grant. For the supply of products, the standalone selling price is determined by reference to observed prices with other customers. The grants are recognized when there is reasonable assurance that the grant will be received and all grant conditions will be met. If grant funds are received prior to qualifying expenses being incurred or assets purchased, they are recorded as a liability in other liabilities. If the funds reimburse expenses, the liability is amortized into other operating income on a systematic basis over the period in which the corresponding expenses are incurred. If the funds reimburse purchased assets, the liability is reduced with a corresponding amount deducted from the asset’s carrying amount upon recording of the qualified asset. According to the terms of the grants, grantors generally have the right to audit qualifying expenses submitted by the Group.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 financial instrument is any contract that gives rise to a financial asset of one entity and a financial liability or equity instrument of another entity.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Financial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recognition and measurement</w:t>
      </w:r>
    </w:p>
    <w:p>
      <w:pPr>
        <w:spacing w:after="0" w:line="229"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are classified, at initial recognition, as subsequently measured at amortized cost, fair value through other comprehensive income (OCI), and fair value through profit or loss.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classification of financial assets at initial recognition depends on the financial asset’s contractual cash flow characteristics and the Group’s business model for managing them. The Group initially measures a financial asset at its fair value plus, in the case of a financial asset not at fair value through profit or loss, transaction costs. Trade receivables that do not contain a significant financing component are measured at the transaction price determined under IFRS 15.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measurement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subsequent measurement, financial assets are classified into four categories:</w:t>
      </w:r>
    </w:p>
    <w:p>
      <w:pPr>
        <w:spacing w:after="0" w:line="225" w:lineRule="exact"/>
        <w:rPr>
          <w:sz w:val="20"/>
          <w:szCs w:val="20"/>
          <w:color w:val="auto"/>
        </w:rPr>
      </w:pPr>
    </w:p>
    <w:p>
      <w:pPr>
        <w:ind w:left="680" w:hanging="321"/>
        <w:spacing w:after="0"/>
        <w:tabs>
          <w:tab w:leader="none" w:pos="6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at amortized cost (debt instruments);</w:t>
      </w:r>
    </w:p>
    <w:p>
      <w:pPr>
        <w:spacing w:after="0" w:line="225" w:lineRule="exact"/>
        <w:rPr>
          <w:rFonts w:ascii="Times New Roman" w:cs="Times New Roman" w:eastAsia="Times New Roman" w:hAnsi="Times New Roman"/>
          <w:sz w:val="18"/>
          <w:szCs w:val="18"/>
          <w:color w:val="auto"/>
        </w:rPr>
      </w:pPr>
    </w:p>
    <w:p>
      <w:pPr>
        <w:ind w:left="680" w:right="720" w:hanging="321"/>
        <w:spacing w:after="0" w:line="282" w:lineRule="auto"/>
        <w:tabs>
          <w:tab w:leader="none" w:pos="6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at fair value through other comprehensive income with recycling of cumulative gains and losses (debt instruments);</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designated at fair value through other comprehensive income with no recycling of cumulative gains and losses upon derecognition (equity instruments);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at fair value through profit or loss.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fiscal 2021, 2022, and 2023, the Group only had the following financial assets to be measured at amortized cost:</w:t>
      </w:r>
    </w:p>
    <w:p>
      <w:pPr>
        <w:spacing w:after="0" w:line="225" w:lineRule="exact"/>
        <w:rPr>
          <w:sz w:val="20"/>
          <w:szCs w:val="20"/>
          <w:color w:val="auto"/>
        </w:rPr>
      </w:pPr>
    </w:p>
    <w:p>
      <w:pPr>
        <w:ind w:left="680" w:hanging="321"/>
        <w:spacing w:after="0"/>
        <w:tabs>
          <w:tab w:leader="none" w:pos="6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assets</w:t>
      </w:r>
    </w:p>
    <w:p>
      <w:pPr>
        <w:spacing w:after="0" w:line="239" w:lineRule="exact"/>
        <w:rPr>
          <w:sz w:val="20"/>
          <w:szCs w:val="20"/>
          <w:color w:val="auto"/>
        </w:rPr>
      </w:pPr>
    </w:p>
    <w:p>
      <w:pPr>
        <w:jc w:val="center"/>
        <w:ind w:right="480"/>
        <w:spacing w:after="0" w:line="282" w:lineRule="auto"/>
        <w:rPr>
          <w:sz w:val="20"/>
          <w:szCs w:val="20"/>
          <w:color w:val="auto"/>
        </w:rPr>
      </w:pPr>
      <w:r>
        <w:rPr>
          <w:rFonts w:ascii="Times New Roman" w:cs="Times New Roman" w:eastAsia="Times New Roman" w:hAnsi="Times New Roman"/>
          <w:sz w:val="18"/>
          <w:szCs w:val="18"/>
          <w:color w:val="auto"/>
        </w:rPr>
        <w:t>Financial assets at amortized cost are subsequently measured using the effective interest (EIR) method and are subject to impairment. Gains and losses are recognized in the statement of operations when the asset is derecognized, modified, or impaired.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financial assets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An allowance for expected credit losses (ECLs) is recognized for all debt instruments not held at fair value through profit or loss including contract assets.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credit exposures for which there has not been a significant increase in credit risk since initial recognition, ECLs are provided for credit losses that result from default events that are possible within the next 12- months (a 12- 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financial assets being due more than 30 days, a significant increase in credit risk is assumed.</w:t>
      </w:r>
    </w:p>
    <w:p>
      <w:pPr>
        <w:spacing w:after="0" w:line="225" w:lineRule="exact"/>
        <w:rPr>
          <w:sz w:val="20"/>
          <w:szCs w:val="20"/>
          <w:color w:val="auto"/>
        </w:rPr>
      </w:pPr>
    </w:p>
    <w:p>
      <w:pPr>
        <w:jc w:val="both"/>
        <w:ind w:right="180" w:firstLine="324"/>
        <w:spacing w:after="0" w:line="282" w:lineRule="auto"/>
        <w:rPr>
          <w:sz w:val="20"/>
          <w:szCs w:val="20"/>
          <w:color w:val="auto"/>
        </w:rPr>
      </w:pPr>
      <w:r>
        <w:rPr>
          <w:rFonts w:ascii="Times New Roman" w:cs="Times New Roman" w:eastAsia="Times New Roman" w:hAnsi="Times New Roman"/>
          <w:sz w:val="18"/>
          <w:szCs w:val="18"/>
          <w:color w:val="auto"/>
        </w:rPr>
        <w:t>For trade receivables and contract assets, the Group applies a simplified approach in calculating ECLs. Therefore, the Group does not track changes in credit risk but instead recognizes a loss allowance based on lifetime ECLs at each reporting date.</w:t>
      </w:r>
    </w:p>
    <w:p>
      <w:pPr>
        <w:spacing w:after="0" w:line="162"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Group considers a financial asset in default when contractual payments are 180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Financial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Group’s material financial liabilities consists of lease liabilities and trade payables.</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Trade payables at initial recognition are accounted for at fair value and subsequently at amortized costs. The material accounting policy information regarding accounting of leases is described below.</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Acquired intangible assets are mainly comprised of software and licenses. Regarding the acquired intangible assets (i.e., technology and goodwill) in the business combination with Frame Pharmaceuticals, refer to Note 20.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useful lives for each intangible asset class are as follows:</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vMerge w:val="restart"/>
          </w:tcPr>
          <w:p>
            <w:pPr>
              <w:spacing w:after="0"/>
              <w:rPr>
                <w:sz w:val="19"/>
                <w:szCs w:val="19"/>
                <w:color w:val="auto"/>
              </w:rPr>
            </w:pPr>
          </w:p>
        </w:tc>
        <w:tc>
          <w:tcPr>
            <w:tcW w:w="57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22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3 to 10 years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22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8 to 20 years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22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the exception of goodwill, the Group does not have any intangible assets with indefinite useful lives.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Research costs are expensed as incurred. Since our own development projects are mostly subject to regulatory approval and all studies are at an early phase, where the outcome of reaching the next phases is uncertain, the conditions for the capitalization of expenditures incurred prior to approval are not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accumulated impairments. These costs also comprise the costs for replacement parts, which are recognized at the time they are incurred, providing they meet the recognition criteria. All other repair and maintenance costs are expensed as incurred. Depreciation is recognized on a straight-line basis over the estimated useful lives as follows:</w:t>
      </w:r>
    </w:p>
    <w:p>
      <w:pPr>
        <w:spacing w:after="0" w:line="21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28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1 to 15 years</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Technical equipment and machines:</w:t>
            </w:r>
          </w:p>
        </w:tc>
        <w:tc>
          <w:tcPr>
            <w:tcW w:w="28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3 to 14 years</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equipment, furniture and fixtures:</w:t>
            </w:r>
          </w:p>
        </w:tc>
        <w:tc>
          <w:tcPr>
            <w:tcW w:w="28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3 to 14 years</w:t>
            </w:r>
          </w:p>
        </w:tc>
      </w:tr>
    </w:tbl>
    <w:p>
      <w:pPr>
        <w:spacing w:after="0" w:line="19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estimated useful lives are reviewed regularly and revised if necessary. The depreciation method remained unchanged from 2021 through 2023. The residual values of the assets are generally considered to be zero.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non-financial non-current assets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At each reporting date, the Group assesses whether there is an indication that a non-financial asset may be impaired. If there is any indication of impairment (triggering event) or if an annual impairment test is required, the Group estimates the recoverable amount of the asset. The recoverable amount of an asset is the higher of the asset’s or CGU’s fair value less costs of disposal and its value-in-use. It is determined for an individual asset unless the asset does not generate cash inflows that are largely independent of those from other assets or groups of assets, in which case it is determined at the level of the cash-generating unit (CGU). If the carrying amount of an asset or CGU exceeds its recoverable amount, the asset or CGU is impaired and written down to its recoverable amount. In determining fair value less costs of disposal, recent market transactions are taken into account. If no such transactions can be identified, an appropriate valuation model is used.</w:t>
      </w:r>
    </w:p>
    <w:p>
      <w:pPr>
        <w:spacing w:after="0" w:line="19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principle, the recoverable amount has to be determined for each individual asset where such asset generates cash flows that are largely independent of those generated by other assets. Where it is not possible, the recoverable amount has been determined on the basis of a group of assets representing a cash generating unit.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assessing whether the cash flows are largely independent, CureVac considers various factors, including how management manages the company activities and how the CureVac companies are linked in business operations. As management decisions are centralized on group level and the CureVac companies are closely linked in business operations, the Group operates as one cash-generating unit. Therefore, for the purpose of annual goodwill impairment testing in 2022 and 2023, goodwill was allocated at Group level. The recoverable amount for the Company’s cash-generating unit based on fair values less costs of disposal using market capitalization derived from public quotations of CureVac stock. Management believes that no reasonably foreseeable change in the price of CureVac stock would cause the carrying amount of our one cash-generating unit to exceed its recoverable amount.Impairment losses of continuing operations are recognized in the statement of operations in expense categories consistent with the function of the impaired asset.</w:t>
      </w:r>
    </w:p>
    <w:p>
      <w:pPr>
        <w:spacing w:after="0" w:line="18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fiscal year 2021, impairment of EUR 22,810k were recognized. These pertained largely to machinery and technical equipment recorded as assets under construction and resulted from the partial impairment of production lines which were obsolete due to the withdrawal of the EMA regulatory approval application for CVnCoV, see Note 4.1.</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Beginning in year 2022, goodwill is tested for impairment annually as of December 31 and when circumstances indicate that the carrying value may be impaired.</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2023, impairment was evaluated for goodwill by assessing the recoverable amount on Group level. Impairment losses relating to goodwill cannot be reversed in future periods.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was no impairment of goodwill in 2023. However, there were impairments of technical equipment amounting to EUR 1,374k; refer to Note 4.1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held for sale</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Group classifies non-current assets as held for sale if their carrying amount is expected to be recovered principally through a sale transaction rather than through continuing use. Non-current assets classified as held for sale are measured at the lower of their carrying amount and fair value less costs to sell. Costs to sell are the incremental costs directly attributable to the disposal of an asset, excluding finance costs and income tax expenses. The criteria for held for sale classification is regarded as met only when the sale is highly probable, and the asset is available for immediate sale in its present condition. Actions required to complete the sale indicate that it is unlikely that significant changes to the sale will be made or that the decision to sell will be withdrawn. Management is committed to the plan to sell the assets. Property, plant and equipment are not depreciated or amortized once classified as held for sale.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as well as any estimated costs to be incurred by the lessee for dismantling and removing the underlying asset. Unless the Group is reasonably certain to obtain ownership of the leased asset at the end of the lease term, the recognized right-of-use assets are depreciated on a straight-line basis over the shorter of its estimated useful life, indicated below, and the lease term. Right-of-use assets are subject to impairment. Refer to the section above “Impairment of non-financial assets”.</w:t>
      </w:r>
    </w:p>
    <w:p>
      <w:pPr>
        <w:spacing w:after="0" w:line="22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Land, Buildings and supply installations</w:t>
            </w:r>
          </w:p>
        </w:tc>
        <w:tc>
          <w:tcPr>
            <w:tcW w:w="29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9"/>
              </w:rPr>
              <w:t>1 to 15 years</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290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3 to 4 years</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equipment</w:t>
            </w:r>
          </w:p>
        </w:tc>
        <w:tc>
          <w:tcPr>
            <w:tcW w:w="290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rPr>
              <w:t>2 to 5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At the commencement date of the lease, the Group recognizes lease liabilities measured at the present value of lease payments to be made over the lease term. The lease payments include fixed payments (including in- substance fixed payments) less any lease incentives receivable and amounts expected to be paid under residual value guarantees. The lease payments also include the exercise price of a purchase option reasonably certain to be exercised by the Group and payments of penalties for terminating a lease, if the lease term reflects the Group exercising the option to terminate.</w:t>
      </w:r>
    </w:p>
    <w:p>
      <w:pPr>
        <w:sectPr>
          <w:pgSz w:w="11900" w:h="16838" w:orient="portrait"/>
          <w:cols w:equalWidth="0" w:num="1">
            <w:col w:w="9880"/>
          </w:cols>
          <w:pgMar w:left="980" w:top="661" w:right="103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calculating the present value of lease payments, the Group uses the incremental borrowing rate at the lease commencement date if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in-substance fixed lease payments, or a change in the assessment to purchase the underlying asset. When the lease liability is remeasured, a corresponding adjustment is made to the carrying amount for the right-of-use asset or is recorded in profit or loss if the carrying amount of the right-of-use asset has been reduced to zero.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leases and leases of low-value assets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Group applies the short-term lease recognition exemption to its short-term leases (i.e., leases that have a lease term of 12 months or less from the commencement date and do not contain a purchase option). It also applies the lease of low-value assets recognition exemption. Lease payments on short-term leases and leases of low-value assets are recognized as expenses on a straight-line basis over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auto"/>
        </w:rPr>
        <w:t>Inventories are measured at the lower of cost and net realizable value. Net realizable value is the estimated selling price in the ordinary course of business, less estimated costs of completion and the estimated costs necessary to make the sale. Inventories are comprised of raw materials, work in progress, and finished goods.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Costs incurred in bringing each product to its present location and condition are accounted for, as follows:</w:t>
      </w:r>
    </w:p>
    <w:p>
      <w:pPr>
        <w:spacing w:after="0" w:line="225" w:lineRule="exact"/>
        <w:rPr>
          <w:sz w:val="20"/>
          <w:szCs w:val="20"/>
          <w:color w:val="auto"/>
        </w:rPr>
      </w:pPr>
    </w:p>
    <w:p>
      <w:pPr>
        <w:ind w:left="680" w:hanging="321"/>
        <w:spacing w:after="0"/>
        <w:tabs>
          <w:tab w:leader="none" w:pos="6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purchase cost on a first-in/first-out basis</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goods and work in progress: cost of direct materials and labor and a proportion of manufacturing overhead based on normal operating capacity, but excluding borrowing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bank balances on-demand, and short-term deposits with original maturities of three months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Onerous contracts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An onerous contract is a contract under which the unavoidable costs (i.e., the costs that the Group cannot avoid because it has the contract) of meeting the obligations under the contract exceed the economic benefits expected to be received under it. The unavoidable costs under a contract reflect the least net cost of exiting from the contract, which is the lower of the cost of fulfilling it and any compensation or penalties arising from failure to fulfil it. The cost of fulfilling a contract comprises the costs that relate directly to the contract (i.e., both incremental costs and an allocation of costs directly related to contract activities).</w:t>
      </w:r>
    </w:p>
    <w:p>
      <w:pPr>
        <w:spacing w:after="0" w:line="18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If the Group has a contract that is onerous, the present obligation under the contract is recognized and measured as a provision. However, before a separate provision for an onerous contract is established, the Group recognizes any impairment loss that has occurred on assets dedicated to that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awards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operates several share-based payment programs.</w:t>
      </w:r>
    </w:p>
    <w:p>
      <w:pPr>
        <w:spacing w:after="0" w:line="19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An equity-settled share-based payment award is accounted for by recognizing the related expense over the vesting period of the award, with a corresponding increase recorded in equity. The expense is based on the fair value determined at the grant date of the award and the number of awards expected to vest. The fair value remains unchanged after grant date. Once the award has vested, there is no reversal of expense related to the award.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When a share-based payment award provides for different ways of settlement (i.e. cash versus shares) depending on the occurrence of contingent events, CureVac has the right to choose the manner of settlement and accounts the award based on this.</w:t>
      </w:r>
    </w:p>
    <w:p>
      <w:pPr>
        <w:spacing w:after="0" w:line="148"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related share-based payment expense is recorded in the functional cost category to which the award recipient’s costs are classified.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1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Income taxes comprise current and deferred tax. Current and deferred taxes are recognized in profit or loss except to the extent that it relates to items recognized directly in equity or in other comprehensive loss.</w:t>
      </w:r>
    </w:p>
    <w:p>
      <w:pPr>
        <w:spacing w:after="0" w:line="1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Current tax is the expected tax payable or receivable on the taxable income or loss for the year, using tax rates enacted or substantively enacted at the reporting date, and adjustments to taxes payable in respect of previous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loss carryforwards</w:t>
      </w:r>
    </w:p>
    <w:p>
      <w:pPr>
        <w:spacing w:after="0" w:line="21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Tax loss carryforwards are examined by the German taxation authorities and may be adjusted. Furthermore, significant changes in the shareholder and company structure can lead to a reduction in the loss carryforwards under the current provisions of German tax law, which can be used to calculate the annual amount for offsetting against the future taxable income.</w:t>
      </w:r>
    </w:p>
    <w:p>
      <w:pPr>
        <w:spacing w:after="0" w:line="162"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CureVac assesses whether it is likely that a tax authority will accept an uncertain tax treatment. The amount of the expected tax liability or tax receivable reflects the amount, which represents the best estimation taken into account tax uncertainties. Based on management’s estimation, no provisions for uncertain tax treatments need to be accounted for.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21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Deferred tax assets are recognized for deductible temporary differences, the carry forward of unused tax credits and any unused tax losses to the extent that it is probable that future taxable income will allow the deferred tax asset to be realized.</w:t>
      </w:r>
    </w:p>
    <w:p>
      <w:pPr>
        <w:spacing w:after="0" w:line="14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carrying amount of deferred tax assets is reviewed at each reporting date and reduced to the extent that it is no longer probable that sufficient taxable profit will be available to allow all or part of the deferred tax asset to be utilized. Unrecognized deferred tax assets are re-assessed at each reporting date and are recognized to the extent that it has become probable that future taxable profits will allow the deferred tax asset to be recovered.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1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An operating segment is defined as a component of an entity for which discrete financial information is available and whose operating results are regularly reviewed by our Management Board as the Chief Operating Decision Maker (CODM). The Group operates as a single segment dedicated to the discovery and development of biotechnological applications and the CODM makes decisions about allocating resources and assessing performance based on the Group as a whole. Accordingly, the Group has determined it operates in one operating and reportable segment.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judgments, estimates and assumptions</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requires management to make judgments, estimates, and assumptions that affect the reported amounts in the financial statements. Management continually evaluates its judgments and estimates in relation to assets, liabilities, contingent liabilities, uncertain tax position, revenues, and expenses. Management bases its judgments and estimates on historical experience and other various factors, which it believes to be reasonable under the circumstances, the result of which forms the basis of the carrying values of assets and liabilities that are not readily apparent from other sources. CureVac assesses whether it is likely that a tax authority will accept an uncertain tax treatment. Based on management’s estimation, no provisions for uncertain tax treatments need to be accounted for. Actual results may differ from these estimates under different assumptions and conditions and may materially affect the financial results or the financial position reported in future periods.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Judgments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the process of applying the accounting policies, management has made the following judgments, which have the most significant effect on the amounts recognized in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collaboration agreements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applied the following judgments in determining the amount and timing of revenue from collaboration agreements:</w:t>
      </w:r>
    </w:p>
    <w:p>
      <w:pPr>
        <w:spacing w:after="0" w:line="225" w:lineRule="exact"/>
        <w:rPr>
          <w:sz w:val="20"/>
          <w:szCs w:val="20"/>
          <w:color w:val="auto"/>
        </w:rPr>
      </w:pPr>
    </w:p>
    <w:p>
      <w:pPr>
        <w:ind w:left="680" w:hanging="321"/>
        <w:spacing w:after="0"/>
        <w:tabs>
          <w:tab w:leader="none" w:pos="6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determination of the nature of performance obligations in collaboration and license agreements.</w:t>
      </w:r>
    </w:p>
    <w:p>
      <w:pPr>
        <w:spacing w:after="0" w:line="23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Group generates revenues from collaboration and license agreements under which the Group grants licenses to use, research, develop, manufacture, and commercialize candidates and products. As these agreements comprise several promises, it must be assessed whether these promises are capable of being distinct within the context of the contract. If these promises are not distinct, they are combined until the bundle of promised goods and services is distinct. For some agreements, this results in the Group accounting for all goods and services promised in a collaboration and license agreement as a single performance obligation with a single measure of progress.</w:t>
      </w:r>
    </w:p>
    <w:p>
      <w:pPr>
        <w:spacing w:after="0" w:line="187"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For these combined performance obligations, it must be assessed which of these promises is the predominant promise to determine the nature of the performance obligation. The Group determined that the research and development technology services for the grant of the license is the predominant promise within the (combined) performance obligation.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Group shares the risks and benefits of a development project in such a way that the nature of the arrangement is not considered to be purely a customer-vendor-relationship, activities that are determined to be outside of a customer-vendor-relationship are accounted for in consideration of the principles of a joint operation accounting.</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a result, the promise of the research and development technology services for granting a license is accounted for as a performance obligation satisfied over time as the Group’s customer simultaneously receives and consumes the benefits from the Group’s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collaboration agreements</w:t>
      </w:r>
    </w:p>
    <w:p>
      <w:pPr>
        <w:spacing w:after="0" w:line="229" w:lineRule="exact"/>
        <w:rPr>
          <w:sz w:val="20"/>
          <w:szCs w:val="20"/>
          <w:color w:val="auto"/>
        </w:rPr>
      </w:pPr>
    </w:p>
    <w:p>
      <w:pPr>
        <w:ind w:left="680" w:right="360" w:hanging="321"/>
        <w:spacing w:after="0" w:line="282" w:lineRule="auto"/>
        <w:tabs>
          <w:tab w:leader="none" w:pos="680" w:val="left"/>
        </w:tabs>
        <w:numPr>
          <w:ilvl w:val="0"/>
          <w:numId w:val="1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Estimation of variable consideration and assessment of the constraint when determining the amount of revenue of which to defer recognition</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Group’s collaboration and license agreements comprise variable considerations which are contingent on the occurrence or non-occurrence of a future event (i.e., reaching a certain milestone). When determining the deferral of revenue in a collaboration and license agreement, the Group is required to estimate the amount of consideration to which it will be entitled in exchange for transferring the promised goods or services to the customer.</w:t>
      </w:r>
    </w:p>
    <w:p>
      <w:pPr>
        <w:spacing w:after="0" w:line="18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there are usually only two possible outcomes (i.e., a milestone is reached or not), the Group has assessed that the method of the most likely amount is the best method to predict the amount of consideration to which the Group will be entitled.</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most likely amount of these milestone payments (i.e., the full milestone payment) is only included in the transaction price if the occurrence of reaching a future milestone is highly probable. The Group has assessed that the likelihood of achieving the respective milestone decreases depending on how far the expected date of achieving the milestone lies in the future.</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Group has concluded that future milestone payments are fully constrained at each of the fiscal years. Future milestone payments would become unconstrained at the satisfaction of the milestone event, specifically a development event, regulatory approval, or achievement of a sales milestone.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Estimation of determination of date of market authorization application for revenue release over-time</w:t>
      </w:r>
    </w:p>
    <w:p>
      <w:pPr>
        <w:spacing w:after="0" w:line="22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 significant amount of judgment given the uncertainty inherent in developing innovative pharmaceutical products is being used in the determination of the estimated date of the Marketing Authorization Application or Biologics License Applications. The group regularly reviews the timelines and changes are reflected in the release of revenue amount when they become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non - current assets held for sale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Non-current assets are classified as asset held for sale if their carrying amount will be recovered through a sale transaction rather than through continued use; the carrying value of such assets is measured at the lower of their previous carrying value and their fair value less costs to sell. In evaluating whether the criterion, for classification as assets held for sale, of a sale being highly probable, the Group considered that a plan to sell the assets was committed to and an active program to locate a buyer was initiated with an equipment reseller. By estimating the fair value less costs to sell the Group considered various indicative prices of expected auction proceeds quoted by the equipment reseller. Additionally, the Group estimated, whether the plan to sell the assets could be completed within one year from the date of classification and whether actions required to complete the plan indicate that it is unlikely that significant changes to the plan will be made or that the plan will be withdrawn.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share-based payments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Group has multiple share-based payment programs. Significant estimates are included in the determination of the grant date fair value of the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onerous contract provisions</w:t>
      </w:r>
    </w:p>
    <w:p>
      <w:pPr>
        <w:spacing w:after="0" w:line="229"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Group has entered into binding legal agreements for the supply of services by contract research organizations (CROs) to the Group for clinical trials of its first-generation COVID-19 vaccine candidate, CVnCoV. Such services are generally associated with the ongoing monitoring and care for enrolled participants in the clinical trials. Due to the discontinuation of the CVnCoV program, the remaining services, which the Group is obligated to procure, do not have a value for the Group anymore. In estimating the cost of the remaining services, judgment is required, particularly in estimating the number of participants completing the clinical trials, when measuring provisions for such contracts with clinical research organizations.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contract termination provisions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Contract termination provisions are established under certain conditions in the case of legal risks. Settlement and legal proceedings often raise complex issues and are subject to many uncertainties and complexities including, but not limited to, the facts and circumstances of each particular case. The outcome of any current or future proceedings cannot normally be predicted. The Group considers the need for accounting measures in respect of pending or future settlements for terminated contracts on the basis of the information available to its legal department and in close consultation with legal counsel acting for the Group. Where it is more likely than not that such settlement will result in an outflow of resources that is already reasonably estimable, a provision for settling terminated contracts is recorded in the amount of the present value of the expected cash outflows.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income tax</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CureVac assesses whether it is likely that a tax authority will accept an uncertain tax treatment. Based on management’s estimation, no provisions for uncertain tax treatments need to be accounted for. The risk for the assessment regarding i) the deferral of upfront payments, ii) the cooperation between CureVac and GlaxoSmithKline Biologicals SA (GSK), and iii) the transfer pricing setup not to be accepted by the tax authorities is estimated to be between 10% and 50%.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accounting policies and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standards and interpretations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has not early adopted any standards, interpretations, or amendments that have been issued but are not yet effective.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Standards issued but not yet effective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amendments will be adopted effective January 1, 2024, or at a later effective date:</w:t>
      </w:r>
    </w:p>
    <w:p>
      <w:pPr>
        <w:spacing w:after="0" w:line="225" w:lineRule="exact"/>
        <w:rPr>
          <w:sz w:val="20"/>
          <w:szCs w:val="20"/>
          <w:color w:val="auto"/>
        </w:rPr>
      </w:pPr>
    </w:p>
    <w:p>
      <w:pPr>
        <w:ind w:left="680" w:hanging="321"/>
        <w:spacing w:after="0"/>
        <w:tabs>
          <w:tab w:leader="none" w:pos="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Classification of Liabilities as Current or Non-current and Non-current Liabilities with Covenants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7 and IFRS 7: Supplier Finance Arrangements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16: Lease Liability in a Sale and Leaseback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21: Lack of Exchangeability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CureVac does not expect these standards to have an impact on the Group´s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Notes to the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3.1 Revenue from contract with customers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recognized the following revenues in 2021, 2022 and 2023:</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76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gridSpan w:val="2"/>
          </w:tcPr>
          <w:p>
            <w:pPr>
              <w:jc w:val="center"/>
              <w:ind w:lef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2"/>
                <w:szCs w:val="12"/>
                <w:color w:val="auto"/>
              </w:rPr>
            </w:pPr>
          </w:p>
        </w:tc>
        <w:tc>
          <w:tcPr>
            <w:tcW w:w="7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5320" w:type="dxa"/>
            <w:vAlign w:val="bottom"/>
          </w:tcPr>
          <w:p>
            <w:pPr>
              <w:spacing w:after="0"/>
              <w:rPr>
                <w:sz w:val="12"/>
                <w:szCs w:val="12"/>
                <w:color w:val="auto"/>
              </w:rPr>
            </w:pPr>
          </w:p>
        </w:tc>
        <w:tc>
          <w:tcPr>
            <w:tcW w:w="76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GSK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62,263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47,128</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Boehringer Ingelheim</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Genmab</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CRISPR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53,758</w:t>
            </w:r>
          </w:p>
        </w:tc>
      </w:tr>
      <w:tr>
        <w:trPr>
          <w:trHeight w:val="20"/>
        </w:trPr>
        <w:tc>
          <w:tcPr>
            <w:tcW w:w="5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fiscal year ended December 31, 2023, the Company recognized revenues over-time (i) EUR 31,051k (2022: EUR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44,787k, 2021: EUR 79,827k) related to delivery of research and development services combined with an IP license (recognized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upfront payments and achievement of certain milestones as further illustrated in the table below) and (ii) EUR 11,395k (2022: EUR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19,571k, 2021: EUR 22,706k) from those research and development services considered distinct within the agreements and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at point-in-time (iii) EUR 11,312k (2022: EUR 3,062k, 2021: EUR 457k) related to delivery of products.</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1" w:right="11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GlaxoSmithKline</w:t>
      </w:r>
    </w:p>
    <w:p>
      <w:pPr>
        <w:spacing w:after="0" w:line="22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In July 2020, the Group entered a collaboration with GSK for the research, development, manufacture and commercialization of mRNA-based vaccines and monoclonal antibodies targeting infectious disease pathogens. In addition to an equity investment of EUR 150,000k as part of the 2020 Private Investment, GSK made a non-refundable upfront cash payment of EUR 120,000k which was deferred upon receipt and recognized as a contract liability. Additionally, the Group is eligible to receive a one-time reimbursable payment of EUR 30,000k for manufacturing capacity reservation, upon certification of CureVac’s commercial scale manufacturing facility currently under construction in Germany as well as to receive development and regulatory milestone payments of up to EUR 320,000k, commercial milestone payments of up to EUR 380,000k and tiered royalties on product sales. GSK will fund R&amp;D activities incurred by CureVac related to the development projects covered by the collaboration. CureVac will be responsible for the research and development in collaboration with GSK up to the submission to authorities, after which GSK will be responsible, including commercialization. CureVac will be responsible for the manufacturing of the product candidates, including for commercialization, and will retain commercialization rights for selected countries for all product candidates. This contract consists of two performance obligations. Performance obligation one consists of a combined performance where CureVac grants its customer a license which is bundled with research and development services relating to the technology. The group accounts for this as a single obligation overtime. The second performance obligation consists of research and development project work which is recognized over-time. The upfront payment, attributable to the IP license, is being recognized straight-line from the effective date of the collaboration agreement through to the agreed estimated submission date for authority approval. In the year ended December 31, 2023, EUR 27,740k (2022: EUR 41,379k) in revenue was recognized under the collaboration agreement with GSK, entered into in July 2020, for the research, development, manufacturing and commercialization of mRNA-based vaccines and monoclonal antibodies targeting infectious disease pathogens. In 2023, less revenue was released than originally anticipated, due to changes of the estimated project timelines.</w:t>
      </w:r>
    </w:p>
    <w:p>
      <w:pPr>
        <w:spacing w:after="0" w:line="19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Additionally, in April 2021, the Group entered into a new collaboration agreement with GSK, which we refer to as the GSK COVID Agreement, pursuant to which we are collaborating with GSK to research, develop and manufacture next-generation mRNA vaccines targeting the original SARS-CoV-2 strain as well as emerging variants, including multivalent and monovalent approaches (“GSK COVID Products”), such as the CureVac’s second-generation COVID-19 vaccine candidate, CV2CoV. These vaccine candidates may either be used to protect unvaccinated individuals or to serve as boosters in the event that SARS-CoV-2 immunity gained from an initial vaccination reduces over time. The GSK COVID Agreement was amended and restated in September 2021. Pursuant to the amendment in September 2021, CureVac and GSK are required to complete certain development activities with respect to the GSK COVID Products set forth in updated development plans. CureVac and GSK agree to decide whether the GSK COVID Products required for clinical studies will be manufactured by CureVac, GSK or jointly.</w:t>
      </w:r>
    </w:p>
    <w:p>
      <w:pPr>
        <w:spacing w:after="0" w:line="17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Under the GSK COVID Agreement, GSK has paid CureVac an upfront payment of EUR 75,000k in 2021. Under the terms of the 2020 GSK Agreement, CureVac granted GSK a worldwide exclusive, sublicensable (subject to certain conditions) license under certain of our intellectual property relating to vaccines and antibodies encoded by our proprietary mRNA targeting certain selected pathogens, or GSK Program Products, and a non-exclusive license under certain LNP technology to develop, manufacture and commercialize a certain number of such GSK Program Products for use in connection with the infectious diseases targeted under the 2020 GSK Agreement. CureVac also granted GSK an exclusive option, after a certain date, to obtain exclusive licenses to develop, manufacture and commercialize CVnCoV and boosters for such vaccine. CureVac and GSK agreed to equally share all development costs for GSK COVID Products, subject to certain exceptions. CureVac and GSK will share all net profits generated from sales of GSK COVID Products, other than certain products defined in the agreement as “Combination Products”, under profit sharing arrangements that in certain cases vary depending upon the GSK COVID Product in question, the time of sale, the number of doses sold and the party to whom the sale is made. This contract consists of a bundled performance obligation where CureVac grants its customer a license which is bundle with research and development services relating to the technology. The group accounts for this as a single obligation overtime. For the equally shared development costs CureVac accounts for the GSK share as a research and development expense and reimbursements from GSK for CureVac’s share are offset against research and development expense. CureVac is eligible to receive tiered royalty payments ranging from a low-teen percentage to a mid-teen percentage of net sales of Combination Products, subject to certain customary reductions. Under the GSK COVID Agreement, CureVac has the right to commercialize GSK COVID Products in Austria, Germany and Switzerland and if CureVac exercises such right, CureVac’s sales of GSK COVID Products, other than Combination Products will be subject to the profit share and CureVac will be required to pay GSK a high-teen percentage royalty on net sales of all Combination Products in such countries. In the year ended December 31, 2023, EUR 10,530k (2022: EUR 20,884k) in revenue was recognized under the GSK COVID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Boehringer Ingelheim</w:t>
      </w:r>
    </w:p>
    <w:p>
      <w:pPr>
        <w:spacing w:after="0" w:line="21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August 2014, the Group entered into an Exclusive Collaboration and License Agreement, which it refers to as the Boehringer Agreement, with Boehringer Ingelheim, whereby it granted Boehringer Ingelheim exclusive global rights for development and commercialization of its investigational therapeutic mRNA vaccine BI 1361849 (formerly CV9202) formulated with a legacy protamine technology. The Group received, in 2014, an upfront payment of EUR 30,000K, as well as, an option fee payment of EUR 5,000K and in 2018 an additional EUR 7,000K in development milestone payments, all of which are non-refundable and non-creditable in the event of expiry or termination of the agreement. In June 2021, Boehringer Ingelheim provided notice of its intention to terminate the Boehringer Agreement, with such termination to become effective on November 17, 2021. Upon termination of the Boehringer Agreement, the rights and licenses granted by the Group to Boehringer Ingelheim reverted back to the Group, provided that Boehringer Ingelheim has the right to sell off existing inventory of BI 1361849 for a certain period. In addition, Boehringer Ingelheim assigned to us all regulatory approvals or applications and grant us a non-exclusive, cost-free, perpetual and worldwide license to intellectual property held by Boehringer Ingelheim that has been used in the development, manufacture or commercialization of BI 1361849 or any other product developed under the Boehringer Agreement. As a result of the termination in 2021, the remaining contract liability, related to the upfront payment, EUR 14,003k was recognized over a shorter period through the termination date. In addition, the option fee payment of EUR 5,000k and the additional EUR 7,000k development milestone were recognized in 2021. Therefore, for the year ended December 31, 2023, EUR 0k (2022: EUR 0k, 2021: 26,003k) was recognized related to this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CRISPR Therapeutics Development and License Agreement</w:t>
      </w:r>
    </w:p>
    <w:p>
      <w:pPr>
        <w:spacing w:after="0" w:line="21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November 2017, we entered into a Development and License Agreement with CRISPR Therapeutics, which, as amended by amendments entered into in June 2020 and in October 2023, we refer to as the CRISPR Therapeutics Agreement, pursuant to which we will develop novel Cas9 mRNA constructs for use in gene editing therapeutics. CureVac and CRISPR confirmed to stop working on two programs under the CRISPR Therapeutics Agreement and added three new programs. CRISPR Therapeutics has paid us an upfront one-time technology access fee of USD 3 million and certain additional amounts under the second amendment, which are recognized straight-line from the effective date of the collaboration agreement through to the date of market entry of a product developed under the agreement. In the year ended December 31, 2023, EUR 5,425k (2022: EUR 3,370k, 2021: EUR 919k) in revenue was recognized under this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Genmab Collaboration and License Agreement</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December 2019, the Group entered into a Collaboration and License Agreement with Genmab, which we refer to as the Genmab Agreement, to research and develop up to four potential differentiated mRNA-based antibody products, to be selected by Genmab, based on the combination of our proprietary RNAntibody technology with Genmab’s proprietary antibody technology for the treatment of human diseases.</w:t>
      </w:r>
    </w:p>
    <w:p>
      <w:pPr>
        <w:spacing w:after="0" w:line="18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June 2023, Genmab notified the Group of its intent to terminate the Genmab First Program under the Genmab Agreement effective in September 2023. Such termination did not terminate the Genmab Agreement in its entirety, but rather only with respect to certain license and exclusivity provisions related to the Genmab First Program. Under the Genmab Agreement, the Group further grants Genmab a license for the preclinical development of up to four additional mRNA antibody product concepts and options to obtain commercial licenses under CureVac’s mRNA technology to develop, manufacture and commercialize product candidates for up to three of such product concepts.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partial consideration for entering into the Genmab Agreement, in 2019 Genmab made a USD 20 million equity investment and paid us an upfront fee of USD 10 million, which was recognized through the date of market entry of a product developed under the agreement until August 2023 (no recognition from September 2023 onwards). In the year ended December 31, 2023, EUR 1,197k (2022: EUR 1,787k, 2021: 1,770k) in revenue was recognized under this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has received upfront payments which were initially deferred and are subsequently recognized as revenue as the Group renders services over the performance period or upon termination of the agreement, when no services are provided anymore. Below is a summary of such payments and the related revenues recognized over-time: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Upfront and milestone payments</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Upfront and milestone payments</w:t>
            </w:r>
          </w:p>
        </w:tc>
        <w:tc>
          <w:tcPr>
            <w:tcW w:w="1540" w:type="dxa"/>
            <w:vAlign w:val="bottom"/>
            <w:gridSpan w:val="3"/>
          </w:tcPr>
          <w:p>
            <w:pPr>
              <w:jc w:val="center"/>
              <w:ind w:left="779"/>
              <w:spacing w:after="0" w:line="149" w:lineRule="exact"/>
              <w:rPr>
                <w:sz w:val="20"/>
                <w:szCs w:val="20"/>
                <w:color w:val="auto"/>
              </w:rPr>
            </w:pPr>
            <w:r>
              <w:rPr>
                <w:rFonts w:ascii="Times New Roman" w:cs="Times New Roman" w:eastAsia="Times New Roman" w:hAnsi="Times New Roman"/>
                <w:sz w:val="14"/>
                <w:szCs w:val="14"/>
                <w:b w:val="1"/>
                <w:bCs w:val="1"/>
                <w:color w:val="auto"/>
              </w:rPr>
              <w:t>included</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8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recognized from upfront and milestone payments</w:t>
            </w:r>
          </w:p>
        </w:tc>
        <w:tc>
          <w:tcPr>
            <w:tcW w:w="0" w:type="dxa"/>
            <w:vAlign w:val="bottom"/>
          </w:tcPr>
          <w:p>
            <w:pPr>
              <w:spacing w:after="0"/>
              <w:rPr>
                <w:sz w:val="1"/>
                <w:szCs w:val="1"/>
                <w:color w:val="auto"/>
              </w:rPr>
            </w:pPr>
          </w:p>
        </w:tc>
      </w:tr>
      <w:tr>
        <w:trPr>
          <w:trHeight w:val="173"/>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240" w:type="dxa"/>
            <w:vAlign w:val="bottom"/>
            <w:gridSpan w:val="2"/>
            <w:vMerge w:val="continue"/>
          </w:tcPr>
          <w:p>
            <w:pPr>
              <w:spacing w:after="0"/>
              <w:rPr>
                <w:sz w:val="15"/>
                <w:szCs w:val="15"/>
                <w:color w:val="auto"/>
              </w:rPr>
            </w:pPr>
          </w:p>
        </w:tc>
        <w:tc>
          <w:tcPr>
            <w:tcW w:w="25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contract liabilities at</w:t>
            </w:r>
          </w:p>
        </w:tc>
        <w:tc>
          <w:tcPr>
            <w:tcW w:w="368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gridSpan w:val="2"/>
            <w:vMerge w:val="continue"/>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 December 31, 2023</w:t>
            </w:r>
          </w:p>
        </w:tc>
        <w:tc>
          <w:tcPr>
            <w:tcW w:w="140" w:type="dxa"/>
            <w:vAlign w:val="bottom"/>
          </w:tcPr>
          <w:p>
            <w:pPr>
              <w:spacing w:after="0"/>
              <w:rPr>
                <w:sz w:val="12"/>
                <w:szCs w:val="12"/>
                <w:color w:val="auto"/>
              </w:rPr>
            </w:pPr>
          </w:p>
        </w:tc>
        <w:tc>
          <w:tcPr>
            <w:tcW w:w="112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1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Borders>
              <w:top w:val="single" w:sz="8" w:color="auto"/>
            </w:tcBorders>
          </w:tcPr>
          <w:p>
            <w:pPr>
              <w:jc w:val="right"/>
              <w:ind w:right="796"/>
              <w:spacing w:after="0" w:line="142" w:lineRule="exact"/>
              <w:rPr>
                <w:sz w:val="20"/>
                <w:szCs w:val="20"/>
                <w:color w:val="auto"/>
              </w:rPr>
            </w:pPr>
            <w:r>
              <w:rPr>
                <w:rFonts w:ascii="Times New Roman" w:cs="Times New Roman" w:eastAsia="Times New Roman" w:hAnsi="Times New Roman"/>
                <w:sz w:val="14"/>
                <w:szCs w:val="14"/>
                <w:b w:val="1"/>
                <w:bCs w:val="1"/>
                <w:color w:val="auto"/>
              </w:rPr>
              <w:t>(in k)</w:t>
            </w:r>
          </w:p>
        </w:tc>
        <w:tc>
          <w:tcPr>
            <w:tcW w:w="160" w:type="dxa"/>
            <w:vAlign w:val="bottom"/>
          </w:tcPr>
          <w:p>
            <w:pPr>
              <w:spacing w:after="0"/>
              <w:rPr>
                <w:sz w:val="12"/>
                <w:szCs w:val="12"/>
                <w:color w:val="auto"/>
              </w:rPr>
            </w:pPr>
          </w:p>
        </w:tc>
        <w:tc>
          <w:tcPr>
            <w:tcW w:w="116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GSK</w:t>
            </w:r>
          </w:p>
        </w:tc>
        <w:tc>
          <w:tcPr>
            <w:tcW w:w="2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EUR 220,000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29,089</w:t>
            </w:r>
          </w:p>
        </w:tc>
        <w:tc>
          <w:tcPr>
            <w:tcW w:w="0" w:type="dxa"/>
            <w:vAlign w:val="bottom"/>
          </w:tcPr>
          <w:p>
            <w:pPr>
              <w:spacing w:after="0"/>
              <w:rPr>
                <w:sz w:val="1"/>
                <w:szCs w:val="1"/>
                <w:color w:val="auto"/>
              </w:rPr>
            </w:pPr>
          </w:p>
        </w:tc>
      </w:tr>
      <w:tr>
        <w:trPr>
          <w:trHeight w:val="198"/>
        </w:trPr>
        <w:tc>
          <w:tcPr>
            <w:tcW w:w="1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Boehringer</w:t>
            </w: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Ingelheim</w:t>
            </w:r>
          </w:p>
        </w:tc>
        <w:tc>
          <w:tcPr>
            <w:tcW w:w="2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EUR 30,000</w:t>
            </w: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Genmab</w:t>
            </w:r>
          </w:p>
        </w:tc>
        <w:tc>
          <w:tcPr>
            <w:tcW w:w="2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USD 10,000 (EUR 8,937)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CRISPR</w:t>
            </w:r>
          </w:p>
        </w:tc>
        <w:tc>
          <w:tcPr>
            <w:tcW w:w="2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USD 4,500 (EUR 3,947)*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16"/>
        </w:trPr>
        <w:tc>
          <w:tcPr>
            <w:tcW w:w="1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107,308</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92,680</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67,828</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44,787</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31,051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*Translated at the currency exchange rate prevailing on the transaction date</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balances:</w:t>
            </w: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left="95"/>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EUR k</w:t>
            </w:r>
          </w:p>
        </w:tc>
        <w:tc>
          <w:tcPr>
            <w:tcW w:w="0" w:type="dxa"/>
            <w:vAlign w:val="bottom"/>
          </w:tcPr>
          <w:p>
            <w:pPr>
              <w:spacing w:after="0"/>
              <w:rPr>
                <w:sz w:val="1"/>
                <w:szCs w:val="1"/>
                <w:color w:val="auto"/>
              </w:rPr>
            </w:pPr>
          </w:p>
        </w:tc>
      </w:tr>
      <w:tr>
        <w:trPr>
          <w:trHeight w:val="209"/>
        </w:trPr>
        <w:tc>
          <w:tcPr>
            <w:tcW w:w="1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 liabilities include advances received from the Group’s license and collaboration agreements.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Contract liabilities allocated to the remaining performance obligations (unsatisfied or partially unsatisfied) as at year-end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40" w:type="dxa"/>
            <w:vAlign w:val="bottom"/>
          </w:tcPr>
          <w:p>
            <w:pPr>
              <w:spacing w:after="0"/>
              <w:rPr>
                <w:sz w:val="12"/>
                <w:szCs w:val="12"/>
                <w:color w:val="auto"/>
              </w:rPr>
            </w:pPr>
          </w:p>
        </w:tc>
        <w:tc>
          <w:tcPr>
            <w:tcW w:w="9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7740" w:type="dxa"/>
            <w:vAlign w:val="bottom"/>
          </w:tcPr>
          <w:p>
            <w:pPr>
              <w:spacing w:after="0"/>
              <w:rPr>
                <w:sz w:val="12"/>
                <w:szCs w:val="12"/>
                <w:color w:val="auto"/>
              </w:rPr>
            </w:pPr>
          </w:p>
        </w:tc>
        <w:tc>
          <w:tcPr>
            <w:tcW w:w="94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20" w:type="dxa"/>
            <w:vAlign w:val="bottom"/>
          </w:tcPr>
          <w:p>
            <w:pPr>
              <w:spacing w:after="0"/>
              <w:rPr>
                <w:sz w:val="12"/>
                <w:szCs w:val="12"/>
                <w:color w:val="auto"/>
              </w:rPr>
            </w:pPr>
          </w:p>
        </w:tc>
        <w:tc>
          <w:tcPr>
            <w:tcW w:w="102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44,580</w:t>
            </w:r>
          </w:p>
        </w:tc>
      </w:tr>
      <w:tr>
        <w:trPr>
          <w:trHeight w:val="216"/>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More than one year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72,549</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48,100</w:t>
            </w:r>
          </w:p>
        </w:tc>
      </w:tr>
      <w:tr>
        <w:trPr>
          <w:trHeight w:val="210"/>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107,308</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92,680</w:t>
            </w: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 receivables are non-interest bearing and are generally settled within 30 to 45 days.</w:t>
      </w:r>
    </w:p>
    <w:p>
      <w:pPr>
        <w:spacing w:after="0" w:line="22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Group had two collaboration partners (2022: two) that owed 100% (2022: 100)% of all the receivables and contract assets outstanding. There were two collaboration partners (2022: one) with balances greater than 10% of the total amounts of receivable and contract assets.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nature of expenses recognized in the functional categories of the statement of operations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3.2 Cost of sales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cost of sales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9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20" w:type="dxa"/>
            <w:vAlign w:val="bottom"/>
          </w:tcPr>
          <w:p>
            <w:pPr>
              <w:spacing w:after="0"/>
              <w:rPr>
                <w:sz w:val="12"/>
                <w:szCs w:val="12"/>
                <w:color w:val="auto"/>
              </w:rPr>
            </w:pPr>
          </w:p>
        </w:tc>
        <w:tc>
          <w:tcPr>
            <w:tcW w:w="9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0" w:type="dxa"/>
            <w:vAlign w:val="bottom"/>
          </w:tcPr>
          <w:p>
            <w:pPr>
              <w:spacing w:after="0"/>
              <w:rPr>
                <w:sz w:val="12"/>
                <w:szCs w:val="12"/>
                <w:color w:val="auto"/>
              </w:rPr>
            </w:pPr>
          </w:p>
        </w:tc>
        <w:tc>
          <w:tcPr>
            <w:tcW w:w="96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(22,159)</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(27,185)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(37,734)</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(46,250)</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(88,891)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(59,641)</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services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(139,975)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(32,331)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lease</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(2,874)</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(3,992)</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(6,295)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equipment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(22,810)</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(24,948)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 w:type="dxa"/>
            <w:vAlign w:val="bottom"/>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(238,195)</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(183,993)</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(124,366)</w:t>
            </w:r>
          </w:p>
        </w:tc>
        <w:tc>
          <w:tcPr>
            <w:tcW w:w="20" w:type="dxa"/>
            <w:vAlign w:val="bottom"/>
            <w:tcBorders>
              <w:bottom w:val="single" w:sz="8" w:color="auto"/>
            </w:tcBorders>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cost of sales mainly decreased compared to the same period of 2022 due to higher material costs in the prior year, which were driven by write-offs of raw materials originally procured for the manufacturing of products intended to be sold to GSK. However, these raw materials were no longer expected to be sold to them (refer to Note 6 for further information). Additionally, in the prior year, the Company recognized a higher impairment of assets held for sale (refer to Note 5 for further information). Personnel expenses increased mainly due to increased workforce in the manufacturing organization.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3.3 Selling and distribution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and distribution expenses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9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94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20" w:type="dxa"/>
            <w:vAlign w:val="bottom"/>
          </w:tcPr>
          <w:p>
            <w:pPr>
              <w:spacing w:after="0"/>
              <w:rPr>
                <w:sz w:val="12"/>
                <w:szCs w:val="12"/>
                <w:color w:val="auto"/>
              </w:rPr>
            </w:pPr>
          </w:p>
        </w:tc>
        <w:tc>
          <w:tcPr>
            <w:tcW w:w="94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0" w:type="dxa"/>
            <w:vAlign w:val="bottom"/>
          </w:tcPr>
          <w:p>
            <w:pPr>
              <w:spacing w:after="0"/>
              <w:rPr>
                <w:sz w:val="12"/>
                <w:szCs w:val="12"/>
                <w:color w:val="auto"/>
              </w:rPr>
            </w:pPr>
          </w:p>
        </w:tc>
        <w:tc>
          <w:tcPr>
            <w:tcW w:w="96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(1,369)</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lease</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18"/>
                <w:szCs w:val="18"/>
                <w:color w:val="auto"/>
              </w:rPr>
            </w:pPr>
          </w:p>
        </w:tc>
      </w:tr>
      <w:tr>
        <w:trPr>
          <w:trHeight w:val="21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(3,912)</w:t>
            </w:r>
          </w:p>
        </w:tc>
        <w:tc>
          <w:tcPr>
            <w:tcW w:w="2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selling and distribution expenses increased compared to the same period of 2022. The increase was primarily attributable to higher personnel expenses mainly related to the satellite offices in Belgium and the US.</w:t>
      </w:r>
    </w:p>
    <w:p>
      <w:pPr>
        <w:spacing w:after="0" w:line="158" w:lineRule="exact"/>
        <w:rPr>
          <w:sz w:val="20"/>
          <w:szCs w:val="20"/>
          <w:color w:val="auto"/>
        </w:rPr>
      </w:pPr>
    </w:p>
    <w:p>
      <w:pPr>
        <w:jc w:val="center"/>
        <w:ind w:right="6380"/>
        <w:spacing w:after="0"/>
        <w:rPr>
          <w:sz w:val="20"/>
          <w:szCs w:val="20"/>
          <w:color w:val="auto"/>
        </w:rPr>
      </w:pPr>
      <w:r>
        <w:rPr>
          <w:rFonts w:ascii="Times New Roman" w:cs="Times New Roman" w:eastAsia="Times New Roman" w:hAnsi="Times New Roman"/>
          <w:sz w:val="18"/>
          <w:szCs w:val="18"/>
          <w:b w:val="1"/>
          <w:bCs w:val="1"/>
          <w:i w:val="1"/>
          <w:iCs w:val="1"/>
          <w:color w:val="auto"/>
        </w:rPr>
        <w:t>3.4 Research and development (R&amp;D)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R&amp;D expenses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9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20" w:type="dxa"/>
            <w:vAlign w:val="bottom"/>
          </w:tcPr>
          <w:p>
            <w:pPr>
              <w:spacing w:after="0"/>
              <w:rPr>
                <w:sz w:val="12"/>
                <w:szCs w:val="12"/>
                <w:color w:val="auto"/>
              </w:rPr>
            </w:pPr>
          </w:p>
        </w:tc>
        <w:tc>
          <w:tcPr>
            <w:tcW w:w="9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0" w:type="dxa"/>
            <w:vAlign w:val="bottom"/>
          </w:tcPr>
          <w:p>
            <w:pPr>
              <w:spacing w:after="0"/>
              <w:rPr>
                <w:sz w:val="12"/>
                <w:szCs w:val="12"/>
                <w:color w:val="auto"/>
              </w:rPr>
            </w:pPr>
          </w:p>
        </w:tc>
        <w:tc>
          <w:tcPr>
            <w:tcW w:w="96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(232,292)</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(32,982)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Personnel</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(33,733)</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(33,944)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(43,267)</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(4,259)</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(8,650)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Patents and fees to register a legal right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(3,199)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services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(539,786)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(28,587)</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lease</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(2,291)</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0" w:type="dxa"/>
            <w:vAlign w:val="bottom"/>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(815,907)</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(62,550)</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(115,724)</w:t>
            </w:r>
          </w:p>
        </w:tc>
        <w:tc>
          <w:tcPr>
            <w:tcW w:w="20" w:type="dxa"/>
            <w:vAlign w:val="bottom"/>
            <w:tcBorders>
              <w:bottom w:val="single" w:sz="8" w:color="auto"/>
            </w:tcBorders>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research and development expenses increased significantly in comparison to the same period of 2022, as the prior period was largely impacted by the reversal of provision for onerous contracts in the amount of EUR</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38,533k as a result of more participants leaving the clinical trials, prior to completion, than originally estimated and of renegotiations of contracts with CROs. Additionally in 2022, GSK took over the Group’s committed capacity at Novartis (see Note 3.8 for additional information) which resulted in a reduction in the estimated contract termination provisions in the amount of EUR 25,059k. The net effect of these two events resulted in an overall gain within the Third-party services category. The period of 2021 was largely impacted by the Group´s CVnCoV program. These expenses consist primarily of cost incurred to CROs involved in the CVnCoV development as well as materials used in the administration of clinical trials.</w:t>
      </w:r>
    </w:p>
    <w:p>
      <w:pPr>
        <w:spacing w:after="0" w:line="18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Since inception through December 31, 2023, the Group had no development expenditures which met the requirements for capitalization and thus none have been capitalized. In 2021, according to the terms and conditions of the grant from the German Federal Ministry of Education and Research (Bundesministerium für Bildung und Forschung, or BMBF), the Group earned income (recognized in other operating income) for certain eligible expenses incurred for the COVID-19 vaccine development; refer to Note 3.7 for more information on amounts recognized from this grant in the year ended December 31, 2021.</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Personnel expenses increased mainly due to increased workforce and the acquisition of Frame Pharmaceuticals. Additionally, share-based payment expense was higher compared to prior year period (refer to Note 10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3.5 General and administrative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 include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9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20" w:type="dxa"/>
            <w:vAlign w:val="bottom"/>
          </w:tcPr>
          <w:p>
            <w:pPr>
              <w:spacing w:after="0"/>
              <w:rPr>
                <w:sz w:val="12"/>
                <w:szCs w:val="12"/>
                <w:color w:val="auto"/>
              </w:rPr>
            </w:pPr>
          </w:p>
        </w:tc>
        <w:tc>
          <w:tcPr>
            <w:tcW w:w="9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0" w:type="dxa"/>
            <w:vAlign w:val="bottom"/>
          </w:tcPr>
          <w:p>
            <w:pPr>
              <w:spacing w:after="0"/>
              <w:rPr>
                <w:sz w:val="12"/>
                <w:szCs w:val="12"/>
                <w:color w:val="auto"/>
              </w:rPr>
            </w:pPr>
          </w:p>
        </w:tc>
        <w:tc>
          <w:tcPr>
            <w:tcW w:w="96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(37,393)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(36,765)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lease</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(4,306)</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(5,853)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services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(28,875)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(27,669)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(29,920)</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Legal and other professional services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(9,230)</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(10,394)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(8,895)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(11,360)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(11,703)</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(12,137)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0" w:type="dxa"/>
            <w:vAlign w:val="bottom"/>
          </w:tcPr>
          <w:p>
            <w:pPr>
              <w:spacing w:after="0"/>
              <w:rPr>
                <w:sz w:val="18"/>
                <w:szCs w:val="18"/>
                <w:color w:val="auto"/>
              </w:rPr>
            </w:pPr>
          </w:p>
        </w:tc>
      </w:tr>
      <w:tr>
        <w:trPr>
          <w:trHeight w:val="21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(91,758)</w:t>
            </w:r>
          </w:p>
        </w:tc>
        <w:tc>
          <w:tcPr>
            <w:tcW w:w="2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general and administrative expenses decreased in comparison to the same period of 2022. The decrease was primarily attributable to less personnel expenses due to lower workforce in the corporate service functions. Others include mainly expenses for D&amp;O insurance and allocations.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3.6 Expenses by nature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nature of the expenses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94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20" w:type="dxa"/>
            <w:vAlign w:val="bottom"/>
          </w:tcPr>
          <w:p>
            <w:pPr>
              <w:spacing w:after="0"/>
              <w:rPr>
                <w:sz w:val="12"/>
                <w:szCs w:val="12"/>
                <w:color w:val="auto"/>
              </w:rPr>
            </w:pPr>
          </w:p>
        </w:tc>
        <w:tc>
          <w:tcPr>
            <w:tcW w:w="94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0" w:type="dxa"/>
            <w:vAlign w:val="bottom"/>
          </w:tcPr>
          <w:p>
            <w:pPr>
              <w:spacing w:after="0"/>
              <w:rPr>
                <w:sz w:val="12"/>
                <w:szCs w:val="12"/>
                <w:color w:val="auto"/>
              </w:rPr>
            </w:pPr>
          </w:p>
        </w:tc>
        <w:tc>
          <w:tcPr>
            <w:tcW w:w="96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(94,655)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(99,924)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(113,422)</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(278,542)</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(121,873)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(78,767)</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services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(708,636)</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(39,501)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(67,905)</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lease</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(7,528)</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(9,381)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(17,232)</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(26,641)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(27,229)</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equipment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(22,810)</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(24,948)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fees to register a legal right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(3,199)</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0" w:type="dxa"/>
            <w:vAlign w:val="bottom"/>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Legal and other professional services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(9,230)</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(10,394)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(14,415)</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(17,064)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20" w:type="dxa"/>
            <w:vAlign w:val="bottom"/>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(1,156,247)</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(353,539)</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(335,760)</w:t>
            </w:r>
          </w:p>
        </w:tc>
        <w:tc>
          <w:tcPr>
            <w:tcW w:w="20" w:type="dxa"/>
            <w:vAlign w:val="bottom"/>
            <w:tcBorders>
              <w:bottom w:val="single" w:sz="8" w:color="auto"/>
            </w:tcBorders>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refer to Notes 3.2 - 3.5 for additional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3.7. Income from release of governmental contract liabilities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Due to the withdrawal of the EMA regulatory approval application for CVnCoV, in October 2021, CureVac recorded in 2021 “Income from release of governmental contract liabilities” amounting to EUR 574,502k, which is explained further below. There was no such event in 2022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Purchase Agreement with European Commission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November 30, 2020, CureVac entered into an Advance Purchase Agreement (APA) with the European Commission (EC), acting on behalf and in the name of all Member States of the European Union. The APA provided for the advance purchase by the Member States of 225 million doses of our SARS-CoV-2 vaccine. In order to support our accelerated efforts to develop a safe and effective vaccine, the APA provided support to our operations in the form of up-front payments. The first up-front payment of EUR 450 million was paid by the EC on behalf of the Member States and was included in contract liabilities as of December 31, 2020.</w:t>
      </w:r>
    </w:p>
    <w:p>
      <w:pPr>
        <w:spacing w:after="0" w:line="18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second up-front payment would have had been due after the submission of the interim data package to the EMA in view of obtaining EC marketing authorization for CVnCoV. The up-front payments were designed to support the development and prepare the commercial supply of the vaccine.</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October 2021, we notified the EC of the withdrawal of our regulatory approval application for CVnCoV, which notification automatically terminated the APA. According to the APA, in such case of termination, CureVac would return the unspent amount of the up-front payment. In the context of the APA, “spent” means either costs occurred, or commitments made in relation to the purpose as set out in the APA. CureVac demonstrated that the up-front payment was used in accordance with the contract and no repayment was required.</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described above, CureVac recognized the consideration related to its delivery obligations, existing at the outset of the arrangement, as contract liabilities. Upon the automatic termination of the APA, the ability for CureVac to satisfy the contractual performance obligations of the arrangement ceased and the EC ceased to have the ability to exercise its rights for performance by the CureVac. As such, the substance of the arrangement changed from a revenue contract to that of a government grant. Due to the material magnitude of the amount, its non-recurring nature and to better enable comparability to past performance and predictability of future performance, CureVac recognized the EUR 450 million into income in an additional line item “Income from release of governmental contract liabilities” in the 2021 statement of operations. The “spent” amounts incurred by CureVac, and which demonstrate use of the up-front payment, have been included in “Research and development expenses” (refer to Note 3.4).</w:t>
      </w:r>
    </w:p>
    <w:p>
      <w:pPr>
        <w:spacing w:after="0" w:line="192"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Additionally, CureVac was required to transfer, upon EC’s request any raw material and primary components paid for with the up-front payment and not used as of the termination date. Should the EC request any raw material and primary components or should CureVac successfully sell some of these, an applicable portion of raw material, primary components or proceeds would be remitted to the EC. This agreement expired at the end of 2022 and an amount of EUR 4,114k was accrued as ‘other liabilities’ as of December 31, 2022 for the related amount due to be remitted to the EC. As of December 31, 2023, the accrued amount of EUR 4,114k was paid to the EC.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German Federal Ministry of Education and Research</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2020, the Company announced that the German Federal Ministry of Education and Research (Bundesministerium für Bildung und Forschung), or BMBF, a German government-related entity,had established a grant to support the development and production of its COVID-19 vaccine candidates. In July 2020, CureVac applied for this grant as part of a special program to accelerate the research and development of urgently needed vaccines against SARS-CoV-2. The grant amounted up to EUR 252 million and the payments were contingent to reaching predefined milestones. Based on the terms and conditions of the arrangement, the Company assessed the arrangement as having two components: a grant component and a supply component which were separated. The amount attributed to the supply of future deliveries was determined based on the relative stand-alone selling price of the vaccine observed in similar arrangements and is presented in contract liabilities.</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reached all the predefined milestones for 2020. Due to the withdrawal of the EMA regulatory approval application for CVnCoV in October 2021, CureVac was not able to reach all predefined milestones in 2021. From 2020 to December 2021, CureVac received a total of EUR 196.3 million. In November 2021, CureVac notified BMG of the inability to supply CVnCoV, triggering the automatic termination of the supply agreement.</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Consistent with the rationale and treatment described above under the APA with the EC, the substance of the supply component of the BMBF arrangement changed from a revenue contract to that of a government grant and thus, consistent with the presentation of the contract liabilities under the APA, CureVac recognized the EUR 124 million in 2021 from the BMBF agreement as income in the line item “Income from release of governmental contract liabilities” and the corresponding expenses have been included in research and development expenses. The remaining amount of EUR 65 million, not related to the supply component, was reflected as grant income in “other operating income” in 2021. (Refer to Note 3.8).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3.8 Other operating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operating income relates to:</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7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24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EUR k</w:t>
            </w: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for CMO/Materials transfer</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Reimbursement claim</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equipment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Grants and other reimbursements from government agencies and similar bodies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67,702</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37,932</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9,151</w:t>
            </w:r>
          </w:p>
        </w:tc>
      </w:tr>
      <w:tr>
        <w:trPr>
          <w:trHeight w:val="20"/>
        </w:trPr>
        <w:tc>
          <w:tcPr>
            <w:tcW w:w="7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March 2022, CureVac AG and GSK amended and restated the 2020 GSK agreement and the GSK COVID Agreement in connection with GSK entering into a direct agreement with Novartis for use of Novartis as a CMO at the same time as CureVac exited its CMO agreement with Novartis. Additionally, under the restated agreement, CureVac is entitled to further compensation by GSK. The compensation mainly consists of consideration for set-up activities undertaken by CureVac (EUR 20,500k) and for reimbursement of prepayments (EUR 12,000k), which were recognized in ‘Compensation for CMO/Materials transfer’ in other operating income during the year ended December 31, 2022.</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2023, 2022 and 2021 income from grants with government agencies and similar bodies resulted from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German Federal Ministry of Education and Research</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discussed in Note 3.7, in 2020 the Company received a grant from BMBF to support the development of its COVID-19 vaccine candidate for which it was determined the arrangement contained two components: a grant component (in the scope of IAS 20) and a supply component (in the scope of IFRS 15). The Group recognized grant income of EUR 65,218k from this grant. As the grant ended in 2021, no such income was recognized in 2022 and 2023.</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January 2024, CureVac has been granted the positive research allowance notice by the German Federal Ministry of Education and Research for the years 2020 - 2026. The research allowance is an instrument that provides tax relief for research expenditure by companies subject to tax in Germany - regardless of size, legal form and sector - and is intended to create incentives to invest in R&amp;D. During the year ended December 31, 2023 the Group recognized EUR 3,064k for R&amp;D projects as other operating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Coalition for Epidemic Preparedness Innovations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Coalition for Epidemic Preparedness Innovations (CEPI) is an innovative partnership between public, private, philanthropic, and civil organizations, launched at the World Economic Forum in Davos in 2017, to develop vaccines to stop future epidemics. CEPI’s priority diseases include Ebola virus, Lassa virus, Middle East Respiratory Syndrome coronavirus, Nipah virus, Rift Valley Fever and Chikungunya virus. CEPI also invests in platform technologies that can be used for rapid vaccine and immunoprophylactic development against unknown pathogens (i.e., Disease X).</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February 2019, CureVac entered into a partnership agreement worth up to USD 34,000k with CEPI to further develop CureVac’s The RNA Printer™ prototype. Under the three-year partnership agreement, CureVac used its mRNA platform for the preclinical development of a Lassa virus vaccine (a high-priority disease on the World Health Organization R&amp;D list), a yellow fever vaccine and CureVac’s rabies virus vaccine. Funds are received semi-annually in advance, to cover costs for the next six months. These payments are allocated to the agreed and signed statements of work. Management concluded that the arrangement should be accounted for by analogy to IAS 20.</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CureVac is required to use reasonable efforts to achieve certain development milestones and is responsible for conducting certain clinical trials. In the event of an infectious disease outbreak, where such outbreak can be addressed by a Lassa virus, SARS-CoV-2 or future vaccine developed under the agreement, CureVac must manufacture such vaccine for use in the area affected by the outbreak on economic terms that satisfy CEPI’s equitable access guidelines or otherwise allow CEPI or a third party to supply such vaccine in the affected area.</w:t>
      </w:r>
    </w:p>
    <w:p>
      <w:pPr>
        <w:spacing w:after="0" w:line="183" w:lineRule="exact"/>
        <w:rPr>
          <w:sz w:val="20"/>
          <w:szCs w:val="20"/>
          <w:color w:val="auto"/>
        </w:rPr>
      </w:pPr>
    </w:p>
    <w:p>
      <w:pPr>
        <w:jc w:val="both"/>
        <w:ind w:right="180" w:firstLine="324"/>
        <w:spacing w:after="0" w:line="281" w:lineRule="auto"/>
        <w:rPr>
          <w:sz w:val="20"/>
          <w:szCs w:val="20"/>
          <w:color w:val="auto"/>
        </w:rPr>
      </w:pPr>
      <w:r>
        <w:rPr>
          <w:rFonts w:ascii="Times New Roman" w:cs="Times New Roman" w:eastAsia="Times New Roman" w:hAnsi="Times New Roman"/>
          <w:sz w:val="17"/>
          <w:szCs w:val="17"/>
          <w:color w:val="auto"/>
        </w:rPr>
        <w:t>CureVac is required to grant certain approved manufacturers all necessary rights to use certain of CureVac’s pre-existing IP and IP developed under the CEPI Agreement to further develop CureVac’s automation solution and manufacture products for the treatment of certain diseases in geographic areas where there is an outbreak on economic terms that satisfy CEPI’s equitable access guidelines. CureVac must provide all necessary commercially reasonable support to such approved manufacturers to facilitate such efforts.</w:t>
      </w:r>
    </w:p>
    <w:p>
      <w:pPr>
        <w:spacing w:after="0" w:line="16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CureVac solely owns all IP developed under the CEPI Agreement but is required to obtain CEPI’s consent prior to exploiting any IP developed under the CEPI Agreement if such exploitation is in conflict with or goes against CEPI´s mission or policies.</w:t>
      </w:r>
    </w:p>
    <w:p>
      <w:pPr>
        <w:spacing w:after="0" w:line="162"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In the event that CEPI terminates the agreement, CureVac will grant CEPI a license under CureVac’s background IP and IP developed under the agreement to, among other things, develop and use CureVac’s RNA Printer for use in treating certain infectious diseases and to manufacture products developed under the agreement.</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January 2020, CureVac and CEPI entered a collaboration to develop a vaccine against the new coronavirus SARS-CoV-2. The aim of the cooperation is to safely advance vaccine candidates into clinical testing as quickly as possible. The agreement builds upon the existing partnership between CureVac and CEPI to develop a rapid-response vaccine platform and included additional initial funding of up to USD 8,300k. In May 2020, CEPI increased its grant award to the Group for SARS-CoV-2 vaccine development to up to USD 15,300k.</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2023, CureVac recognized the reimbursement of approved expenses of EUR 3k (2022: EUR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42k; 2021: EUR 688k) as “other operating income”.</w:t>
      </w:r>
    </w:p>
    <w:p>
      <w:pPr>
        <w:spacing w:after="0" w:line="20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EUR 305k in grant funds received have been deferred and are presented within other liabilities (2022: EUR 309k). Following the completion of the partnership agreement of February 2019 between CureVac and CEPI in May 2022, CEPI requested a partial reimbursement of the unspent funds up to USD 1,000k. Those were reclassified from other liabilities to trade and other payables as of December 31, 2022. As of December 31, 2023, these unspent funds were repaid to CEPI.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&amp; Melinda Gates Foundation (BMGF)</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BMGF finances, in the form of grants, various programs that CureVac operates for the development of vaccines, hence promoting and accelerating the development of CureVac’s technology platform. Through its equity investment, BMGF supports mainly the development of CureVac’s technology platform including the construction of a production plant in accordance with the GMP (Good Manufacturing Practice) standard on an industrial scale.</w:t>
      </w:r>
    </w:p>
    <w:p>
      <w:pPr>
        <w:spacing w:after="0" w:line="18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 2015, CureVac entered into a Global Access Commitments Agreement with the Bill &amp; Melinda Gates Foundation pursuant to which the Company is required to take certain actions to support the Bill &amp; Melinda Gates Foundation’s mission.</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2016, in connection with the Global Access Agreement, CureVac received a grant of USD 653k (EUR 614k) in funding for the development of a vaccine for picornaviruses. In November 2017, also in connection with the Global Access Agreement, the company received two additional grants: an amount of USD 1,000k (EUR 852k) was received for the development of a universal influenza vaccine and an amount of USD 800k (EUR 673k) was received for a malaria vaccine. In August 2019, the Company received a second payment for the universal influenza program amounting to USD 540k (EUR 486k). In November 2020, the Company received a third payment for the universal influenza program amounting to USD 322k (EUR 280k). In November and December 2020, the Company received further payment for the malaria program amounting to USD 1,449k (EUR 1,208k).</w:t>
      </w:r>
    </w:p>
    <w:p>
      <w:pPr>
        <w:spacing w:after="0" w:line="18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CureVac recognized EUR 66k (2022: EUR 167k, 2021: EUR 488k) for services as other operating income. In addition, EUR 217k were repaid in 2023 to the Bill &amp; Melinda Gates Foundation due to the closure of one project. The grant is released on a cost occurred basis.</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EUR 1,430k in grant funds received have been deferred and presented within other liabilities (2022: EUR 1,712k).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Fixed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4.1 Development of intangible assets and property, plant and equipment</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development of intangible assets and property, plant and equipment for the years ended December 31, 2023 and 2022 were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EUR)</w:t>
            </w: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Advance</w:t>
            </w:r>
          </w:p>
        </w:tc>
        <w:tc>
          <w:tcPr>
            <w:tcW w:w="8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Acquisition costs</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 of January 1, 2022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0" w:type="dxa"/>
            <w:vAlign w:val="bottom"/>
          </w:tcPr>
          <w:p>
            <w:pPr>
              <w:spacing w:after="0"/>
              <w:rPr>
                <w:sz w:val="1"/>
                <w:szCs w:val="1"/>
                <w:color w:val="auto"/>
              </w:rPr>
            </w:pPr>
          </w:p>
        </w:tc>
      </w:tr>
      <w:tr>
        <w:trPr>
          <w:trHeight w:val="216"/>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Disposals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(1,537)</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Currency translation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44,139</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Accumulated amortization and impairment charges</w:t>
            </w: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of January 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w:t>
            </w:r>
          </w:p>
        </w:tc>
        <w:tc>
          <w:tcPr>
            <w:tcW w:w="0" w:type="dxa"/>
            <w:vAlign w:val="bottom"/>
          </w:tcPr>
          <w:p>
            <w:pPr>
              <w:spacing w:after="0"/>
              <w:rPr>
                <w:sz w:val="1"/>
                <w:szCs w:val="1"/>
                <w:color w:val="auto"/>
              </w:rPr>
            </w:pPr>
          </w:p>
        </w:tc>
      </w:tr>
      <w:tr>
        <w:trPr>
          <w:trHeight w:val="216"/>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Disposals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(2,217)</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(1,114)</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16"/>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Currency translation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12,361</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Acquisition costs</w:t>
            </w: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of January 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44,139</w:t>
            </w:r>
          </w:p>
        </w:tc>
        <w:tc>
          <w:tcPr>
            <w:tcW w:w="0" w:type="dxa"/>
            <w:vAlign w:val="bottom"/>
          </w:tcPr>
          <w:p>
            <w:pPr>
              <w:spacing w:after="0"/>
              <w:rPr>
                <w:sz w:val="1"/>
                <w:szCs w:val="1"/>
                <w:color w:val="auto"/>
              </w:rPr>
            </w:pPr>
          </w:p>
        </w:tc>
      </w:tr>
      <w:tr>
        <w:trPr>
          <w:trHeight w:val="216"/>
        </w:trPr>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Disposals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(1,946)</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(4,432)</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0" w:type="dxa"/>
            <w:vAlign w:val="bottom"/>
          </w:tcPr>
          <w:p>
            <w:pPr>
              <w:spacing w:after="0"/>
              <w:rPr>
                <w:sz w:val="1"/>
                <w:szCs w:val="1"/>
                <w:color w:val="auto"/>
              </w:rPr>
            </w:pPr>
          </w:p>
        </w:tc>
      </w:tr>
      <w:tr>
        <w:trPr>
          <w:trHeight w:val="216"/>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Reclassifications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(6,797)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translation</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3,843</w:t>
            </w:r>
          </w:p>
        </w:tc>
        <w:tc>
          <w:tcPr>
            <w:tcW w:w="20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17,974</w:t>
            </w:r>
          </w:p>
        </w:tc>
        <w:tc>
          <w:tcPr>
            <w:tcW w:w="20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6,350</w:t>
            </w:r>
          </w:p>
        </w:tc>
        <w:tc>
          <w:tcPr>
            <w:tcW w:w="2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12,463</w:t>
            </w:r>
          </w:p>
        </w:tc>
        <w:tc>
          <w:tcPr>
            <w:tcW w:w="20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40,630</w:t>
            </w:r>
          </w:p>
        </w:tc>
        <w:tc>
          <w:tcPr>
            <w:tcW w:w="0" w:type="dxa"/>
            <w:vAlign w:val="bottom"/>
          </w:tcPr>
          <w:p>
            <w:pPr>
              <w:spacing w:after="0"/>
              <w:rPr>
                <w:sz w:val="1"/>
                <w:szCs w:val="1"/>
                <w:color w:val="auto"/>
              </w:rPr>
            </w:pPr>
          </w:p>
        </w:tc>
      </w:tr>
      <w:tr>
        <w:trPr>
          <w:trHeight w:val="196"/>
        </w:trPr>
        <w:tc>
          <w:tcPr>
            <w:tcW w:w="40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Accumulated amortization and impairment charges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 of January 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0" w:type="dxa"/>
            <w:vAlign w:val="bottom"/>
          </w:tcPr>
          <w:p>
            <w:pPr>
              <w:spacing w:after="0"/>
              <w:rPr>
                <w:sz w:val="1"/>
                <w:szCs w:val="1"/>
                <w:color w:val="auto"/>
              </w:rPr>
            </w:pPr>
          </w:p>
        </w:tc>
      </w:tr>
      <w:tr>
        <w:trPr>
          <w:trHeight w:val="216"/>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Disposals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(3,294)</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Currency translation</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12,285</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Carrying amount</w:t>
            </w: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of January 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As of December 31, 2022</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31,778</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1,878</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8,920</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5,084</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12,463</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28,347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As the Group operates as one cash-generating unit, for the purpose of impairment testing in 2023, goodwill was allocated at Group level. For the impairment test the market capitalization was compared to the Group’s equity; the Goodwill was covered by the exceeding amount. The market capitalization derived from public quotations of CureVac stock (Nasdaq Dec 29, 2023: USD 4.21). Based on this, CureVac has concluded, that there are no indications of potential impairment in the goodwill of its one cash-generating unit.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Technical</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furniture</w:t>
            </w:r>
          </w:p>
        </w:tc>
        <w:tc>
          <w:tcPr>
            <w:tcW w:w="11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EUR)</w:t>
            </w:r>
          </w:p>
        </w:tc>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9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8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machines</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Acquisition costs</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 of January 1,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124,543</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215,283</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89,620</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Assets held for sale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(6,719)</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(50,851)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Disposals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(12,584)</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(1,732)</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(4,356)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Reclassifications</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(7,652)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translation</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9"/>
        </w:trPr>
        <w:tc>
          <w:tcPr>
            <w:tcW w:w="4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26,467</w:t>
            </w:r>
          </w:p>
        </w:tc>
        <w:tc>
          <w:tcPr>
            <w:tcW w:w="22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50,033</w:t>
            </w:r>
          </w:p>
        </w:tc>
        <w:tc>
          <w:tcPr>
            <w:tcW w:w="2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12,552</w:t>
            </w:r>
          </w:p>
        </w:tc>
        <w:tc>
          <w:tcPr>
            <w:tcW w:w="2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138,457</w:t>
            </w:r>
          </w:p>
        </w:tc>
        <w:tc>
          <w:tcPr>
            <w:tcW w:w="2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227,509</w:t>
            </w:r>
          </w:p>
        </w:tc>
        <w:tc>
          <w:tcPr>
            <w:tcW w:w="0" w:type="dxa"/>
            <w:vAlign w:val="bottom"/>
          </w:tcPr>
          <w:p>
            <w:pPr>
              <w:spacing w:after="0"/>
              <w:rPr>
                <w:sz w:val="1"/>
                <w:szCs w:val="1"/>
                <w:color w:val="auto"/>
              </w:rPr>
            </w:pPr>
          </w:p>
        </w:tc>
      </w:tr>
      <w:tr>
        <w:trPr>
          <w:trHeight w:val="197"/>
        </w:trPr>
        <w:tc>
          <w:tcPr>
            <w:tcW w:w="42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Accumulated depreciation and impairment charges</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 of January 1,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22,810</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Disposals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(9,938)</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(1,688)</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(24,038)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(36,747)</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Currency translation</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29,568</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Acquisition costs</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of January 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26,467</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138,457</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227,509</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43,126</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54,873</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Disposals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(5,090)</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(1,825)</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Reclassifications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Currency translation</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9"/>
        </w:trPr>
        <w:tc>
          <w:tcPr>
            <w:tcW w:w="4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27,537</w:t>
            </w:r>
          </w:p>
        </w:tc>
        <w:tc>
          <w:tcPr>
            <w:tcW w:w="22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54,941</w:t>
            </w:r>
          </w:p>
        </w:tc>
        <w:tc>
          <w:tcPr>
            <w:tcW w:w="2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12,736</w:t>
            </w:r>
          </w:p>
        </w:tc>
        <w:tc>
          <w:tcPr>
            <w:tcW w:w="2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178,990</w:t>
            </w:r>
          </w:p>
        </w:tc>
        <w:tc>
          <w:tcPr>
            <w:tcW w:w="2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274,205</w:t>
            </w:r>
          </w:p>
        </w:tc>
        <w:tc>
          <w:tcPr>
            <w:tcW w:w="0" w:type="dxa"/>
            <w:vAlign w:val="bottom"/>
          </w:tcPr>
          <w:p>
            <w:pPr>
              <w:spacing w:after="0"/>
              <w:rPr>
                <w:sz w:val="1"/>
                <w:szCs w:val="1"/>
                <w:color w:val="auto"/>
              </w:rPr>
            </w:pPr>
          </w:p>
        </w:tc>
      </w:tr>
      <w:tr>
        <w:trPr>
          <w:trHeight w:val="197"/>
        </w:trPr>
        <w:tc>
          <w:tcPr>
            <w:tcW w:w="42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Accumulated depreciation and impairment charges</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 of January 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Disposals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(4,270)</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(1,659)</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Currency translation</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37,424</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Carrying amount</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of January 1,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40,248</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101,733</w:t>
            </w:r>
          </w:p>
        </w:tc>
        <w:tc>
          <w:tcPr>
            <w:tcW w:w="2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168,264</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As of December 31, 2022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37,416</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137,631</w:t>
            </w: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197,941</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14,623</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40,669</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4,698</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176,790</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236,782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fiscal 2023, impairments of EUR 1,374k were recognized (2022: EUR 5,884k). These were recognized in cost of sales as they pertained to machinery and technical equipment recorded under assets under construction and resulted from the partial impairment of equipment which are obsolete due to the withdrawal of the EMA regulatory approval application for CVnCoV. In fiscal 2022, assets were reclassified as ‘assets held for sale’ (Refer to Note 5 for additional information).</w:t>
      </w:r>
    </w:p>
    <w:p>
      <w:pPr>
        <w:spacing w:after="0" w:line="180"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Group capitalized EUR 2,375k borrowing costs during fiscal 2023 (2022: EUR 2,291k, 2021: EUR 2,932k). The capitalization rate used to determine the amount of the borrowing costs eligible for capitalization during fiscal 2023 was a weighted average of 5.76% (2022: 5.78%, 2021: 7.17%).</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4.2 Right-of-use assets and lease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out below, are the carrying amounts of the Group’s right-of-use assets and the movements during the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8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Land and</w:t>
            </w: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8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60" w:type="dxa"/>
            <w:vAlign w:val="bottom"/>
            <w:gridSpan w:val="2"/>
            <w:vMerge w:val="continue"/>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EURk</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EURk</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EURk</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EURk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41,183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Additions (new leases and reassessment of existing leases)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(5,264)</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39,574</w:t>
            </w: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most significant lease agreements that have been initiated relate to several buildings in Tübingen, a building in Wiesbaden and Frankfurt am Main, a building in Amsterdam/Netherlands and a building in Boston/USA.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additions mainly relate to six rental agreements in Tübingen (EUR 2,452k) and one rental agreement in Wiesbaden (EUR 510k).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CureVac assessed one extension option of 5 years to be reasonably certain.</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the carrying amounts of lease liabilities and the movements during the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0" w:type="dxa"/>
            <w:vAlign w:val="bottom"/>
          </w:tcPr>
          <w:p>
            <w:pPr>
              <w:spacing w:after="0"/>
              <w:rPr>
                <w:sz w:val="1"/>
                <w:szCs w:val="1"/>
                <w:color w:val="auto"/>
              </w:rPr>
            </w:pPr>
          </w:p>
        </w:tc>
      </w:tr>
      <w:tr>
        <w:trPr>
          <w:trHeight w:val="210"/>
        </w:trPr>
        <w:tc>
          <w:tcPr>
            <w:tcW w:w="100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42,086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Additions (new leases and reassessment of existing leases)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interest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41,824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maturity analysis of lease liabilities is disclosed in Note 15.</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are the amounts recognized in the statement of operations: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24"/>
                <w:szCs w:val="24"/>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of right-of-use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Impairment expense / reversal of impairment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relating to short-term leases (included in cost of sales)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Expense relating to leases of low-value assets (included in general and</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from sub-leasing right-of-use assets presented in “other</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000" w:type="dxa"/>
            <w:vAlign w:val="bottom"/>
          </w:tcPr>
          <w:p>
            <w:pPr>
              <w:spacing w:after="0"/>
              <w:rPr>
                <w:sz w:val="24"/>
                <w:szCs w:val="24"/>
                <w:color w:val="auto"/>
              </w:rPr>
            </w:pPr>
          </w:p>
        </w:tc>
        <w:tc>
          <w:tcPr>
            <w:tcW w:w="542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F-34</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out below, are the carrying amounts of the Group’s right-of-use assets and the movements of prior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8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Land and</w:t>
            </w:r>
          </w:p>
        </w:tc>
        <w:tc>
          <w:tcPr>
            <w:tcW w:w="7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140" w:type="dxa"/>
            <w:vAlign w:val="bottom"/>
          </w:tcPr>
          <w:p>
            <w:pPr>
              <w:spacing w:after="0"/>
              <w:rPr>
                <w:sz w:val="10"/>
                <w:szCs w:val="10"/>
                <w:color w:val="auto"/>
              </w:rPr>
            </w:pPr>
          </w:p>
        </w:tc>
        <w:tc>
          <w:tcPr>
            <w:tcW w:w="8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7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EURk</w:t>
            </w: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EURk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EURk</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EURk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2,179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(4,639)</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9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41,183</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2,303</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Below are the carrying amounts of lease liabilities and the movements during the period 2022:</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vMerge w:val="restart"/>
          </w:tcPr>
          <w:p>
            <w:pPr>
              <w:spacing w:after="0"/>
              <w:rPr>
                <w:sz w:val="12"/>
                <w:szCs w:val="12"/>
                <w:color w:val="auto"/>
              </w:rPr>
            </w:pPr>
          </w:p>
        </w:tc>
        <w:tc>
          <w:tcPr>
            <w:tcW w:w="5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interest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42,086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37,106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maturity analysis of lease liabilities is disclosed in Note 15.</w:t>
      </w:r>
    </w:p>
    <w:p>
      <w:pPr>
        <w:spacing w:after="0" w:line="185"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There are no commitments for leases not yet commenced as of December 31, 2023. Commitments for leases not yet commenced as of December 31, 2022, related to two lease agreements of buildings in Tübingen, Germany that have been signed in 2021 and one lease agreement of a building in Wiesbaden, Germany that has been signed in 2022.</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Optional lease payments from using extension options not included in the measurement of the lease liability exist in a gross amount of EUR 39,325k.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Assets held for sale</w:t>
      </w:r>
    </w:p>
    <w:p>
      <w:pPr>
        <w:spacing w:after="0" w:line="21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2022, Management decided to dispose of certain equipment which had been procured for CMO activities (CMO Equipment) but that was no longer planned to be used by the Company. An external service-provider was appointed on June 14, 2022 to organize the sale of the CMO Equipment. As of December 31, 2022, the CMO Equipment identified for sale had a gross book value of EUR 29,531k and was written down by EUR 19,064k (with the corresponding expense recognized in cost of sales) to EUR 10,467k, the fair value less anticipated costs to sell.</w:t>
      </w:r>
    </w:p>
    <w:p>
      <w:pPr>
        <w:spacing w:after="0" w:line="17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During fiscal year 2023 assets with a net book value of EUR 167k were classified as assets held for sale and assets held for sale with a net book value of EUR 1,505k were sold through direct sales and an external service provider, indicating the remaining assets held for sale’s carrying value might be further impaired. Based on fair value less costs of disposal calculations, and taking into account the most recent sales projections, including Q1 of 2024, the external service provider’s market expertise, and an assessment to date as prepared by management, the fair value at December 31, 2023 was lowered to EUR 2,419k by a decrease of EUR 6,711k (with the corresponding expense recognized in cost of sales). The assets held for sale have been valued taking into account the current market circumstances and demand for secondhand equipment for assets outside of warranty periods. Criteria for the determination of the fair value were defined based on certain sales scenarios and considering different sales campaigns, where valuation techniques applied have remained consistent to the prior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21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inventories include only raw materials and supplies amounting to EUR 24,801k (December 31, 2022: EUR 23,989k), which are recoverable under the Company’s agreements with its collaboration partners. During the year ended December 31, 2023, the increase in inventory of EUR 811k is primarily due to purchases of raw material for R&amp;D collaborations and for stockpiling towards the PPA of EUR 62,082k.</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Timelines related to the Pandemic Preparedness Agreement were ambitious with the aim of providing acute pandemic preparedness in Germany in the context of emerging COVID-19 variants. In 2023, CureVac identified a risk that necessary regulatory approvals needed to meet these timelines may not be achieved within the contractually agreed timeframe. After consultation with ZEPAI, CureVac applied for a timeline extension as foreseen under the agreement to avoid procurement of further substantial amounts of raw material at risk. As of December 31, 2023, it was considered unlikely that the extension would be granted. Additionally, a rapidly changing epidemiological environment did no longer prompt an acute pandemic threat. Accordingly, inventories which had been stockpiled as required by the PPA, were written down to their net realizable value. Ultimately, the extension was not granted, whereupon CureVac and GSK jointly decided to terminate the agreement. For more detailed information we refer to Note 21. In total, inventory in the amount of EUR 47,129k was written - off as of year-end including write-off of materials received as part of Gen1 commitments. The residual amount was consumed.</w:t>
      </w:r>
    </w:p>
    <w:p>
      <w:pPr>
        <w:spacing w:after="0" w:line="194"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expense recognized related to the write-offs, scraps and consumption are mainly included in ‘Cost of Sales’. In the year 2022 EUR 80,021k were written off.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financial assets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financial assets as of December 31, 2023 amounted to EUR 2,661k (2022: EUR 4,487k) mainly include deposits held by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in amount of EUR 1,936k (2022: EUR 1,936k) and other receivables in the amount of EUR 726k (2022: EUR 2,551k).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of EUR 23,763k (2022: EUR 40,002k) include prepayments for future service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material in the amount of EUR 1,075k (2022: EUR 4,507k), deferred charges of EUR 5,463k (2022: EUR 5,345k) and receivables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 4,344k (2022: EUR 5,595k). For more details, refer to Note 3.8. As of December 31, 2023, we had tax receivables, mainly VAT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refund claims, of EUR 12,881k in other current assets (2022: EUR 24,555k).</w:t>
      </w:r>
    </w:p>
    <w:p>
      <w:pPr>
        <w:spacing w:after="0" w:line="203" w:lineRule="exact"/>
        <w:rPr>
          <w:sz w:val="20"/>
          <w:szCs w:val="20"/>
          <w:color w:val="auto"/>
        </w:rPr>
      </w:pPr>
    </w:p>
    <w:p>
      <w:pPr>
        <w:jc w:val="both"/>
        <w:ind w:right="9140" w:firstLine="8"/>
        <w:spacing w:after="0" w:line="487" w:lineRule="auto"/>
        <w:tabs>
          <w:tab w:leader="none" w:pos="18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Overview</w:t>
      </w:r>
    </w:p>
    <w:p>
      <w:pPr>
        <w:spacing w:after="0" w:line="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According to the Company’s articles of association, the Company’s authorized shares are divided into 386,250,000 common shares and 386,250,000 preferred shares, each having a nominal value of EUR 0.12. As of December 31, 2023, no preferred shares had been issued and all issued common shares issued and outstanding were fully paid.</w:t>
      </w:r>
    </w:p>
    <w:p>
      <w:pPr>
        <w:spacing w:after="0" w:line="14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All payments received from shareholders in excess of the nominal value of the shares issued and net of transaction costs are recognized in capital reserves. Capital reserves also consists of recognition of share-based payments and the equity components of convertible loans. The Company may only make distributions, whether a distribution of profits or of freely distributable reserves, to shareholders to the extent shareholders’ equity exceeds the sum of the paid-in and called-up share capital plus any reserves required by Dutch law or by the Company’s articles of association.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07"/>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6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number of shares issued and outstanding in fiscal 2023 are as follows:</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5860" w:type="dxa"/>
            <w:vAlign w:val="bottom"/>
            <w:gridSpan w:val="2"/>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shares issued and outstanding at December 31, 2020</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180,460,565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Follow-on public offering, incl. Greenshoe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 exercises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910,163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shares issued and outstanding at December 31, 2021</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187,120,728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as part of the at-the-market offering program</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6,908,493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to former shareholders of Frame Pharmaceuticals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858,496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LTIP option exercises and RSU deliveries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shares issued and outstanding at December 31, 2022</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194,997,091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as part of the at-the-market offering program</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1,748,218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as part of the public offering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27,027,028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LTIP option exercises and RSU releases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216,338</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shares issued and outstanding at December 31, 2023</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223,988,675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Refer to Note 21 for additional information on share transactions occurring after December 31, 2023. The share transactions which occurred in 2021, 2022 and 2023 are as described below.</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Follow-on public offering</w:t>
      </w:r>
    </w:p>
    <w:p>
      <w:pPr>
        <w:spacing w:after="0" w:line="229"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In February 2021, the Company completed a follow-on public offering whereby it sold 5,000,000 common shares at a price of USD 90.00 per share. In addition, the underwriters exercised their option to purchase an additional 750,000 common shares at this same price less the underwriting discount. The aggregate proceeds, net of underwriting discounts, received by the Company from these transactions were EUR 426,652k. Offering costs for legal, accounting, printing and registration fees of EUR 22,590k were recognized as reduction to capital reserve against the proceeds from the offering.</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At-the-market offering</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September 17, 2021, CureVac filed a prospectus for an “at-the-market” (ATM) offering program to raise additional cash of up to USD 600 million. The program was activated in June 2022. Through December 31, 2022, CureVac has issued 6,908,493 shares and raised gross proceeds of USD 69,139k. In the first quarter of 2023, 1,748,218 shares were issued under the ATM program, raising USD 18,023k million in gross proceeds. Offering costs for legal, accounting, printing and registration fees were recognized as reduction to capital reserve against the proceeds from the offering. Following these issuances, the remaining value authorized for sale under the at - the - market program amounts to USD 513 million.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Follow-on public offering 2023</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2023, the Company completed a follow - on public offering whereby it sold 27,027,028 common shares at a price of USD 9.25 per share. The aggregate proceeds, net of underwriting discounts, received by the Company from these transactions were EUR 219,832k. Offering costs for legal, accounting, printing and registration fees of EUR 14,580k were recognized as reduction to capital reserve against the proceeds from the offering.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Frame Pharmaceuticals acquisition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June 8, 2022, CureVac entered into a Share Purchase Agreement (SPA) to acquire all of the issued and outstanding shares of Frame Pharmaceuticals B.V., a research company focused on advanced genomics and bioinformatics, based in Amsterdam, Netherlands. Under the SPA, the total consideration for the the purchase was up to EUR 34 million, conditioned on the meeting of certain development milestone payments. On the date of acquisition, July 1, 2022, CureVac issued 858,496 shares to the former shareholders of Frame Pharmaceuticals. Refer to Note 20 for additional information.</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48" w:right="10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Exercises of share options under the prior VSOP plan</w:t>
      </w:r>
    </w:p>
    <w:p>
      <w:pPr>
        <w:spacing w:after="0" w:line="229" w:lineRule="exact"/>
        <w:rPr>
          <w:sz w:val="20"/>
          <w:szCs w:val="20"/>
          <w:color w:val="auto"/>
        </w:rPr>
      </w:pPr>
    </w:p>
    <w:p>
      <w:pPr>
        <w:ind w:right="320" w:firstLine="324"/>
        <w:spacing w:after="0" w:line="256" w:lineRule="auto"/>
        <w:rPr>
          <w:sz w:val="20"/>
          <w:szCs w:val="20"/>
          <w:color w:val="auto"/>
        </w:rPr>
      </w:pPr>
      <w:r>
        <w:rPr>
          <w:rFonts w:ascii="Times New Roman" w:cs="Times New Roman" w:eastAsia="Times New Roman" w:hAnsi="Times New Roman"/>
          <w:sz w:val="18"/>
          <w:szCs w:val="18"/>
          <w:color w:val="auto"/>
        </w:rPr>
        <w:t>The IPO in August 2020 triggered an exercise event under the set terms of the prior VSOP plan (see Note 10). In March 2021, CureVac received 759,677 shares from the old shareholders and transferred 390,023 shares to the participants of the old VSOP plan. CureVac withheld 369,654 shares equaling the amount to be paid for income tax and social security tax. A second triggering event, “liquidity after IPO” was met one year after IPO. In October 2021, CureVac received 765,223 shares from the old shareholders and transferred 523,897 shares to the participants of the VSOP plan. CureVac withheld 241,326 shares equaling the amount to be paid for income tax and social security tax.</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 third triggering event, again “liquidity after IPO”, was met on the second anniversary of the IPO. In December 2022, CureVac received 777,260 shares from the old shareholders. All shares were transferred to the participants of the prior VSOP plan and the portion of shares equaling the amount to be paid for income tax and social security tax were sold to pay for these taxes and social security amounts. In 2022, CureVac recorded a receivable for income tax and social security tax for former employees and received these amounts in Q1 2023. A fourth triggering event, again “liquidity after IPO”, was met on the third anniversary of the IPO. CureVac will receive 786,746 shares from the old shareholders and will transfer these to the participants of the old VSOP plan in March 2024.</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Exercises of share options under the new VSOP plan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Participants of the new VSOP plan (see Note 10) were able to continue to exercise their options throughout the year of 2023. In 2023 69,246 shares (2022: 147,620 shares) were issued upon exercise of options and no options were forfeited (2022: 96,785).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payments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Group operated the following share-based plans for members of management and other key employees of the Group, as well as members of the supervisory board:</w:t>
      </w:r>
    </w:p>
    <w:p>
      <w:pPr>
        <w:spacing w:after="0" w:line="162" w:lineRule="exact"/>
        <w:rPr>
          <w:sz w:val="20"/>
          <w:szCs w:val="20"/>
          <w:color w:val="auto"/>
        </w:rPr>
      </w:pPr>
    </w:p>
    <w:p>
      <w:pPr>
        <w:ind w:left="680" w:hanging="321"/>
        <w:spacing w:after="0"/>
        <w:tabs>
          <w:tab w:leader="none" w:pos="6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VSOP</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VSOP  — for US employees (from 2019 onwards)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LTIP Stock Options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LTIP RSUs (from 2021 onwards)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programs were accounted for as equity-settled share-based payment awards.</w:t>
      </w:r>
    </w:p>
    <w:p>
      <w:pPr>
        <w:spacing w:after="0" w:line="225" w:lineRule="exact"/>
        <w:rPr>
          <w:sz w:val="20"/>
          <w:szCs w:val="20"/>
          <w:color w:val="auto"/>
        </w:rPr>
      </w:pPr>
    </w:p>
    <w:p>
      <w:pPr>
        <w:jc w:val="both"/>
        <w:ind w:right="220" w:firstLine="324"/>
        <w:spacing w:after="0" w:line="257" w:lineRule="auto"/>
        <w:rPr>
          <w:sz w:val="20"/>
          <w:szCs w:val="20"/>
          <w:color w:val="auto"/>
        </w:rPr>
      </w:pPr>
      <w:r>
        <w:rPr>
          <w:rFonts w:ascii="Times New Roman" w:cs="Times New Roman" w:eastAsia="Times New Roman" w:hAnsi="Times New Roman"/>
          <w:sz w:val="18"/>
          <w:szCs w:val="18"/>
          <w:color w:val="auto"/>
        </w:rPr>
        <w:t>Measurement of the grant date fair value is based on valuation techniques appropriate in the circumstances, such as Black Scholes option pricing models or a Monte Carlo simulation. Expected volatility, a key input to such models, was based on an evaluation of the historical volatilities of comparable listed biotech-companies over the historical period commensurate with the expected option life.</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Regarding the expected option life of the stock option programs, this was based on the assumptions that the beneficiary would exercise his option in equal installments from the date of the first time possible (taking into account lock-up and potential trading windows restrictions) until maturity. The risk-free interest was derived from German or US-Government bonds, as appropriate.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expense recognized for share-based payments during the years ended December 31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68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Pr>
          <w:p>
            <w:pPr>
              <w:spacing w:after="0"/>
              <w:rPr>
                <w:sz w:val="15"/>
                <w:szCs w:val="15"/>
                <w:color w:val="auto"/>
              </w:rPr>
            </w:pPr>
          </w:p>
        </w:tc>
      </w:tr>
      <w:tr>
        <w:trPr>
          <w:trHeight w:val="142"/>
        </w:trPr>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6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980" w:type="dxa"/>
            <w:vAlign w:val="bottom"/>
          </w:tcPr>
          <w:p>
            <w:pPr>
              <w:spacing w:after="0"/>
              <w:rPr>
                <w:sz w:val="12"/>
                <w:szCs w:val="12"/>
                <w:color w:val="auto"/>
              </w:rPr>
            </w:pPr>
          </w:p>
        </w:tc>
      </w:tr>
      <w:tr>
        <w:trPr>
          <w:trHeight w:val="216"/>
        </w:trPr>
        <w:tc>
          <w:tcPr>
            <w:tcW w:w="100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VSOP</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New VSOP</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 Stock Options</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LTIP RSUs</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Supervisory board</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980" w:type="dxa"/>
            <w:vAlign w:val="bottom"/>
          </w:tcPr>
          <w:p>
            <w:pPr>
              <w:spacing w:after="0"/>
              <w:rPr>
                <w:sz w:val="18"/>
                <w:szCs w:val="18"/>
                <w:color w:val="auto"/>
              </w:rPr>
            </w:pPr>
          </w:p>
        </w:tc>
      </w:tr>
      <w:tr>
        <w:trPr>
          <w:trHeight w:val="209"/>
        </w:trPr>
        <w:tc>
          <w:tcPr>
            <w:tcW w:w="37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(14,939)</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(9,184)</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(7,697)</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8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F-38</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Prior VSOP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development of the virtual shares in the Prior VSOP program granted to management and key employees was as follows:</w:t>
      </w:r>
    </w:p>
    <w:p>
      <w:pPr>
        <w:spacing w:after="0" w:line="232"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the beginning of the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7,951,265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6,426,365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5,614,246</w:t>
            </w: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w:t>
            </w: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(1,524,900)</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(777,260)</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the end of the period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6,426,365</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5,614,246</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5,603,155</w:t>
            </w:r>
          </w:p>
        </w:tc>
      </w:tr>
      <w:tr>
        <w:trPr>
          <w:trHeight w:val="209"/>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Thereof vested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6,365,422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5,509,886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5,588,513</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Thereof exercisable</w:t>
            </w: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none</w:t>
            </w:r>
          </w:p>
        </w:tc>
        <w:tc>
          <w:tcPr>
            <w:tcW w:w="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9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IPO on August 14, 2020, triggered the right to exercise 10 % of the vested virtual shares at the end of the lock-up period, which ended on February 10, 2021. By March 10, 2021, the beneficiaries declared the exercise of all their exercisable 759,677 virtual shares and CureVac received 759,677 shares from their former major shareholders as of 2015, on that day. On March 11, 2021, CureVac transferred 390,023 shares to the exercising beneficiaries and withheld 369,654 (treasury) shares equal to the monetary value (approximately EUR 26 million) of the beneficiaries (wage) tax and social security obligations, which CureVac transferred to the relevant authorities on the exercising employee’s behalf in cash. The share price of CureVac on March 11, 2021, was EUR 69.69.</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 second 10 % portion of the (vested) virtual shares became exercisable on the first anniversary after IPO i. e., on August 14, 2021, because certain minimum trading volumes of the CureVac N.V. shares and liquidity levels were reached. The beneficiaries declared the exercise of their exercisable 765,223 virtual shares by October 18, 2021 and CureVac received 765,223 shares from the old shareholders on that day. On October 19, 2021, CureVac transferred 523,897 shares to the exercising beneficiaries and withheld 241,326 (treasury) shares equal to the monetary value (approximately EUR 8 million) of the beneficiaries (wage) tax and social security obligations, which CureVac transferred to the relevant authorities on the exercising employee´s behalf in cash. The share price of CureVac on October 19, 2021, was EUR 34.56.</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 third 10 % portion of the (vested) virtual shares became exercisable on the second anniversary after IPO i. e., on August 14, 2022, because certain minimum trading volumes of the CureVac N.V. shares and liquidity levels were again reached. The beneficiaries declared the exercise of their then exercisable 777,260 virtual shares by December 12, 2022 and CureVac received 777,260 shares from the old shareholders on that day. On December 14, 2022, CureVac transferred 777,260 shares to the exercising beneficiaries. The portion of shares equaling the amount to be paid for (wage) tax and social security obligations were sold to pay for these amounts. For former employees CureVac shows a receivable position equaling the amount to be paid for (wage) tax and social security obligations. The share price of CureVac on December 14, 2022, was EUR 6.96.</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fourth 10% portion of the (vested) virtual shares became exercisable on the third anniversary after IPO i. e., on August 14, 2023, because certain minimum trading volumes of the CureVac N.V. shares and liquidity levels were again reached. The beneficiaries declared the exercise of their then exercisable 786,746 virtual shares by March 22, 2024 and CureVac received 786,746 shares from the old shareholders on that day. On March 26, 2024, CureVac transferred 786,746 shares to the exercising beneficiaries.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Expense recognized in the statement of operations and other comprehensive income (loss)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expense recognized for this share-based payment plan during the years ended December 31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5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8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Pr>
          <w:p>
            <w:pPr>
              <w:spacing w:after="0"/>
              <w:rPr>
                <w:sz w:val="15"/>
                <w:szCs w:val="15"/>
                <w:color w:val="auto"/>
              </w:rPr>
            </w:pPr>
          </w:p>
        </w:tc>
      </w:tr>
      <w:tr>
        <w:trPr>
          <w:trHeight w:val="142"/>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4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0" w:type="dxa"/>
            <w:vAlign w:val="bottom"/>
          </w:tcPr>
          <w:p>
            <w:pPr>
              <w:spacing w:after="0"/>
              <w:rPr>
                <w:sz w:val="12"/>
                <w:szCs w:val="12"/>
                <w:color w:val="auto"/>
              </w:rPr>
            </w:pPr>
          </w:p>
        </w:tc>
        <w:tc>
          <w:tcPr>
            <w:tcW w:w="88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980" w:type="dxa"/>
            <w:vAlign w:val="bottom"/>
          </w:tcPr>
          <w:p>
            <w:pPr>
              <w:spacing w:after="0"/>
              <w:rPr>
                <w:sz w:val="12"/>
                <w:szCs w:val="12"/>
                <w:color w:val="auto"/>
              </w:rPr>
            </w:pPr>
          </w:p>
        </w:tc>
      </w:tr>
      <w:tr>
        <w:trPr>
          <w:trHeight w:val="216"/>
        </w:trPr>
        <w:tc>
          <w:tcPr>
            <w:tcW w:w="10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7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F-39</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VSOP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awards in the New VSOP program granted to key employees developed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4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the beginning of the period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906,595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349,424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102,108</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(557,171)</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(147,620)</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(69,246)</w:t>
            </w: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the end of the period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349,424</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102,108</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32,862</w:t>
            </w:r>
          </w:p>
        </w:tc>
      </w:tr>
      <w:tr>
        <w:trPr>
          <w:trHeight w:val="209"/>
        </w:trPr>
        <w:tc>
          <w:tcPr>
            <w:tcW w:w="5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Thereof vested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88,464</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59,942</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32,862</w:t>
            </w:r>
          </w:p>
        </w:tc>
      </w:tr>
      <w:tr>
        <w:trPr>
          <w:trHeight w:val="210"/>
        </w:trPr>
        <w:tc>
          <w:tcPr>
            <w:tcW w:w="5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4"/>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Thereof exercisable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88,464</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59,942</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remaining life of the option awards as of December 31, 2023 is between 4.5 and 5.7 years (2022: range between 5.5 and 6.9 years).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2021 multiple exercises happened throughout the year. In total 557,171 options were exercised with an average share price of USD 61.28. These exercises led to CureVac having to pay an amount of USD 493k employer taxes and to use USD 981k of the provision recorded in 2020.In 2022, a number of exercises were carried out throughout the year. In total, 147,620 options were exercised with an average share price of USD 16.81. These exercises led to CureVac having to pay an amount of USD 45k employer taxes and to use USD 51k of the provision recorded in 2021.</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2023, a number of exercises were carried out throughout the year. In total, 69,246 options were exercised with an average share price of USD 9.90.</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Expense recognized in the statement of operations and other comprehensive income (loss)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expense recognized for employee services received during the years ended December 31, 2023, 2022, and 2021 is shown in the following table:</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7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5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5740" w:type="dxa"/>
            <w:vAlign w:val="bottom"/>
          </w:tcPr>
          <w:p>
            <w:pPr>
              <w:spacing w:after="0"/>
              <w:rPr>
                <w:sz w:val="12"/>
                <w:szCs w:val="12"/>
                <w:color w:val="auto"/>
              </w:rPr>
            </w:pPr>
          </w:p>
        </w:tc>
        <w:tc>
          <w:tcPr>
            <w:tcW w:w="70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60" w:type="dxa"/>
            <w:vAlign w:val="bottom"/>
          </w:tcPr>
          <w:p>
            <w:pPr>
              <w:spacing w:after="0"/>
              <w:rPr>
                <w:sz w:val="12"/>
                <w:szCs w:val="12"/>
                <w:color w:val="auto"/>
              </w:rPr>
            </w:pPr>
          </w:p>
        </w:tc>
        <w:tc>
          <w:tcPr>
            <w:tcW w:w="5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60" w:type="dxa"/>
            <w:vAlign w:val="bottom"/>
          </w:tcPr>
          <w:p>
            <w:pPr>
              <w:spacing w:after="0"/>
              <w:rPr>
                <w:sz w:val="12"/>
                <w:szCs w:val="12"/>
                <w:color w:val="auto"/>
              </w:rPr>
            </w:pPr>
          </w:p>
        </w:tc>
        <w:tc>
          <w:tcPr>
            <w:tcW w:w="60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5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 (LTIP) - Options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November 16, 2020, CureVac granted 266,155 options to the former Chief Scientific Officer (CSO). Furthermore, on December 1, 2020, CureVac granted 266,156 options (in 3 tranches) to the company`s former Chief Business Officer (CBO) / Chief Commercial Officer (CCO). All grants were made at no cost under the terms of a new long-term incentive plan put in place by CureVac.Options will be settled in shares of CureVac.</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Options granted to the former CSO have an exercise price of EUR 10.04 per share option and an expiration date of July 14, 2030. The exercise price was based on value of the shares at entry date of the former CSO. The award vests over a period of four years, with 25% vesting after 12 months and the rest in 1/36 monthly installments thereafter . Exercise is contingent upon the stock price increasing by +20% from the grant date to the date of exercise, based on the 10-day VWAP at time of exercise.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For the grant to the former CSO, a Monte Carlo simulation has been used to measure the fair value at the relevant grant date. The inputs used in the measurement of the fair value at grant date were as follows: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option</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57.40</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 price (10-days VWAP before grant date)</w:t>
            </w: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EUR 50.01</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(USD 11.90)</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10.04</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62.06 %</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0.07 - 1.48 %</w:t>
            </w:r>
          </w:p>
        </w:tc>
      </w:tr>
    </w:tbl>
    <w:p>
      <w:pPr>
        <w:spacing w:after="0" w:line="17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2022, 6,303 options granted to the former CSO had been exercised. No options granted to the former CSO had been exercised in 2023. As the former CSO left the Group as of July 14, 2023, all remaining unvested awards were subject to accelerated vesting.</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Options granted to the former CBO / CCO have been granted in 3 tranches vesting over 1 to 3 years, with exercise prices applicable to future tranches being estimated. The exercise price of the first tranche is EUR 43.87 (USD 52.96), The exercise prices for future installments, 2021 and 2022, were estimated to be EUR 81.48 (USD 98.36) and EUR 81.65 (USD 98.57). For the second tranche the actual exercise price in fiscal year 2021 was determined to be EUR 33.07 (USD 39.92) and of the third tranche the actual exercise price in fiscal year 2022 was determined to be EUR 7.35 (USD 7.68). The tranches each have a term of 10 years. Exercise of all three tranches is contingent on a share price increase of 10 %, based on a 10 - day VWAP at the time of each exercise.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grant to the former CBO/CCO, a Monte Carlo simulation has been used to measure the fair value at the relevant grant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used in the measurement of the fair value at grant date were as follows: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tranche:</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vMerge w:val="restart"/>
          </w:tcPr>
          <w:p>
            <w:pPr>
              <w:spacing w:after="0"/>
              <w:rPr>
                <w:sz w:val="19"/>
                <w:szCs w:val="19"/>
                <w:color w:val="auto"/>
              </w:rPr>
            </w:pPr>
          </w:p>
        </w:tc>
        <w:tc>
          <w:tcPr>
            <w:tcW w:w="6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option</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48.27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 price (actual 10-days VWAP before grant date, USD 81.03)</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EUR 67.12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(USD 52.96)</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43.87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62.27 %</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0.07 - 1.50 %</w:t>
            </w:r>
          </w:p>
        </w:tc>
        <w:tc>
          <w:tcPr>
            <w:tcW w:w="0" w:type="dxa"/>
            <w:vAlign w:val="bottom"/>
          </w:tcPr>
          <w:p>
            <w:pPr>
              <w:spacing w:after="0"/>
              <w:rPr>
                <w:sz w:val="1"/>
                <w:szCs w:val="1"/>
                <w:color w:val="auto"/>
              </w:rPr>
            </w:pPr>
          </w:p>
        </w:tc>
      </w:tr>
      <w:tr>
        <w:trPr>
          <w:trHeight w:val="41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tranche: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0" w:type="dxa"/>
            <w:vAlign w:val="bottom"/>
            <w:vMerge w:val="restart"/>
          </w:tcPr>
          <w:p>
            <w:pPr>
              <w:spacing w:after="0"/>
              <w:rPr>
                <w:sz w:val="19"/>
                <w:szCs w:val="19"/>
                <w:color w:val="auto"/>
              </w:rPr>
            </w:pPr>
          </w:p>
        </w:tc>
        <w:tc>
          <w:tcPr>
            <w:tcW w:w="6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option</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24.36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 price (estimated by Monte Carlo simulation to be USD 98.36)</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EUR 81.48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(estimated by Monte Carlo simulation to be USD 98.36)</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81.48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62.27 %</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0.07 - 1.50 %</w:t>
            </w:r>
          </w:p>
        </w:tc>
        <w:tc>
          <w:tcPr>
            <w:tcW w:w="0" w:type="dxa"/>
            <w:vAlign w:val="bottom"/>
          </w:tcPr>
          <w:p>
            <w:pPr>
              <w:spacing w:after="0"/>
              <w:rPr>
                <w:sz w:val="1"/>
                <w:szCs w:val="1"/>
                <w:color w:val="auto"/>
              </w:rPr>
            </w:pPr>
          </w:p>
        </w:tc>
      </w:tr>
      <w:tr>
        <w:trPr>
          <w:trHeight w:val="41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tranche: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vMerge w:val="restart"/>
          </w:tcPr>
          <w:p>
            <w:pPr>
              <w:spacing w:after="0"/>
              <w:rPr>
                <w:sz w:val="19"/>
                <w:szCs w:val="19"/>
                <w:color w:val="auto"/>
              </w:rPr>
            </w:pPr>
          </w:p>
        </w:tc>
        <w:tc>
          <w:tcPr>
            <w:tcW w:w="6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option</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20.01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 price (estimated by Monte Carlo simulation to be USD 98.57)</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EUR 81.65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(estimated by Monte Carlo simulation to be USD 98.57)</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81.65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62.27 %</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0.07 - 1.50 %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the former CBO/CCO left the Company as of November 30, 2023, all remaining unvested awards were subject to accelerated vesting.</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March 1, 2021, CureVac granted 2,000 options to a key employee. Options granted to this key employee have an exercise price of EUR 77.73 (USD 88.16) per share option and an expiration date of February 28, 2031. The exercise price was based on the 30 - day volume - weighted average price (VWAP) of March 1 – March 31, 2021 of the shares. The award vests over a period of four years, with 25% vesting after 12 months and the rest in 1/36 monthly installments thereafter. Exercise is contingent to a share price increase of +10%, based on the 10 - day VWAP at time of exercise.</w:t>
      </w:r>
    </w:p>
    <w:p>
      <w:pPr>
        <w:spacing w:after="0" w:line="1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the grant to the key employee, a Monte Carlo simulation has been used to measure the fair value at the relevant grant date. The inputs used in the measurement of the fair value at grant date were as follows: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option</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0.65</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 price (30-days VWAP after grant date)</w:t>
            </w: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EUR 77.73</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(USD 88.16)</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77.73</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73.00 %</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0.08 - 0.49 %</w:t>
            </w:r>
          </w:p>
        </w:tc>
      </w:tr>
    </w:tbl>
    <w:p>
      <w:pPr>
        <w:spacing w:after="0" w:line="17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On July 1, 2021, CureVac granted 20,000 options to the Chief Operations Officer (COO). Furthermore, on August 1, 2021, CureVac granted 30,000 options to the former Chief Development Officer (CDO). Both grants were made at no cost under the terms of the new long-term incentive plan (LTIP) put in place by CureVac N.V. Options will be settled in shares of CureVac N.V.</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Options granted to the COO have an exercise price of EUR 70.92 (USD 84.03) per share option and an expiration date of July 2, 2026. The exercise price was based on the 20 - day VWAP of the shares at entry date of the COO. The award vests over a period of four years, with 25% vesting after 12 months and the rest in 1/36 monthly installments thereafter. Exercise is contingent to a share price increase of +20%, based on the 10 - day VWAP at time of exercise.</w:t>
      </w:r>
    </w:p>
    <w:p>
      <w:pPr>
        <w:spacing w:after="0" w:line="18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the grant to the COO, a Monte Carlo simulation has been used to measure the fair value at the relevant grant date. The inputs used in the measurement of the fair value at grant date were as follows: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option</w:t>
            </w:r>
          </w:p>
        </w:tc>
        <w:tc>
          <w:tcPr>
            <w:tcW w:w="2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17.56</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 price (20-day VWAP before grant date)</w:t>
            </w:r>
          </w:p>
        </w:tc>
        <w:tc>
          <w:tcPr>
            <w:tcW w:w="2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EUR 56.51</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(USD 84.03)</w:t>
            </w:r>
          </w:p>
        </w:tc>
        <w:tc>
          <w:tcPr>
            <w:tcW w:w="2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70.92</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70.95 %</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0.099  –  0.903 %</w:t>
            </w:r>
          </w:p>
        </w:tc>
      </w:tr>
    </w:tbl>
    <w:p>
      <w:pPr>
        <w:spacing w:after="0" w:line="17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Options granted to the former CDO have an exercise price: EUR 46.16 (USD 54.79) per share option and an expiration date: August 2,2026. The exercise price was based on the 20 - days VWAP of the shares at entry date of the former CDO. The award vests over a period of four years, with 25% vesting after 12 months and the rest in 1/36 monthly installments thereafter. Exercise is contingent to a share price increase of +20%, based on the 10 - day VWAP at time of exercise.</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For the grant to the former CDO, a Monte Carlo simulation has been used to measure the fair value at the relevant grant date. The inputs used in the measurement of the fair value at grant date were as follows: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option</w:t>
            </w:r>
          </w:p>
        </w:tc>
        <w:tc>
          <w:tcPr>
            <w:tcW w:w="2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17.56</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 price (20-days VWAP before grant date)</w:t>
            </w:r>
          </w:p>
        </w:tc>
        <w:tc>
          <w:tcPr>
            <w:tcW w:w="2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EUR 41.81</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(USD 84.03)</w:t>
            </w:r>
          </w:p>
        </w:tc>
        <w:tc>
          <w:tcPr>
            <w:tcW w:w="2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46.16</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75.13 %</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  –  0.704 %</w:t>
            </w:r>
          </w:p>
        </w:tc>
      </w:tr>
    </w:tbl>
    <w:p>
      <w:pPr>
        <w:spacing w:after="0" w:line="17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former CDO has since left the company and, under the terms of his LTIP agreement, his options had expired as of December 31, 2022.</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On January 1, 2022, CureVac granted 9,500 options to a key employee. Options granted to this key employee have an exercise price of EUR 30.67 (USD 33.87) per share option and an expiration date of December 31, 2031. The exercise price was based on the 30 - day VWAP of January 1 – January 31, 2022 of the shares. The award vests over a period of four years, with 25% vesting after 12 months and the rest in 1/36 monthly installments thereafter. Exercise is contingent to a share price increase of +20%, based on the 10 - day VWAP at time of exercise.</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For the grant to the key employee, a Monte Carlo simulation has been used to measure the fair value at the relevant grant date. The inputs used in the measurement of the fair value at grant date were as follows: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option</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14.31</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 price (30-days VWAP after grant date)</w:t>
            </w: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EUR 30.67</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(USD 34.87)</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30.67</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72.17 %</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0.40 - 1.15 %</w:t>
            </w:r>
          </w:p>
        </w:tc>
      </w:tr>
    </w:tbl>
    <w:p>
      <w:pPr>
        <w:spacing w:after="0" w:line="17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key employee has left the company and, under the terms of his LTIP agreement, his unvested options have been forfeited as of January 31, 2024.</w:t>
      </w:r>
    </w:p>
    <w:p>
      <w:pPr>
        <w:spacing w:after="0" w:line="16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March 1, 2022, CureVac granted 130,000 supplemental options to the Company’s management board. 30,000 options were granted to the former CEO, and 25,000 options were granted to each of the CFO, former CSO, COO and former CBO/CCO. All grants were made at no cost under the terms of a new long-term incentive plan put in place by CureVac.</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options granted to the management board have an exercise price of USD 19.35 per share option and an expiration date of March 1, 2032. The exercise price was based on the 10day VWAP as of March 1, 2022 + a performance criteria of 15%. The award has a vesting of 25% on each of Dec 31, 2022, Dec 31, 2023, Dec 31, 2024, Dec 31, 2025.</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For the grants to the management board, a Monte Carlo simulation has been used to measure the fair value at the grant date. The inputs used in the measurement of the fair value at grant date were as follows: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option</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4.86</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 price (10 - day VWAP before grant date)</w:t>
            </w: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EUR 15.07</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(USD 19.35)</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18.37</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73.87 - 86.09 %</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2.34 - 3.21 %</w:t>
            </w:r>
          </w:p>
        </w:tc>
      </w:tr>
    </w:tbl>
    <w:p>
      <w:pPr>
        <w:spacing w:after="0" w:line="17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the former CEO, former CSO and former CBO/CCO left the Group, in 2023, all of their remaining unvested awards were subject to accelerated vesting. As of December 31, 2023 none of these options had been exercised.</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April 1, 2022, CureVac granted 700 options to a key employee. Options granted to this key employee have an exercise price of EUR 17.45 (USD 19.28) per share option and an expiration date of March 31, 2032. The exercise price was based on the 10 - day VWAP of March 21 – March 31, 2022 of the shares. The award vests over a period of four years, with 25% vesting after 12 months and the rest in 1/36 monthly installments thereafter. Exercise is contingent to a share price increase of +20%, based on the 10 - day VWAP at time of exercise.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For the grant to the key employee, a Monte Carlo simulation has been used to measure the fair value at the grant date. The inputs used in the measurement of the fair value at grant date were as follows: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option</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6.81</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 price (10-days VWAP before grant date)</w:t>
            </w: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EUR 17.45</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(USD 19.28)</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EUR 17.45</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50.91 %</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bl>
    <w:p>
      <w:pPr>
        <w:spacing w:after="0" w:line="17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April 1, 2023, CureVac granted 144,379 options to the current CEO. All grants were made under the terms of the new long - term incentive plan (LTIP) put in place by CureVac N.V. Options will be settled in shares of CureVac N.V. As of December 31, 2023, none of the options were exercised.</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For the grant to the CEO, a Monte Carlo simulation has been used to measure the fair value at the grant date. The inputs used in the measurement of the fair value at grant date were as follows: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per option</w:t>
            </w:r>
          </w:p>
        </w:tc>
        <w:tc>
          <w:tcPr>
            <w:tcW w:w="21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EUR 3.55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 price (10-day VWAP before grant date)</w:t>
            </w:r>
          </w:p>
        </w:tc>
        <w:tc>
          <w:tcPr>
            <w:tcW w:w="21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EUR 6.12</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(USD 6.66)</w:t>
            </w:r>
          </w:p>
        </w:tc>
        <w:tc>
          <w:tcPr>
            <w:tcW w:w="21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EUR 6.12</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21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75.0 %</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1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3.39</w:t>
            </w: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1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3.70 %</w:t>
            </w:r>
          </w:p>
        </w:tc>
      </w:tr>
    </w:tbl>
    <w:p>
      <w:pPr>
        <w:spacing w:after="0" w:line="17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expense recognized for employee services received under the LTIP – options during the year ended December 31, 2023, in an amount of EUR 2,944k (2022:EUR 5,564k) is mainly included in general and administration expenses.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 (LTIP) - Restricted Stock Units (RSUs)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In 2021, as part of the LTIP program, the group awarded RSUs (restricted stock units) to senior executives as well as supervisory board members.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June 24, 2021, the group awarded 10,956 RSUs to supervisory board members and on December 23, 2021, the group awarded 63,095 RSUs to the executive board and various key employees. These RSU awards vest over 3 years with one third vesting taking place each year on December 31. All RSU awards from 2021 had vested as of December 31, 2023.</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addition, on July 1, 2021, the group also awarded 4,691 special RSU awards. These special RSU awards vest over 12 months and are fully vested as of December 31, 2021.</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2022, as part of the LTIP program, the group awarded RSUs (RSU Award 2022) to senior executives as well as supervisory board members.</w:t>
      </w:r>
    </w:p>
    <w:p>
      <w:pPr>
        <w:spacing w:after="0" w:line="16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 June 22, 2022 the group awarded 225,888 RSU awards as part of the “LTIP - RSU Award 2022” to members of the supervisory board, executive board and various key employees. On November 30, 2022, the group awarded a further 7,633 RSU awards to key employees who joined the company during fiscal 2022. These RSU awards vest with one third vesting taking place each year on December 31, 2022, December 31, 2023 and December 31, 2024. One third of these RSU awards had vested as of December 31, 2022, one further third as of December 31, 2023.</w:t>
      </w:r>
    </w:p>
    <w:p>
      <w:pPr>
        <w:spacing w:after="0" w:line="18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 addition, on January 1, 2022, the group awarded 36,000 supplemental RSU awards to the former CEO. This RSU award vests over 12 months and is fully vested as of December 31, 2022.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January 31, 2022, the group also awarded 5,000 supplemental RSU awards to the COO and 30,000 supplemental RSU awards to the former CBO/CCO. These RSU awards vest in 2 tranches (50% on December 31 2022 and 50% on December 31, 2023). In order for the RSUs to settle and be delivered, the share price must reach 19.16 USD on or after vesting. As of December 31, 2023, all of these RSUs had vested but had not been settled or delivered.</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July 1, 2022, the group awarded 89,655 RSU awards to former Frame employees to replace existing share-based payment awards of Frame Pharmaceuticals. These RSU awards vest with one third vesting taking place each year on June 30, 2023, June 30, 2024 and June 30, 2025. The RSU program is accounted for by recognizing the related expense over the vesting period of the award, with corresponding increases recorded in equity. The expense is based on the fair value determined at the grant date of the award and the number of awards expected to vest. The fair value remains unchanged after grant date. Once the award has vested, there is no reversal of expense related to the award.</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March 31, 2023, the Group awarded 92,701 RSUs to the Supervisory Board members and 646,914 RSUs to the Executive Board and various key employees. On December 15, 2023, the group awarded a further 32,783 RSU awards to Supervisory Board members and key employees who joined the company during fiscal 2023. The related RSU expense is recorded in the functional cost category to which the award recipient’s costs are classified. One third of these RSU awards had vested as of December 31, 2023. The RSU expense related to Supervisory Board members recognized during the year ended December 31, 2023, in an amount of EUR 652k (2022: EUR 478k) is included in other operating expenses.</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September 30, 2023 the group also awarded 25,000 supplemental RSU awards to the COO. This RSU award vests with one third vesting taking place each year on December 31, 2023, December 31, 2024 and December 31, 2025. One third of these RSU awards had vested as of December 31, 2023.</w:t>
      </w:r>
    </w:p>
    <w:p>
      <w:pPr>
        <w:spacing w:after="0" w:line="176"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As the former CEO, former CSO and former CBO/CCO left the Group in 2023, all of their remaining unvested awards were subject to accelerated vesting. As a Supervisory Board member left the Group as of June 19, 2023, all remaining unvested awards were subject to accelerated vesting.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Expenses for employer taxes arising upon the delivery of RSUs are recognized in profit or loss.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related RSU expense is recorded in the functional cost category to which the award recipient’s costs are classified.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84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9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(383)</w:t>
            </w: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Trade and other payables</w:t>
            </w: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Trade payables and other payables are all due within one year and include the following:</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68,246</w:t>
            </w:r>
          </w:p>
        </w:tc>
        <w:tc>
          <w:tcPr>
            <w:tcW w:w="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46,365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liabilities</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5,217</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73,463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48,033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60" w:firstLine="324"/>
        <w:spacing w:after="0" w:line="261" w:lineRule="auto"/>
        <w:rPr>
          <w:sz w:val="20"/>
          <w:szCs w:val="20"/>
          <w:color w:val="auto"/>
        </w:rPr>
      </w:pPr>
      <w:r>
        <w:rPr>
          <w:rFonts w:ascii="Times New Roman" w:cs="Times New Roman" w:eastAsia="Times New Roman" w:hAnsi="Times New Roman"/>
          <w:sz w:val="18"/>
          <w:szCs w:val="18"/>
          <w:color w:val="auto"/>
        </w:rPr>
        <w:t>Trade and other payables are all due within one year. The prior year was highly impacted by received invoices of raw material suppliers before December 31, 2022. Thus, during the year ended December 31, 2023, Trade and other payables decreased by EUR 25,430k. Miscellaneous liabilities consist mainly of payroll-related taxes and social security liabilities of EUR 1,496k (2022: EUR 5,027k).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liabilities and provisions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Provisions include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8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8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40" w:type="dxa"/>
            <w:vAlign w:val="bottom"/>
          </w:tcPr>
          <w:p>
            <w:pPr>
              <w:spacing w:after="0"/>
              <w:rPr>
                <w:sz w:val="12"/>
                <w:szCs w:val="12"/>
                <w:color w:val="auto"/>
              </w:rPr>
            </w:pPr>
          </w:p>
        </w:tc>
        <w:tc>
          <w:tcPr>
            <w:tcW w:w="82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termination provisions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Provisions (non-current)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61,320</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onerous contracts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Contract termination provisions</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Provisions (current)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37,400</w:t>
            </w:r>
          </w:p>
        </w:tc>
        <w:tc>
          <w:tcPr>
            <w:tcW w:w="0" w:type="dxa"/>
            <w:vAlign w:val="bottom"/>
          </w:tcPr>
          <w:p>
            <w:pPr>
              <w:spacing w:after="0"/>
              <w:rPr>
                <w:sz w:val="1"/>
                <w:szCs w:val="1"/>
                <w:color w:val="auto"/>
              </w:rPr>
            </w:pPr>
          </w:p>
        </w:tc>
      </w:tr>
      <w:tr>
        <w:trPr>
          <w:trHeight w:val="20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Provisions (current &amp; non-current)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63,242</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Below are movements during the period:</w:t>
            </w: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EUR k</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(amounts charged against the provision)</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unused amounts reversed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provision for onerous contracts relates to CRO agreements and are expected to be settled within one year from December 31, 2023. All amounts recognized as of December 31, 2022 arose during 2021. During the year ended December 31, 2023, EUR 184k additional provisions were made, EUR 1,174k were utilized and EUR 748k were reversed. As described in Note 2, when initially measuring onerous contract provisions relating to CRO agreements, judgment was required in estimating the cost of the remaining services, particularly in estimating the number of participants completing the clinical trials.</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Contract termination provisions relate to amounts which the Company expects to pay out to settle its obligations under certain CMO contracts which it has terminated. All amounts recognized as of December 31, 2023 arose during 2021 and 2022 except for EUR 646k in additional provisions made in 2023 and EUR 18,000k reversed during the year. As described in Note 2, judgment is required in estimating these amounts. The amount of the outflow of resources to settle the obligations to which these provisions relate may vary from the provision amount recognized as of December 31, 2023 due to potential variability in the amount required to be paid to ultimately release the company from its remaining obligations under the CMO contracts, including as a result of arbitration decisions. In its final award rendered, the arbitration tribunal followed CureVac’s arguments and dismissed Rentschler’s claims in their entirety. The totality of Rentschler Biopharma SE related provision of EUR 6,900k was reversed as of December 31, 2023. Contract terminations provisions were reclassed from Provisions (non-current) into Provisions (current) due to an expected settlement within one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liabilities include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6400" w:type="dxa"/>
            <w:vAlign w:val="bottom"/>
          </w:tcPr>
          <w:p>
            <w:pPr>
              <w:spacing w:after="0"/>
              <w:rPr>
                <w:sz w:val="12"/>
                <w:szCs w:val="12"/>
                <w:color w:val="auto"/>
              </w:rPr>
            </w:pPr>
          </w:p>
        </w:tc>
        <w:tc>
          <w:tcPr>
            <w:tcW w:w="66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0" w:type="dxa"/>
            <w:vAlign w:val="bottom"/>
          </w:tcPr>
          <w:p>
            <w:pPr>
              <w:spacing w:after="0"/>
              <w:rPr>
                <w:sz w:val="12"/>
                <w:szCs w:val="12"/>
                <w:color w:val="auto"/>
              </w:rPr>
            </w:pPr>
          </w:p>
        </w:tc>
        <w:tc>
          <w:tcPr>
            <w:tcW w:w="6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liabilities (non-current)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accrued liabilities (e.g. bonus, vacation)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Grants from government agencies and similar bodies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invoices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liabilities (current)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40,491</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50,717</w:t>
            </w:r>
          </w:p>
        </w:tc>
      </w:tr>
      <w:tr>
        <w:trPr>
          <w:trHeight w:val="209"/>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liabilities (current &amp; non-current)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40,510</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50,717</w:t>
            </w:r>
          </w:p>
        </w:tc>
      </w:tr>
      <w:tr>
        <w:trPr>
          <w:trHeight w:val="20"/>
        </w:trPr>
        <w:tc>
          <w:tcPr>
            <w:tcW w:w="6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fiscal 2023, the Group recorded a consolidated income tax expense of EUR 198k, in fiscal 2022 and 2021, the Group recorded a consolidated income tax benefit of EUR 126k and EUR 782k, respectively. The income tax expense in fiscal 2023 results from current income tax expenses (2022 income and 2021 expenses) of EUR 118k (2022: EUR 106k and 2021: EUR 1,033k) and deferred tax expenses (2022 income and 2021 income) of EUR 80k (2022: EUR 20k and 2021: EUR 1,815k), thereof from taxable temporary differences EUR 3,225k (2022: EUR 1,090k and 2021: EUR (1,540)k). In fiscal 2023, the Group further recorded deferred tax liabilities of EUR 0k (2022: EUR 20k and 2021: EUR 0k). In fiscal 2023 and 2022 an amount of EUR (2,094)k was accounted in equity. The basis for outside basis differences is EUR 168k (2022: EUR 1,120k and 2021: EUR 3,713k), which create a taxable outside base difference of EUR 8k (2022: EUR 56k and 2021: EUR 186k), which are indefinitely reinvested and associated with investments in subsidiaries, deferred tax liabilities have not been recognized.</w:t>
      </w:r>
    </w:p>
    <w:p>
      <w:pPr>
        <w:spacing w:after="0" w:line="18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 reconciliation between actual income taxes and the expected tax benefit from the loss before tax multiplied by the Group’s applicable tax rate of 29.48% (15.0% corporate income tax, 0.825% solidary surcharge and 13.65% trade tax) is presented below for the years ended December 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0" w:type="dxa"/>
            <w:vAlign w:val="bottom"/>
          </w:tcPr>
          <w:p>
            <w:pPr>
              <w:spacing w:after="0"/>
              <w:rPr>
                <w:sz w:val="12"/>
                <w:szCs w:val="12"/>
                <w:color w:val="auto"/>
              </w:rPr>
            </w:pPr>
          </w:p>
        </w:tc>
        <w:tc>
          <w:tcPr>
            <w:tcW w:w="84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0" w:type="dxa"/>
            <w:vAlign w:val="bottom"/>
          </w:tcPr>
          <w:p>
            <w:pPr>
              <w:spacing w:after="0"/>
              <w:rPr>
                <w:sz w:val="12"/>
                <w:szCs w:val="12"/>
                <w:color w:val="auto"/>
              </w:rPr>
            </w:pPr>
          </w:p>
        </w:tc>
        <w:tc>
          <w:tcPr>
            <w:tcW w:w="86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(412,498)</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(249,155)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Expected tax benefit (based on statutory tax rate of 29.48% in 2023, 2022 and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121,584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tax loss carryforwards recognized in prior years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Effects from differences between Group and local tax rates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Non-recognition of tax loss carryforwards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(114,999)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(69,724)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Non-recognition of deferred tax assets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(7,363)</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deferred tax assets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for tax purposes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local trade taxes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effects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benefit / (expense)</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782</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F-47</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tax assets and deferred tax liabilities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January 01, 2023</w:t>
            </w: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Acquired in</w:t>
            </w:r>
          </w:p>
        </w:tc>
        <w:tc>
          <w:tcPr>
            <w:tcW w:w="238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balance</w:t>
            </w:r>
          </w:p>
        </w:tc>
        <w:tc>
          <w:tcPr>
            <w:tcW w:w="14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profit and loss</w:t>
            </w:r>
          </w:p>
        </w:tc>
        <w:tc>
          <w:tcPr>
            <w:tcW w:w="5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0"/>
                <w:szCs w:val="10"/>
                <w:color w:val="auto"/>
              </w:rPr>
            </w:pPr>
          </w:p>
        </w:tc>
        <w:tc>
          <w:tcPr>
            <w:tcW w:w="1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Business combination</w:t>
            </w:r>
          </w:p>
        </w:tc>
        <w:tc>
          <w:tcPr>
            <w:tcW w:w="16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Net balance</w:t>
            </w:r>
          </w:p>
        </w:tc>
        <w:tc>
          <w:tcPr>
            <w:tcW w:w="80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DTA</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DTL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EUR 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(1,224)</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(2,774)</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(3,439)</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(12,364)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(12,052)</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 current liabilities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(Current)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Netting</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Taxes 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3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1,194</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7,777</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F-48</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January 01,2022</w:t>
            </w:r>
          </w:p>
        </w:tc>
        <w:tc>
          <w:tcPr>
            <w:tcW w:w="19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Acquired in</w:t>
            </w:r>
          </w:p>
        </w:tc>
        <w:tc>
          <w:tcPr>
            <w:tcW w:w="238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balance</w:t>
            </w:r>
          </w:p>
        </w:tc>
        <w:tc>
          <w:tcPr>
            <w:tcW w:w="160" w:type="dxa"/>
            <w:vAlign w:val="bottom"/>
          </w:tcPr>
          <w:p>
            <w:pPr>
              <w:spacing w:after="0"/>
              <w:rPr>
                <w:sz w:val="10"/>
                <w:szCs w:val="10"/>
                <w:color w:val="auto"/>
              </w:rPr>
            </w:pPr>
          </w:p>
        </w:tc>
        <w:tc>
          <w:tcPr>
            <w:tcW w:w="118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profit and loss</w:t>
            </w:r>
          </w:p>
        </w:tc>
        <w:tc>
          <w:tcPr>
            <w:tcW w:w="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Pr>
          <w:p>
            <w:pPr>
              <w:spacing w:after="0"/>
              <w:rPr>
                <w:sz w:val="10"/>
                <w:szCs w:val="10"/>
                <w:color w:val="auto"/>
              </w:rPr>
            </w:pPr>
          </w:p>
        </w:tc>
        <w:tc>
          <w:tcPr>
            <w:tcW w:w="13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Business combination</w:t>
            </w:r>
          </w:p>
        </w:tc>
        <w:tc>
          <w:tcPr>
            <w:tcW w:w="30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Net balance</w:t>
            </w:r>
          </w:p>
        </w:tc>
        <w:tc>
          <w:tcPr>
            <w:tcW w:w="80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DTA</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DTL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EUR k</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EUR k</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(1,412)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(1,412)</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(2,769)</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(663)</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(11,701)</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(12,364)</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(144)</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(927)</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 current liabilities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3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3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(Current)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(276)</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Netting</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Taxes Total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(1,590)</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for CureVac Corporate Services, which incurred a tax loss in the current or prior year, are recognized in the amount of EUR 1,172k as the company is expected to generate taxable profits due to its support function remuneration in the group (IAS 12.82).</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unused tax losses for which no deferred tax asset is recognized in the statement of financial position had been carried forward as of the end of the reporting periods: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Tax loss carryforwards</w:t>
            </w: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8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4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40" w:type="dxa"/>
            <w:vAlign w:val="bottom"/>
          </w:tcPr>
          <w:p>
            <w:pPr>
              <w:spacing w:after="0"/>
              <w:rPr>
                <w:sz w:val="12"/>
                <w:szCs w:val="12"/>
                <w:color w:val="auto"/>
              </w:rPr>
            </w:pPr>
          </w:p>
        </w:tc>
        <w:tc>
          <w:tcPr>
            <w:tcW w:w="86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tax losses for corporate income tax</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1,180,227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1,427,735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1,700,475</w:t>
            </w: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Unused tax losses for trade tax</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1,175,846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1,419,217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1,685,517</w:t>
            </w: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interest carryforward ("Zinsschranke")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CureVac has tax losses in Germany and Netherlands that are available indefinitely for offsetting against future taxable profits of the companies in which the losses arose. In Germany and Netherlands tax losses carryforwards are unlimited.</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DTA’s for temporary differences in the amount of EUR 20.9 million (2022: EUR 21.8 million) are not capitalized at year end 2023 because they are not recoverable.</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Pillar Two legislation has been enacted or substantively enacted in certain jurisdictions in which the Group operates. However, this legislation does not apply to the Group as its consolidated revenue is lower than EUR 750 million.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Current tax assets of EUR 5,201k (2022: 285k) consists of withholding tax receivables.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229"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Earnings per share is calculated by dividing the consolidated net loss of CureVac by the weighted average number of shares outstanding in the fiscal period.</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The weighted average number of shares outstanding in fiscal 2021, 2022 and 2023 was 186,012,586, 189,074,911 and 220,833,271, respectively. This has led to basic loss per share of EUR 2.21, EUR 1.32 and EUR 1.18 for fiscal 2021, 2022 and 2023, respectively.</w:t>
      </w:r>
    </w:p>
    <w:p>
      <w:pPr>
        <w:spacing w:after="0" w:line="14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Diluted earnings per share is calculated using CureVac’s weighted-average outstanding common shares including the dilutive effect of share-based payment awards as determined under the treasury stock method. In periods when CureVac has a net loss, share-based payment awards are excluded from the calculation of earnings per share as their inclusion would have an antidilutive effect. Share options and RSUs of 1.217.526 and 1,788,206 as of December 31,2022 and 2023 respectively, were excluded from the computation of diluted weighted average number of shares because their effect would have been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Disclosure of financial instruments and management of financial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information</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CureVac is exposed to certain financial risks with respect to its assets and liabilities and the transactions associated with its business model. These risks generally relate to credit risks, liquidity risks and market risks (including currency risk, interest rate risk and price risk).</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aim of risk management is to limit the potential negative impact on expected cash flows and take advantage of any opportunities that arise. As a result, the management of CureVac assesses at least once a year whether risks have changed and whether the measures in place to limit risk are still sufficient.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 Finance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2023, finance income was EUR 16,731k (2022: EUR 4,009k, 2021: EUR 10,103k) and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mainly to interest income on cash investments EUR 15,411k (2022: EUR 1,733k, 2021: EUR 81k) and foreign exchange gains EUR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1,062k (2022: EUR 2,188k, 2021: EUR 10,092k).</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2023, finance expenses were EUR 2,493k (2022: EUR 3,707k, 2021: EUR 10,338k)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mainly to foreign exchange losses EUR 2,272k (2022: EUR 1,319k, 2021: EUR 3,939k) and negative interest on cash of EUR 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EUR 2,299k, 2021: EUR 6,793k).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Credit risk is managed by CureVac’s finance department. Credit risk arises from cash and cash equivalents and other financial assets, including deposits with banks and financial institutions, as well as credit exposures to customers, including outstanding receivables and contract assets.</w:t>
      </w:r>
    </w:p>
    <w:p>
      <w:pPr>
        <w:spacing w:after="0" w:line="17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CureVac is exposed to bank default and concentration risk as its cash is concentrated at few financial institutions. Management distributed the cash to decrease concentration risk as of December 31, 2023, deciding to allocate 12% of the cash at one of Europe’s largest private bank, 7% at Germany’s largest private bank and 71% at a major German Landesbank; the remaining cash balance is maintained at other banks. The focused cash management structure with few banks allows enhanced bank risk supervision. The market capitalization of all banks mentioned above is regularly reviewed. Credit risk is further limited by investing only in liquid instruments.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CureVac is also exposed to a credit risk for its receivables and contract assets. The risk of default is considered to be low because the structure of customers consists of reputable collaborating parties and government grantors. Receivables management and financial accounting incorporates monitoring of payments received and any overdue receivables. The risk of counterparty nonperformance is not material.</w:t>
      </w:r>
    </w:p>
    <w:p>
      <w:pPr>
        <w:spacing w:after="0" w:line="18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of other financial assets recognized determines the maximum theoretical credit risk. As of the end of fiscal 2023, available funds are deposited at three reputable financial institutions.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the loss allowance for the “expected credit losses” totaled to EUR 71k (2022: EUR 99k, 2021: EUR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105k), resulting in an effect recognized in fiscal 2023 in finance income EUR 248k (2022: EUR 57k, 2021: EUR 149k) and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EUR 220k (2022: EUR 51k, 2021: EUR 71k).</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 / Capital management</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purpose of CureVac’s capital management, capital includes share capital and all other equity reserves attributable to the equity holders. The primary objective of CureVac’s capital management is to maximize the shareholder value through investment in the development activities of the Group.</w:t>
      </w:r>
    </w:p>
    <w:p>
      <w:pPr>
        <w:spacing w:after="0" w:line="17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Based on its business as an active research group, CureVac has historically relied almost exclusively on equity funding by its shareholders and lenders as a means of financing itself prior to successful development and sales of a marketable product.</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Group’s finance department reviews the total amount of cash of the Group on a weekly basis. As part of this review, the finance department considers the total cash and cash equivalents, the cash outflow, currency translation differences and refinancing activities. The Group monitors cash using a burn rate. The cash burn rate is defined as the average monthly net cash flow from operating and investing activities during a financial year.</w:t>
      </w:r>
    </w:p>
    <w:p>
      <w:pPr>
        <w:spacing w:after="0" w:line="18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meeting its financing objectives, the Group negotiates and enters into research cooperation agreements. In general, the aim is to maximize the financial resources available for further research and development projects.</w:t>
      </w:r>
    </w:p>
    <w:p>
      <w:pPr>
        <w:spacing w:after="0" w:line="162" w:lineRule="exact"/>
        <w:rPr>
          <w:sz w:val="20"/>
          <w:szCs w:val="20"/>
          <w:color w:val="auto"/>
        </w:rPr>
      </w:pPr>
    </w:p>
    <w:p>
      <w:pPr>
        <w:jc w:val="both"/>
        <w:ind w:right="380" w:firstLine="324"/>
        <w:spacing w:after="0" w:line="282" w:lineRule="auto"/>
        <w:rPr>
          <w:sz w:val="20"/>
          <w:szCs w:val="20"/>
          <w:color w:val="auto"/>
        </w:rPr>
      </w:pPr>
      <w:r>
        <w:rPr>
          <w:rFonts w:ascii="Times New Roman" w:cs="Times New Roman" w:eastAsia="Times New Roman" w:hAnsi="Times New Roman"/>
          <w:sz w:val="18"/>
          <w:szCs w:val="18"/>
          <w:color w:val="auto"/>
        </w:rPr>
        <w:t>CureVac is not subject to externally imposed capital requirements. However, certain grant funds received may be required to be returned if qualifying costs are not incurred or are not incurred in accordance with the grant terms (see also Note 3.7. and Note 3.8.).</w:t>
      </w:r>
    </w:p>
    <w:p>
      <w:pPr>
        <w:spacing w:after="0" w:line="16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described in Note 9, the Group has an at-the-market offering program through which, from time to time, may be able to raise additional capital through the issuance of common shares.</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No changes were made in the objectives, policies or processes for managing cash during the years ended December 31, 2023 and 2022.</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safeguard liquidity, the Group invests funds not required immediately for operating purposes in call-deposit accounts with original maturities up to three months. Liquidity risks are therefore expected to be low. The Group does not enter into trading of financial instruments and monitors its risk of a shortage of funds using a liquidity planning tool.</w:t>
      </w:r>
    </w:p>
    <w:p>
      <w:pPr>
        <w:spacing w:after="0" w:line="176" w:lineRule="exact"/>
        <w:rPr>
          <w:sz w:val="20"/>
          <w:szCs w:val="20"/>
          <w:color w:val="auto"/>
        </w:rPr>
      </w:pPr>
    </w:p>
    <w:p>
      <w:pPr>
        <w:jc w:val="both"/>
        <w:ind w:right="560" w:firstLine="324"/>
        <w:spacing w:after="0" w:line="289" w:lineRule="auto"/>
        <w:rPr>
          <w:sz w:val="20"/>
          <w:szCs w:val="20"/>
          <w:color w:val="auto"/>
        </w:rPr>
      </w:pPr>
      <w:r>
        <w:rPr>
          <w:rFonts w:ascii="Times New Roman" w:cs="Times New Roman" w:eastAsia="Times New Roman" w:hAnsi="Times New Roman"/>
          <w:sz w:val="17"/>
          <w:szCs w:val="17"/>
          <w:color w:val="auto"/>
        </w:rPr>
        <w:t>Historically, CureVac has relied on financing from shareholders, grant income and collaborators in order to ensure sufficient liquidity. Lack of external financial support could pose a risk of going concern. The liquidity management of CureVac ensures the availability of cash and cash equivalents for operational activities and further investments through appropriate budget planning.</w:t>
      </w:r>
    </w:p>
    <w:p>
      <w:pPr>
        <w:spacing w:after="0" w:line="15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Ultimately, the responsibility for liquidity risk management lies with management, who has established an appropriate approach to managing short-, medium- and long-term financing and liquidity requirements. CureVac manages liquidity risks by holding appropriate reserves, as well as by monitoring forecasted and actual cash flows and reconciling the maturity profiles of financial assets and liabilities.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maturity profile of the Group’s liabilities based on contractual undiscounted payments: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&lt;1 year</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 to 5 years</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&gt; 5 years</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commitments</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(Note 4.2)</w:t>
            </w:r>
          </w:p>
        </w:tc>
        <w:tc>
          <w:tcPr>
            <w:tcW w:w="33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(7,254)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(23,581)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provisions (Note 12)</w:t>
            </w:r>
          </w:p>
        </w:tc>
        <w:tc>
          <w:tcPr>
            <w:tcW w:w="33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(88,117)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 (Note 11)</w:t>
            </w:r>
          </w:p>
        </w:tc>
        <w:tc>
          <w:tcPr>
            <w:tcW w:w="33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(48,033)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(23,581)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80" w:type="dxa"/>
            <w:vAlign w:val="bottom"/>
          </w:tcPr>
          <w:p>
            <w:pPr>
              <w:spacing w:after="0"/>
              <w:rPr>
                <w:sz w:val="24"/>
                <w:szCs w:val="24"/>
                <w:color w:val="auto"/>
              </w:rPr>
            </w:pPr>
          </w:p>
        </w:tc>
        <w:tc>
          <w:tcPr>
            <w:tcW w:w="336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rPr>
              <w:t>F-51</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to 5years</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&gt; 5 years</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6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76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r>
      <w:tr>
        <w:trPr>
          <w:trHeight w:val="209"/>
        </w:trPr>
        <w:tc>
          <w:tcPr>
            <w:tcW w:w="6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commitments</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(49,923)</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(74,300)</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(Note 4.2)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(54,723)</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provisions (Note 12)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(103,753)</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payables (Note 11)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(73,463)</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(73,463)</w:t>
            </w:r>
          </w:p>
        </w:tc>
      </w:tr>
      <w:tr>
        <w:trPr>
          <w:trHeight w:val="209"/>
        </w:trPr>
        <w:tc>
          <w:tcPr>
            <w:tcW w:w="6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(172,080)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(112,356)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(306,239)</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an exposure will fluctuate because of changes in foreign exchange rates. CureVac’s exposure to the risk of changes in foreign exchange rates relates primarily to the Group’s operating activities (when revenue or expense is denominated in a foreign currency) and the amounts held as cash and cash equivalents.</w:t>
      </w:r>
    </w:p>
    <w:p>
      <w:pPr>
        <w:spacing w:after="0" w:line="17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For all CureVac entities except of CureVac Inc. and CureVac Swiss AG the functional currency is EUR. The functional currency of CureVac Inc. is the USD and of CureVac Swiss AG the CHF. CureVac SE’s exposure in foreign currency at the end of 2023 and 2022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2023 (in thousands)</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57,061</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4"/>
              </w:rPr>
              <w:t>EUR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USD</w:t>
            </w:r>
          </w:p>
        </w:tc>
      </w:tr>
      <w:tr>
        <w:trPr>
          <w:trHeight w:val="216"/>
        </w:trPr>
        <w:tc>
          <w:tcPr>
            <w:tcW w:w="7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EUR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CHF</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4"/>
              </w:rPr>
              <w:t>EUR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w:t>
            </w:r>
          </w:p>
        </w:tc>
      </w:tr>
      <w:tr>
        <w:trPr>
          <w:trHeight w:val="209"/>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monetary assets in foreign currency</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58,832</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13,991</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4"/>
              </w:rPr>
              <w:t>EUR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w:t>
            </w:r>
          </w:p>
        </w:tc>
      </w:tr>
      <w:tr>
        <w:trPr>
          <w:trHeight w:val="216"/>
        </w:trPr>
        <w:tc>
          <w:tcPr>
            <w:tcW w:w="7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EUR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16"/>
        </w:trPr>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 EUR</w:t>
            </w:r>
          </w:p>
        </w:tc>
        <w:tc>
          <w:tcPr>
            <w:tcW w:w="1100" w:type="dxa"/>
            <w:vAlign w:val="bottom"/>
            <w:gridSpan w:val="4"/>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2 CHF</w:t>
            </w:r>
          </w:p>
        </w:tc>
      </w:tr>
      <w:tr>
        <w:trPr>
          <w:trHeight w:val="22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monetary liabilities in foreign currency</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14,047</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60"/>
        </w:trPr>
        <w:tc>
          <w:tcPr>
            <w:tcW w:w="7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2022 (in thousands)</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20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106,566</w:t>
            </w:r>
          </w:p>
        </w:tc>
        <w:tc>
          <w:tcPr>
            <w:tcW w:w="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EUR</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113,664</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USD</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EUR</w:t>
            </w:r>
          </w:p>
        </w:tc>
        <w:tc>
          <w:tcPr>
            <w:tcW w:w="110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color w:val="auto"/>
              </w:rPr>
              <w:t>— USD</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monetary assets in foreign currency</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106,566</w:t>
            </w:r>
          </w:p>
        </w:tc>
        <w:tc>
          <w:tcPr>
            <w:tcW w:w="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113,664</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4"/>
              </w:rPr>
              <w:t>USD</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EUR</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27,979</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USD</w:t>
            </w:r>
          </w:p>
        </w:tc>
      </w:tr>
      <w:tr>
        <w:trPr>
          <w:trHeight w:val="216"/>
        </w:trPr>
        <w:tc>
          <w:tcPr>
            <w:tcW w:w="7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EUR</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GBP</w:t>
            </w:r>
          </w:p>
        </w:tc>
      </w:tr>
      <w:tr>
        <w:trPr>
          <w:trHeight w:val="216"/>
        </w:trPr>
        <w:tc>
          <w:tcPr>
            <w:tcW w:w="7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EUR</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CHF</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monetary liabilities in foreign currency</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26,332</w:t>
            </w:r>
          </w:p>
        </w:tc>
        <w:tc>
          <w:tcPr>
            <w:tcW w:w="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shown in the tables above, CureVac N.V. is exposed to a currency risk only in relation to the USD. Therefore, a foreign currency sensitivity analysis is only presented in respect to the net exposure in USD at fiscal year ends. CureVac’s net exposure in USD is the difference between monetary assets in USD and monetary liabilities in USD and developed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exposure in USD</w:t>
            </w:r>
          </w:p>
        </w:tc>
        <w:tc>
          <w:tcPr>
            <w:tcW w:w="5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04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(1 EUR= 1.0666 USD)</w:t>
            </w:r>
          </w:p>
        </w:tc>
        <w:tc>
          <w:tcPr>
            <w:tcW w:w="586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2023 (1 EUR = 1.1050 USD)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EUR 77,649k from USD 82,822k</w:t>
            </w:r>
          </w:p>
        </w:tc>
        <w:tc>
          <w:tcPr>
            <w:tcW w:w="586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EUR 72,015k from USD 79,576k</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2023, if the EUR had weakened and conversely, had strengthened, 10 per cent against the US dollar, with all other variables held constant, pre-tax loss and post-tax loss would have been affected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4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Effect on pre-tax profit or loss</w:t>
            </w:r>
          </w:p>
        </w:tc>
        <w:tc>
          <w:tcPr>
            <w:tcW w:w="228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Effect on post-tax profit or loss</w:t>
            </w:r>
          </w:p>
        </w:tc>
      </w:tr>
      <w:tr>
        <w:trPr>
          <w:trHeight w:val="173"/>
        </w:trPr>
        <w:tc>
          <w:tcPr>
            <w:tcW w:w="8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Strengthening</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Weakening</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Strengthening</w:t>
            </w: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Weakening</w:t>
            </w:r>
          </w:p>
        </w:tc>
      </w:tr>
      <w:tr>
        <w:trPr>
          <w:trHeight w:val="210"/>
        </w:trPr>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31.12.2023</w:t>
            </w:r>
          </w:p>
        </w:tc>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EUR against USD 10% movement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6,547</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(8,002)</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4,617</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(5,644)</w:t>
            </w:r>
          </w:p>
        </w:tc>
      </w:tr>
      <w:tr>
        <w:trPr>
          <w:trHeight w:val="234"/>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31.12.2022</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 against USD 10% movement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CureVac did not have derivatives in 2023 and 2022.</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 CureVac’s exposure to the risk of changes in market interest rates relates primarily to CureVac’s cash and cash equivalents with floating interest rates.</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If interest rates as of December 31, 2023 had been 1% higher while all other variables had remained the same, the net loss for the year (before and after tax) would have been EUR 4,025k (2022: EUR 4,959k) lower because the higher interest income would have been generated from floating rates on invested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All assets and liabilities for which fair value is measured or disclosed in the financial statements are categorized with the fair value hierarchy, described as follows, based on the lowest level input that is significant to the fair value measurement as a whole:</w:t>
      </w:r>
    </w:p>
    <w:p>
      <w:pPr>
        <w:spacing w:after="0" w:line="162" w:lineRule="exact"/>
        <w:rPr>
          <w:sz w:val="20"/>
          <w:szCs w:val="20"/>
          <w:color w:val="auto"/>
        </w:rPr>
      </w:pPr>
    </w:p>
    <w:p>
      <w:pPr>
        <w:ind w:left="680" w:hanging="321"/>
        <w:spacing w:after="0"/>
        <w:tabs>
          <w:tab w:leader="none" w:pos="6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use quoted prices in active markets for identical assets or liabilities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inputs, other than quoted prices included in Level 1, which are directly or indirectly observable</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for the asset or liability that are not based on observable market data (unobservable inputs)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financial instruments are measured at amortized cost at December 31, 2023 and December 31, 2022.</w:t>
      </w:r>
    </w:p>
    <w:p>
      <w:pPr>
        <w:spacing w:after="0" w:line="22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group measures assets held for sale at fair value less cost of disposals. For all short term liabilities and receivables the book value approximates the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Notes to the consolidated statements of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liabilities arising from financing activities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w:t>
            </w:r>
          </w:p>
        </w:tc>
        <w:tc>
          <w:tcPr>
            <w:tcW w:w="2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EUR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6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Disposals</w:t>
            </w:r>
          </w:p>
        </w:tc>
        <w:tc>
          <w:tcPr>
            <w:tcW w:w="1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60" w:type="dxa"/>
            <w:vAlign w:val="bottom"/>
            <w:gridSpan w:val="2"/>
            <w:vMerge w:val="continue"/>
          </w:tcPr>
          <w:p>
            <w:pPr>
              <w:spacing w:after="0"/>
              <w:rPr>
                <w:sz w:val="15"/>
                <w:szCs w:val="15"/>
                <w:color w:val="auto"/>
              </w:rPr>
            </w:pP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120" w:type="dxa"/>
            <w:vAlign w:val="bottom"/>
            <w:gridSpan w:val="4"/>
            <w:vMerge w:val="continue"/>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1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Movements</w:t>
            </w:r>
          </w:p>
        </w:tc>
        <w:tc>
          <w:tcPr>
            <w:tcW w:w="920" w:type="dxa"/>
            <w:vAlign w:val="bottom"/>
            <w:gridSpan w:val="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22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Payment of lease liabilities</w:t>
            </w: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4.2)</w:t>
            </w:r>
          </w:p>
        </w:tc>
        <w:tc>
          <w:tcPr>
            <w:tcW w:w="200" w:type="dxa"/>
            <w:vAlign w:val="bottom"/>
            <w:gridSpan w:val="2"/>
            <w:shd w:val="clear" w:color="auto" w:fill="CCEEFF"/>
          </w:tcPr>
          <w:p>
            <w:pPr>
              <w:spacing w:after="0"/>
              <w:rPr>
                <w:sz w:val="20"/>
                <w:szCs w:val="20"/>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42,086</w:t>
            </w:r>
          </w:p>
        </w:tc>
        <w:tc>
          <w:tcPr>
            <w:tcW w:w="140" w:type="dxa"/>
            <w:vAlign w:val="bottom"/>
            <w:shd w:val="clear" w:color="auto" w:fill="CCEEFF"/>
          </w:tcPr>
          <w:p>
            <w:pPr>
              <w:spacing w:after="0"/>
              <w:rPr>
                <w:sz w:val="20"/>
                <w:szCs w:val="20"/>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4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(2,998)</w:t>
            </w:r>
          </w:p>
        </w:tc>
        <w:tc>
          <w:tcPr>
            <w:tcW w:w="140" w:type="dxa"/>
            <w:vAlign w:val="bottom"/>
            <w:shd w:val="clear" w:color="auto" w:fill="CCEEFF"/>
          </w:tcPr>
          <w:p>
            <w:pPr>
              <w:spacing w:after="0"/>
              <w:rPr>
                <w:sz w:val="20"/>
                <w:szCs w:val="20"/>
                <w:color w:val="auto"/>
              </w:rPr>
            </w:pPr>
          </w:p>
        </w:tc>
        <w:tc>
          <w:tcPr>
            <w:tcW w:w="56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7,986</w:t>
            </w:r>
          </w:p>
        </w:tc>
        <w:tc>
          <w:tcPr>
            <w:tcW w:w="160" w:type="dxa"/>
            <w:vAlign w:val="bottom"/>
            <w:shd w:val="clear" w:color="auto" w:fill="CCEEFF"/>
          </w:tcPr>
          <w:p>
            <w:pPr>
              <w:spacing w:after="0"/>
              <w:rPr>
                <w:sz w:val="20"/>
                <w:szCs w:val="20"/>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2,375</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(57)</w:t>
            </w:r>
          </w:p>
        </w:tc>
        <w:tc>
          <w:tcPr>
            <w:tcW w:w="140" w:type="dxa"/>
            <w:vAlign w:val="bottom"/>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41,824</w:t>
            </w:r>
          </w:p>
        </w:tc>
        <w:tc>
          <w:tcPr>
            <w:tcW w:w="0" w:type="dxa"/>
            <w:vAlign w:val="bottom"/>
          </w:tcPr>
          <w:p>
            <w:pPr>
              <w:spacing w:after="0"/>
              <w:rPr>
                <w:sz w:val="1"/>
                <w:szCs w:val="1"/>
                <w:color w:val="auto"/>
              </w:rPr>
            </w:pPr>
          </w:p>
        </w:tc>
      </w:tr>
      <w:tr>
        <w:trPr>
          <w:trHeight w:val="174"/>
        </w:trPr>
        <w:tc>
          <w:tcPr>
            <w:tcW w:w="226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liabilities from</w:t>
            </w:r>
          </w:p>
        </w:tc>
        <w:tc>
          <w:tcPr>
            <w:tcW w:w="9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42,086</w:t>
            </w:r>
          </w:p>
        </w:tc>
        <w:tc>
          <w:tcPr>
            <w:tcW w:w="96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(7,568)</w:t>
            </w:r>
          </w:p>
        </w:tc>
        <w:tc>
          <w:tcPr>
            <w:tcW w:w="740" w:type="dxa"/>
            <w:vAlign w:val="bottom"/>
          </w:tcPr>
          <w:p>
            <w:pPr>
              <w:spacing w:after="0"/>
              <w:rPr>
                <w:sz w:val="15"/>
                <w:szCs w:val="15"/>
                <w:color w:val="auto"/>
              </w:rPr>
            </w:pPr>
          </w:p>
        </w:tc>
        <w:tc>
          <w:tcPr>
            <w:tcW w:w="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(2,998)</w:t>
            </w:r>
          </w:p>
        </w:tc>
        <w:tc>
          <w:tcPr>
            <w:tcW w:w="7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7,986</w:t>
            </w:r>
          </w:p>
        </w:tc>
        <w:tc>
          <w:tcPr>
            <w:tcW w:w="160" w:type="dxa"/>
            <w:vAlign w:val="bottom"/>
          </w:tcPr>
          <w:p>
            <w:pPr>
              <w:spacing w:after="0"/>
              <w:rPr>
                <w:sz w:val="15"/>
                <w:szCs w:val="15"/>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2,375</w:t>
            </w:r>
          </w:p>
        </w:tc>
        <w:tc>
          <w:tcPr>
            <w:tcW w:w="140" w:type="dxa"/>
            <w:vAlign w:val="bottom"/>
          </w:tcPr>
          <w:p>
            <w:pPr>
              <w:spacing w:after="0"/>
              <w:rPr>
                <w:sz w:val="15"/>
                <w:szCs w:val="15"/>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w w:val="93"/>
              </w:rPr>
              <w:t>(57)</w:t>
            </w:r>
          </w:p>
        </w:tc>
        <w:tc>
          <w:tcPr>
            <w:tcW w:w="140" w:type="dxa"/>
            <w:vAlign w:val="bottom"/>
          </w:tcPr>
          <w:p>
            <w:pPr>
              <w:spacing w:after="0"/>
              <w:rPr>
                <w:sz w:val="15"/>
                <w:szCs w:val="15"/>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41,824</w:t>
            </w:r>
          </w:p>
        </w:tc>
        <w:tc>
          <w:tcPr>
            <w:tcW w:w="0" w:type="dxa"/>
            <w:vAlign w:val="bottom"/>
          </w:tcPr>
          <w:p>
            <w:pPr>
              <w:spacing w:after="0"/>
              <w:rPr>
                <w:sz w:val="1"/>
                <w:szCs w:val="1"/>
                <w:color w:val="auto"/>
              </w:rPr>
            </w:pPr>
          </w:p>
        </w:tc>
      </w:tr>
      <w:tr>
        <w:trPr>
          <w:trHeight w:val="225"/>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00" w:type="dxa"/>
            <w:vAlign w:val="bottom"/>
            <w:gridSpan w:val="5"/>
            <w:vMerge w:val="continue"/>
          </w:tcPr>
          <w:p>
            <w:pPr>
              <w:spacing w:after="0"/>
              <w:rPr>
                <w:sz w:val="19"/>
                <w:szCs w:val="19"/>
                <w:color w:val="auto"/>
              </w:rPr>
            </w:pPr>
          </w:p>
        </w:tc>
        <w:tc>
          <w:tcPr>
            <w:tcW w:w="960" w:type="dxa"/>
            <w:vAlign w:val="bottom"/>
            <w:gridSpan w:val="5"/>
            <w:vMerge w:val="continue"/>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600" w:type="dxa"/>
            <w:vAlign w:val="bottom"/>
            <w:gridSpan w:val="4"/>
            <w:vMerge w:val="continue"/>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w:t>
            </w:r>
          </w:p>
        </w:tc>
        <w:tc>
          <w:tcPr>
            <w:tcW w:w="20" w:type="dxa"/>
            <w:vAlign w:val="bottom"/>
          </w:tcPr>
          <w:p>
            <w:pPr>
              <w:spacing w:after="0"/>
              <w:rPr>
                <w:sz w:val="24"/>
                <w:szCs w:val="2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EUR</w:t>
            </w:r>
          </w:p>
        </w:tc>
        <w:tc>
          <w:tcPr>
            <w:tcW w:w="8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60" w:type="dxa"/>
            <w:vAlign w:val="bottom"/>
            <w:gridSpan w:val="2"/>
            <w:vMerge w:val="continue"/>
          </w:tcPr>
          <w:p>
            <w:pPr>
              <w:spacing w:after="0"/>
              <w:rPr>
                <w:sz w:val="15"/>
                <w:szCs w:val="15"/>
                <w:color w:val="auto"/>
              </w:rPr>
            </w:pPr>
          </w:p>
        </w:tc>
        <w:tc>
          <w:tcPr>
            <w:tcW w:w="66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3480" w:type="dxa"/>
            <w:vAlign w:val="bottom"/>
            <w:gridSpan w:val="1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Cash flows  Reclassification  Disposals   Changes</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5"/>
                <w:szCs w:val="15"/>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Movements</w:t>
            </w:r>
          </w:p>
        </w:tc>
        <w:tc>
          <w:tcPr>
            <w:tcW w:w="92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1"/>
        </w:trPr>
        <w:tc>
          <w:tcPr>
            <w:tcW w:w="21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Payment of lease liabilities</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4. 2)</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28,892</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spacing w:after="0"/>
              <w:rPr>
                <w:sz w:val="20"/>
                <w:szCs w:val="20"/>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17,241</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center"/>
              <w:ind w:left="59"/>
              <w:spacing w:after="0"/>
              <w:rPr>
                <w:sz w:val="20"/>
                <w:szCs w:val="20"/>
                <w:color w:val="auto"/>
              </w:rPr>
            </w:pPr>
            <w:r>
              <w:rPr>
                <w:rFonts w:ascii="Times New Roman" w:cs="Times New Roman" w:eastAsia="Times New Roman" w:hAnsi="Times New Roman"/>
                <w:sz w:val="18"/>
                <w:szCs w:val="18"/>
                <w:color w:val="auto"/>
              </w:rPr>
              <w:t>2,218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42,086</w:t>
            </w:r>
          </w:p>
        </w:tc>
        <w:tc>
          <w:tcPr>
            <w:tcW w:w="0" w:type="dxa"/>
            <w:vAlign w:val="bottom"/>
          </w:tcPr>
          <w:p>
            <w:pPr>
              <w:spacing w:after="0"/>
              <w:rPr>
                <w:sz w:val="1"/>
                <w:szCs w:val="1"/>
                <w:color w:val="auto"/>
              </w:rPr>
            </w:pPr>
          </w:p>
        </w:tc>
      </w:tr>
      <w:tr>
        <w:trPr>
          <w:trHeight w:val="174"/>
        </w:trPr>
        <w:tc>
          <w:tcPr>
            <w:tcW w:w="226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liabilities from</w:t>
            </w: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28,892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4"/>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17,241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2,218</w:t>
            </w:r>
          </w:p>
        </w:tc>
        <w:tc>
          <w:tcPr>
            <w:tcW w:w="140" w:type="dxa"/>
            <w:vAlign w:val="bottom"/>
          </w:tcPr>
          <w:p>
            <w:pPr>
              <w:spacing w:after="0"/>
              <w:rPr>
                <w:sz w:val="15"/>
                <w:szCs w:val="15"/>
                <w:color w:val="auto"/>
              </w:rPr>
            </w:pPr>
          </w:p>
        </w:tc>
        <w:tc>
          <w:tcPr>
            <w:tcW w:w="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174</w:t>
            </w:r>
          </w:p>
        </w:tc>
        <w:tc>
          <w:tcPr>
            <w:tcW w:w="140" w:type="dxa"/>
            <w:vAlign w:val="bottom"/>
          </w:tcPr>
          <w:p>
            <w:pPr>
              <w:spacing w:after="0"/>
              <w:rPr>
                <w:sz w:val="15"/>
                <w:szCs w:val="15"/>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42,086</w:t>
            </w:r>
          </w:p>
        </w:tc>
        <w:tc>
          <w:tcPr>
            <w:tcW w:w="0" w:type="dxa"/>
            <w:vAlign w:val="bottom"/>
          </w:tcPr>
          <w:p>
            <w:pPr>
              <w:spacing w:after="0"/>
              <w:rPr>
                <w:sz w:val="1"/>
                <w:szCs w:val="1"/>
                <w:color w:val="auto"/>
              </w:rPr>
            </w:pPr>
          </w:p>
        </w:tc>
      </w:tr>
      <w:tr>
        <w:trPr>
          <w:trHeight w:val="225"/>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vMerge w:val="continue"/>
          </w:tcPr>
          <w:p>
            <w:pPr>
              <w:spacing w:after="0"/>
              <w:rPr>
                <w:sz w:val="19"/>
                <w:szCs w:val="19"/>
                <w:color w:val="auto"/>
              </w:rPr>
            </w:pPr>
          </w:p>
        </w:tc>
        <w:tc>
          <w:tcPr>
            <w:tcW w:w="600" w:type="dxa"/>
            <w:vAlign w:val="bottom"/>
            <w:gridSpan w:val="4"/>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cash flow includes an interest component which is presented separately.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No material contingent liabilities resulting from claims and legal proceedings exist as of December 31, 2023. Refer to Note 12 for provisions recognized for contract terminations. For contractual commitments, refer to Note 15.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Remuneration of the Company’s key management personnel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remuneration of key management personnel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Remuneration of the Company’s key management personnel was as follows :</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100" w:type="dxa"/>
            <w:vAlign w:val="bottom"/>
          </w:tcPr>
          <w:p>
            <w:pPr>
              <w:spacing w:after="0"/>
              <w:rPr>
                <w:sz w:val="15"/>
                <w:szCs w:val="15"/>
                <w:color w:val="auto"/>
              </w:rPr>
            </w:pP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Remuneration of key</w:t>
            </w:r>
          </w:p>
        </w:tc>
        <w:tc>
          <w:tcPr>
            <w:tcW w:w="140" w:type="dxa"/>
            <w:vAlign w:val="bottom"/>
          </w:tcPr>
          <w:p>
            <w:pPr>
              <w:spacing w:after="0"/>
              <w:rPr>
                <w:sz w:val="15"/>
                <w:szCs w:val="15"/>
                <w:color w:val="auto"/>
              </w:rPr>
            </w:pPr>
          </w:p>
        </w:tc>
        <w:tc>
          <w:tcPr>
            <w:tcW w:w="18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Management   Supervisory</w:t>
            </w:r>
          </w:p>
        </w:tc>
        <w:tc>
          <w:tcPr>
            <w:tcW w:w="140" w:type="dxa"/>
            <w:vAlign w:val="bottom"/>
          </w:tcPr>
          <w:p>
            <w:pPr>
              <w:spacing w:after="0"/>
              <w:rPr>
                <w:sz w:val="15"/>
                <w:szCs w:val="15"/>
                <w:color w:val="auto"/>
              </w:rPr>
            </w:pPr>
          </w:p>
        </w:tc>
        <w:tc>
          <w:tcPr>
            <w:tcW w:w="18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Management   Supervisory</w:t>
            </w:r>
          </w:p>
        </w:tc>
        <w:tc>
          <w:tcPr>
            <w:tcW w:w="140" w:type="dxa"/>
            <w:vAlign w:val="bottom"/>
          </w:tcPr>
          <w:p>
            <w:pPr>
              <w:spacing w:after="0"/>
              <w:rPr>
                <w:sz w:val="15"/>
                <w:szCs w:val="15"/>
                <w:color w:val="auto"/>
              </w:rPr>
            </w:pPr>
          </w:p>
        </w:tc>
        <w:tc>
          <w:tcPr>
            <w:tcW w:w="18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Management   Supervisory</w:t>
            </w:r>
          </w:p>
        </w:tc>
        <w:tc>
          <w:tcPr>
            <w:tcW w:w="0" w:type="dxa"/>
            <w:vAlign w:val="bottom"/>
          </w:tcPr>
          <w:p>
            <w:pPr>
              <w:spacing w:after="0"/>
              <w:rPr>
                <w:sz w:val="1"/>
                <w:szCs w:val="1"/>
                <w:color w:val="auto"/>
              </w:rPr>
            </w:pPr>
          </w:p>
        </w:tc>
      </w:tr>
      <w:tr>
        <w:trPr>
          <w:trHeight w:val="82"/>
        </w:trPr>
        <w:tc>
          <w:tcPr>
            <w:tcW w:w="2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1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70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73"/>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4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40" w:type="dxa"/>
            <w:vAlign w:val="bottom"/>
          </w:tcPr>
          <w:p>
            <w:pPr>
              <w:spacing w:after="0"/>
              <w:rPr>
                <w:sz w:val="12"/>
                <w:szCs w:val="12"/>
                <w:color w:val="auto"/>
              </w:rPr>
            </w:pPr>
          </w:p>
        </w:tc>
        <w:tc>
          <w:tcPr>
            <w:tcW w:w="86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40" w:type="dxa"/>
            <w:vAlign w:val="bottom"/>
          </w:tcPr>
          <w:p>
            <w:pPr>
              <w:spacing w:after="0"/>
              <w:rPr>
                <w:sz w:val="12"/>
                <w:szCs w:val="12"/>
                <w:color w:val="auto"/>
              </w:rPr>
            </w:pPr>
          </w:p>
        </w:tc>
        <w:tc>
          <w:tcPr>
            <w:tcW w:w="86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EUR k</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benefits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0"/>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15,771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1,212</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9,928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 of the total remuneration, for Management Board EUR 1,551k (2022: EUR 852k, 2021: EUR 1,323k) and for the Supervisory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EUR 158k (2022: EUR 0k, 2021: EUR 0k) are outstanding, as of December 31, 2023.</w:t>
      </w:r>
    </w:p>
    <w:p>
      <w:pPr>
        <w:spacing w:after="0" w:line="20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2023, 105,260 RSUs were granted to the Supervisory Board and 207,481 RSUs and 144,379 options were granted to the Executive Board. During the year, 21,413 RSUs were transferred to the Supervisory Board and 139,027 RSUs were transferred to the Executive Board. No options were exercised from the Key Management Personnel. For more detailed information we refer to Note 10.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 and ultimate controlling party</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As disclosed in Note 1, during fiscal 2023, dievini Hopp BioTech holding GmbH &amp; Co. KG (dievini), which is an investment company dedicated to the support of companies in health and life sciences, was the largest shareholder of CureVac. Together with its related parties, dievini has held shares and voting rights in CureVac between approximately 37-43 % during that period. dievini is thus the de facto parent of the Group. Dietmar Hopp, Daniel Hopp and Oliver Hopp are the ultimate controlling persons (of the main shareholders) of dievini, and, therefore, control the voting and investment decisions of dievini.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 from the former major shareholders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discussed in Note 10, due to certain virtual share exercises under the Prior VSOP during the year 2023: 0 (2022:777,260) common shares were transferred to the Company by the former major shareholders, with no consideration paid in exchange, and all of these shares were subsequently transferred to fulfill obligations from option exercises.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Dietmar Hopp</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During 2019, Dietmar Hopp, principal of dievini Hopp BioTech holding GmbH &amp; Co. KG (dievini), the majority shareholder of the Group, granted two convertible loans to the Group which were terminated in July 2020 and fully repaid in August 2020. Additionally, in 2020, DH-LT Investments GmbH, a company beneficially owned by Dietmar Hopp, managing director of dievini, the Groups largest shareholder, purchased EUR 100,000k of the Group’s common shares at the price of USD 16 per share. In 2023 a total of EUR 1k (2022: EUR 58k) was paid to dievini Hopp BioTech Holding GmbH &amp; Co. KG as a reimbursement of travel cost.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Immatics Biotechnologies GmbH</w:t>
      </w:r>
    </w:p>
    <w:p>
      <w:pPr>
        <w:spacing w:after="0" w:line="229" w:lineRule="exact"/>
        <w:rPr>
          <w:sz w:val="20"/>
          <w:szCs w:val="20"/>
          <w:color w:val="auto"/>
        </w:rPr>
      </w:pPr>
    </w:p>
    <w:p>
      <w:pPr>
        <w:jc w:val="both"/>
        <w:ind w:right="160" w:firstLine="324"/>
        <w:spacing w:after="0" w:line="230" w:lineRule="auto"/>
        <w:rPr>
          <w:sz w:val="20"/>
          <w:szCs w:val="20"/>
          <w:color w:val="auto"/>
        </w:rPr>
      </w:pPr>
      <w:r>
        <w:rPr>
          <w:rFonts w:ascii="Times New Roman" w:cs="Times New Roman" w:eastAsia="Times New Roman" w:hAnsi="Times New Roman"/>
          <w:sz w:val="18"/>
          <w:szCs w:val="18"/>
          <w:color w:val="auto"/>
        </w:rPr>
        <w:t>In August 2023, a purchase agreement between CureVac Manufacturing GmbH and Immatics Biotechnologies GmbH was entered into. CureVac purchased technical equipment of containers which CureVac will use as a facility in the future. dievini held 16.7% of the shares in Immatics N.V. (Immatics) as of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2023 per the Form 20-F of Immatics filed in March 2024. CureVac paid EUR 178k under this agreement.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management personnel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Referring to key management personnel compensation we refer to Note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management personnel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Franz-Werner Haas</w:t>
      </w:r>
    </w:p>
    <w:p>
      <w:pPr>
        <w:spacing w:after="0" w:line="229" w:lineRule="exact"/>
        <w:rPr>
          <w:sz w:val="20"/>
          <w:szCs w:val="20"/>
          <w:color w:val="auto"/>
        </w:rPr>
      </w:pPr>
    </w:p>
    <w:p>
      <w:pPr>
        <w:ind w:right="100" w:firstLine="324"/>
        <w:spacing w:after="0" w:line="312" w:lineRule="auto"/>
        <w:rPr>
          <w:sz w:val="20"/>
          <w:szCs w:val="20"/>
          <w:color w:val="auto"/>
        </w:rPr>
      </w:pPr>
      <w:r>
        <w:rPr>
          <w:rFonts w:ascii="Times New Roman" w:cs="Times New Roman" w:eastAsia="Times New Roman" w:hAnsi="Times New Roman"/>
          <w:sz w:val="17"/>
          <w:szCs w:val="17"/>
          <w:color w:val="auto"/>
        </w:rPr>
        <w:t>In Q1 2023, a consulting agreement between CureVac SE and Franz-Werner Haas was executed. In 2023 CureVac paid EUR 65k under this agreement. The payment was partially compensated by Franz-Werner Haas taking over his former company car for EUR 40k.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Alexander Zehnder</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Q1 2023, a first addendum to the future service agreement was entered into to ensure a smooth transition from CEO Franz-Werner Haas to the new CEO Alexander Zehnder. Total compensation amounted to EUR 51k during the month of March.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Antony Blanc</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2020, a consulting agreement between CureVac AG and Clarentis SRL was made. Clarentis SRL is a wholly owned consulting company of Antony Blanc, PhD, the CBO of CureVac. After the transition of Antony Blanc to the Management Board in February 2021, the contract was no longer active, and no new orders were placed. In Q3 2021, a milestone payment, which related to the submission of the EMA dossier for CVnCoV and which amounted to EUR 100k was made to fulfil a contractual obligation from the consulting agreement in place before Antony Blanc joined the Management Board. In addition to his Management Board position at CureVac, Antony also took over the role as Management Director at CureVac Belgium SA. He executed this function by using Clarentis SRL. As it relates to these services in 2023, CureVac paid EUR 85k in 2023 (2022: EUR 69k, 2021: EUR 0k). The amounts invoiced for this function/services are offset/deducted from his base compensation for his function on the Board of Management of CureVac. As Antony Blanc has left the company as of November 30, 2023, CureVac and Antony Blanc signed a settlement agreement as of September 26, 2023. Under this agreement CureVac incurred cost of EUR 107k for Clarentis SRL entity in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Ingmar Hörr</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Due to the exercise of the Prior VSOP award in December 2022, CureVac had a receivable position of EUR 573k as per year-end for the income tax and social security liability. CureVac has received the money in February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Florian von der Mülbe</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Due to the exercise of the Prior VSOP award in December 2022, CureVac had a receivable position of EUR 559k as per year-end for the income tax and social security liability. CureVac has received the money in February 2023.</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Consulting agreements between CureVac Printer GmbH and Florian von der Mülbe related to the years 2022 to 2024 have been executed. In 2023 CureVac paid EUR 146k under such agreement related to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Mariola Fotin-Mleczek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2022, a consulting agreement between CureVac and Mariola Fotin-Mleczek was made. In 2023 a total amount of EUR 2k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 20k) was paid.</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Due to the exercise of the Prior VSOP award in December 2022, CureVac had a receivable position of EUR 131k as per year-end for the income tax and social security liability. CureVac has received the money in February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Barker BioMedical GmbH</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 Q1 2023, a consulting agreement between CureVac SE and Barker BioMedical GmbH was executed. Barker BioMedical GmBH is a wholly owned consulting company of Debra Barker, Supervisory Board member of CureVac. In 2023 CureVac paid EUR 14k under this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Craig Tooman</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Q1 2023, a consulting agreement between CureVac SE and Craig Tooman was executed. In 2023, CureVac paid EUR 5k under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Ralf Clemens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Q3 2023, a consulting agreement between CureVac and GRID EUROPE was executed. GRID EUROPE is a wholly owned consulting company of Ralf Clemens, who was a member of the supervisory board up to September 30, 2023. CureVac incurred EUR 23k under this agreement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Company’s articles of association require it to indemnify its current and former managing directors and supervisory directors in relation to acts or omissions in the performance of their duties to the fullest extent permitted by law, subject to certain exceptions. We entered into indemnification agreements with all our managing directors and supervisory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Rittershaus Rechtsanwaelte</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Since December 15, 2005, a consultant agreement is in place for an indefinite term with Rittershaus. The agreement can be terminated without notice by CureVac and with notice of three months to the end of the quarter by Rittershaus. In fiscal 2023, consulting fees of EUR 212k (2022: EUR 518k, 2021: EUR 757k) were paid to the Rittershaus. Additionally, EUR 16k were owed for services rendered in 2023 and paid in 2024. Prof. Dr. Christof Hettich is managing director of Rittershaus and was managing director at dievini until June 2022 as well.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BePharBel Manufacturing S.A.</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December 2020, CureVac Manufacturing GmbH (formerly CureVac Real Estate GmbH) and BePharBel Manufacturing S.A., entered into a commercial supply agreement to develop and manufacture the diluent that was expected to be used to dilute the Group’s first concentrated COVID-19 vaccine candidate, CVnCoV, to the amount specified by each dose level. Pursuant to the terms of the agreement, it was intended that BePharBel Manufacturing would manufacture and deliver to CureVac Manufacturing GmbH a low seven figure amount of commercial batches of diluent per year, in 2021 and 2022. Following the withdrawal of the CVnCoV in October 2021 due to COVID-19 virus drift, WHO COVID vaccine efficiency recommendation and market expectations, CureVac Manufacturing GmbH terminated the commercial and supply agreement with BePharBel and entered into negotiations on a structured and rapid wind-down of the ordered production. The Parties agreed on a settlement in May 2022 of all claims resulting from the commercial and supply agreement for an amount of EUR 3,900k, which had been recognized in provisions, based on estimate, as of December 31, 2021. In total an amount of EUR 4,016k was paid. Baron Jean Stéphenne, our Supervisory Board member, holds directly and indirectly 15.61% of BePharBel Manufacturing’s equity and is a director of BePharBel Manufacturing, and Baron Jean Stéphenne’s son, Vincent Stéphenne, holds 1.43% of BePharBel Manufacturing’s equity and is a managing director of BePharBel Manufacturing.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and Goodwill – Frame Acquisition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Effective July 1, 2022 (‘closing date’), CureVac acquired all shares of Frame Pharmaceuticals B.V., Amsterdam, Netherlands (‘Frame Pharmaceuticals’ or ‘Frame’). Frame Pharmaceuticals focuses on the development of a proprietary platform enabling the identification of structural changes within the cancer genome and has strong competencies in antigen discovery as well as validation for personalized cancer vaccines. In July 2022, Frame Pharmaceuticals was renamed CureVac Netherlands B.V.</w:t>
      </w:r>
    </w:p>
    <w:p>
      <w:pPr>
        <w:spacing w:after="0" w:line="18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In the purchase price agreement (‘SPA’) dated June 8, 2022, total consideration of up to EUR 32.0 million, subject to certain adjustments for vested and non-vested employee options of the acquiree plus an amount of EUR 1.56 million for the assumption of an outstanding obligation resulting from advisory services, was agreed. The consideration consisted of the transfer of shares in CureVac (‘CureVac Shares’) and minor cash payments.</w:t>
      </w:r>
    </w:p>
    <w:p>
      <w:pPr>
        <w:spacing w:after="0" w:line="180"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total consideration is split into three payments, two of which are contingent upon the achievement of defined milestones (contingent consideration). At the closing date, the consideration transferred was comprised of the following:</w:t>
      </w:r>
    </w:p>
    <w:p>
      <w:pPr>
        <w:spacing w:after="0" w:line="162" w:lineRule="exact"/>
        <w:rPr>
          <w:sz w:val="20"/>
          <w:szCs w:val="20"/>
          <w:color w:val="auto"/>
        </w:rPr>
      </w:pPr>
    </w:p>
    <w:p>
      <w:pPr>
        <w:ind w:left="680" w:right="600" w:hanging="321"/>
        <w:spacing w:after="0" w:line="261" w:lineRule="auto"/>
        <w:tabs>
          <w:tab w:leader="none" w:pos="6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and transfer of 810,242 shares (EUR 11,040k) to former Frame shareholders. The respective share price of one CureVac Share was EUR 13.63 (‘Closing Share Price’).</w:t>
      </w:r>
    </w:p>
    <w:p>
      <w:pPr>
        <w:ind w:left="680" w:right="200" w:hanging="321"/>
        <w:spacing w:after="0" w:line="265" w:lineRule="auto"/>
        <w:tabs>
          <w:tab w:leader="none" w:pos="68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and transfer of further 48,254 shares (EUR 658k, valued at the Closing Share Price) as consideration for discharging the contractual obligations for the outstanding advisory agreements of EUR 1,560k before deducting strike prices.</w:t>
      </w:r>
    </w:p>
    <w:p>
      <w:pPr>
        <w:ind w:left="680" w:right="500" w:hanging="321"/>
        <w:spacing w:after="0" w:line="260" w:lineRule="auto"/>
        <w:tabs>
          <w:tab w:leader="none" w:pos="6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EUR 585k in cash, consisting of EUR 335k being the consideration for the settlement of the vested employee options, and an additional EUR 250k.</w:t>
      </w:r>
    </w:p>
    <w:p>
      <w:pPr>
        <w:spacing w:after="0" w:line="18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Payment of the remaining 50% of the total consideration is contingent upon the achievement of two milestones. A further 194,644 shares (representing 10% of EUR 32.0 million divided by the Signing Share Price) are issuable upon the achievement of a successful investigational new drug application filing for a product candidate of the Group that consists of at least one antigen based on frameshift-mutation identified by Frame’s algorithms; (“Milestone 1”) and a further 778,575 shares (representing 40% of EUR 32.0 million divided by the Signing Share Price) are issuable upon successful proof of mechanism in humans of that or another product candidate (“Milestone 2”). The fair value of these contingent payments was determined by considering the likelihood of the events occurring and totaled, based on the Closing Share Price, EUR 7,198k (Milestone 1: EUR 1,831k and Milestone 2: EUR 5,367k).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Consequently, the total consideration transferred for the business combination was determined to be EUR 19,481k, consisting of:</w:t>
      </w:r>
    </w:p>
    <w:p>
      <w:pPr>
        <w:spacing w:after="0" w:line="225" w:lineRule="exact"/>
        <w:rPr>
          <w:sz w:val="20"/>
          <w:szCs w:val="20"/>
          <w:color w:val="auto"/>
        </w:rPr>
      </w:pPr>
    </w:p>
    <w:p>
      <w:pPr>
        <w:ind w:left="680" w:hanging="321"/>
        <w:spacing w:after="0"/>
        <w:tabs>
          <w:tab w:leader="none" w:pos="6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and transfer of 858,496 CureVac shares with a fair value of EUR 11,697k,</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EUR 585k in cash, and</w:t>
      </w:r>
    </w:p>
    <w:p>
      <w:pPr>
        <w:spacing w:after="0" w:line="9" w:lineRule="exact"/>
        <w:rPr>
          <w:rFonts w:ascii="Times New Roman" w:cs="Times New Roman" w:eastAsia="Times New Roman" w:hAnsi="Times New Roman"/>
          <w:sz w:val="18"/>
          <w:szCs w:val="18"/>
          <w:color w:val="auto"/>
        </w:rPr>
      </w:pPr>
    </w:p>
    <w:p>
      <w:pPr>
        <w:ind w:left="680" w:right="100" w:hanging="321"/>
        <w:spacing w:after="0" w:line="260" w:lineRule="auto"/>
        <w:tabs>
          <w:tab w:leader="none" w:pos="6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classified as equity, with a fair value of EUR 7,198k. The contingent consideration will be settled by the issuance of a maximum of further 973,236 CureVac shares.</w:t>
      </w:r>
    </w:p>
    <w:p>
      <w:pPr>
        <w:spacing w:after="0" w:line="18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contingent consideration of EUR 7,198k was valued by applying an estimated probability of the milestone being achieved to the payments due upon achievement. These probabilities were derived from third-party clinical development success rate studies.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89,655 restricted stock unit awards (RSUs) were issued to certain employees to replace existing share-based payment awards of Frame Pharmaceuticals. This element is accounted for as a separately from the business combination as an equity-settled share-based transaction according to IFRS 2 (see Note 10). The total fair value of the grant was determined to be EUR 1,218k and will be expensed in the functional cost category to which the award recipient’s costs are allocated (i.e., general and administrative expenses or research and development expenses) over the individual vesting periods for the 3 tranches, which run through June 30, 2023, June 30, 2024, and June 30,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final fair values in accordance with IFRS 3 of the identifiable net assets as of the date of acquisition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EUR thousands</w:t>
            </w:r>
          </w:p>
        </w:tc>
        <w:tc>
          <w:tcPr>
            <w:tcW w:w="25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Fair value recognized on acquisition</w:t>
            </w:r>
          </w:p>
        </w:tc>
      </w:tr>
      <w:tr>
        <w:trPr>
          <w:trHeight w:val="209"/>
        </w:trPr>
        <w:tc>
          <w:tcPr>
            <w:tcW w:w="7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6,592</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 (Technology)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7,558</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 of deferred tax assets)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7,018</w:t>
            </w:r>
          </w:p>
        </w:tc>
      </w:tr>
    </w:tbl>
    <w:p>
      <w:pPr>
        <w:spacing w:after="0" w:line="19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technology intangible asset consists of a bioinformatical platform for cancer antigen discovery and validation for off-the-shelf and personalized cancer vaccines. The fair value of the technology of EUR 6,216k was determined by applying the replacement cost approach due to its early stage. The replacement cost was derived from historical costs incurred to create the technology.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was recognized as a result of the acquisition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EURk</w:t>
            </w:r>
          </w:p>
        </w:tc>
        <w:tc>
          <w:tcPr>
            <w:tcW w:w="760" w:type="dxa"/>
            <w:vAlign w:val="bottom"/>
          </w:tcPr>
          <w:p>
            <w:pPr>
              <w:spacing w:after="0"/>
              <w:rPr>
                <w:sz w:val="15"/>
                <w:szCs w:val="15"/>
                <w:color w:val="auto"/>
              </w:rPr>
            </w:pPr>
          </w:p>
        </w:tc>
      </w:tr>
      <w:tr>
        <w:trPr>
          <w:trHeight w:val="210"/>
        </w:trPr>
        <w:tc>
          <w:tcPr>
            <w:tcW w:w="6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19,481</w:t>
            </w:r>
          </w:p>
        </w:tc>
      </w:tr>
      <w:tr>
        <w:trPr>
          <w:trHeight w:val="209"/>
        </w:trPr>
        <w:tc>
          <w:tcPr>
            <w:tcW w:w="7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(7,018)</w:t>
            </w:r>
          </w:p>
        </w:tc>
      </w:tr>
      <w:tr>
        <w:trPr>
          <w:trHeight w:val="210"/>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12,463</w:t>
            </w:r>
          </w:p>
        </w:tc>
      </w:tr>
    </w:tbl>
    <w:p>
      <w:pPr>
        <w:spacing w:after="0" w:line="19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goodwill is mainly attributable to the synergies and an assembled workforce as well as the strategic benefits to the Group. The goodwill is not deductible for tax purposes.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Transactions costs in relation to the business combination amounting to EUR 500k were expensed and recognized within general and administrative expenses.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consolidated statements of profit or loss include the results of Frame Pharmaceuticals (meanwhile: CureVac Netherlands B.V.) since the acquisition date. From the date of acquisition through December 31, 2022 Frame Pharmaceuticals did not have any significant impact on the operating income or revenues of the Group. The same applies if the transaction had occurred at the beginning of the reporting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9" w:lineRule="exact"/>
        <w:rPr>
          <w:sz w:val="20"/>
          <w:szCs w:val="20"/>
          <w:color w:val="auto"/>
        </w:rPr>
      </w:pPr>
    </w:p>
    <w:p>
      <w:pPr>
        <w:ind w:right="320" w:firstLine="324"/>
        <w:spacing w:after="0" w:line="256" w:lineRule="auto"/>
        <w:rPr>
          <w:sz w:val="20"/>
          <w:szCs w:val="20"/>
          <w:color w:val="auto"/>
        </w:rPr>
      </w:pPr>
      <w:r>
        <w:rPr>
          <w:rFonts w:ascii="Times New Roman" w:cs="Times New Roman" w:eastAsia="Times New Roman" w:hAnsi="Times New Roman"/>
          <w:sz w:val="18"/>
          <w:szCs w:val="18"/>
          <w:color w:val="auto"/>
        </w:rPr>
        <w:t>In January 2024, positive interim data from the ongoing Phase 2 clinical program assessing monovalent and bivalent modified vaccine candidates against COVID-19 in comparison with a licensed bivalent mRNA-based comparator vaccine were published. The tested vaccine candidates are being developed in collaboration with GSK. Results from the interim analysis showed that both vaccine candidates using CureVac’s proprietary second-generation mRNA backbone produced meaningful immune responses and favorable tolerability profiles across all tested doses, including the lowest tested dose. All three tested dose levels were below those used in mRNA-based COVID-19 vaccines licensed in the U.S. and EU.</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In March 2024, the beneficiaries of the Prior VSOP plan declared their intent to exercise their exercisable shares. The shares became exercisable on the third anniversary after IPO (August 14, 2023), because certain minimum trading volumes of the CureVac N.V. shares and liquidity levels had been reached. 786,746 virtual shares were exercised by March 22, 2024 and CureVac received 786,746 shares from the Prior VSOP holders on that day. On March 26, 2024, CureVac transferred 786,746 shares to the exercising beneficiaries.</w:t>
      </w:r>
    </w:p>
    <w:p>
      <w:pPr>
        <w:spacing w:after="0" w:line="164"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March 2024, the Company started a voluntary leaver program intended to align the workforce to the Company’s business scope and priorities. The business goal is to reduce 150 positions by year-end, including natural attrition. Unnecessary residual pandemic infrastructure is being adapted to significantly increase efficiency and performance while maintaining a strong focus on innovation and R&amp;D activities. For this program we anticipate costs in a range between EUR 2 and 3 million.</w:t>
      </w:r>
    </w:p>
    <w:p>
      <w:pPr>
        <w:spacing w:after="0" w:line="180"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In April 2024, promising interim data from the ongoing Phase 2 part of the combined Phase 1/2 study of a seasonal influenza vaccine candidate were reported. The multivalent candidate was designed for broad antigen coverage, encoding antigens matched to all four WHO-recommended flu strains. Results from the planned interim analysis showed that the multivalent vaccine candidate boosted antibody titers against all encoded flu strains and across all age groups and tested dose levels, including the lowest tested dose. The vaccine candidate was shown to have an acceptable safety and tolerability profile, with the majority of solicited adverse events reported as either grade 1 (mild) or grade 2 (moderate) within seven days of dosing. Among younger and older adults, geometric mean titers generated by the vaccine candidate against influenza A strains numerically exceeded the geometric mean titers of the licensed comparator vaccines consistently across all tested dose levels. For influenza B strains geometric mean titers were lower than those elicited by the licensed comparator vaccines across both age groups and tested dose levels. Targeted optimizations to further improve immune responses against influenza B strains will be assessed in an additional Phase 2 study.</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April 2024, the Company entered into a co-development and licensing agreement with The University of Texas MD Anderson Cancer Center for the development of novel mRNA-based cancer vaccines. The collaboration creates strong synergies between CureVac’s unique end-to-end capabilities for cancer antigen discovery, mRNA design, and manufacturing and MD Anderson’s expertise in cancer antigen discovery and validation, translational drug development, and clinical research. The collaboration will focus on the development of differentiated cancer vaccine candidates in selected hematological and solid tumor indications with high unmet medical need. Both parties will contribute to the identification of differentiated cancer antigens based on whole genome sequencing, combined with long- and short-read RNA sequencing and cutting-edge bioinformatics followed by joint preclinical validation of the highest-quality cancer antigens and selection of the most promising clinical-lead candidates for conducting initial Phase 1/2 studies in appropriate clinical indications.</w:t>
      </w:r>
    </w:p>
    <w:p>
      <w:pPr>
        <w:spacing w:after="0" w:line="18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2022, Curevac and GSK entered into a Pandemic Preparedness Agreement with the Federal Republic of Germany. Timelines related to the Pandemic Preparedness Agreement were ambitious with the aim of providing acute pandemic preparedness in Germany in the context of emerging COVID-19 variants. In 2023, CureVac identified a risk that necessary regulatory approvals needed to meet these timelines may not be achieved within the contractually agreed timeframe. After consultation with ZEPAI, CureVac applied for a timeline extension as foreseen under the agreement to avoid procurement of further substantial amounts of raw material at risk. As of December 31, 2023, it was considered unlikely that the extension would be granted. Additionally, a rapidly changing epidemiological environment did no longer prompt an acute pandemic threat. Accordingly, inventories which had been stockpiled as required by the PPA, were written down to their net realizable value. Ultimately, the extension was not granted, whereupon CureVac and GSK jointly decided to terminate the agreement. Despite the termination, CureVac’s GMP IV manufacturing plant for the large-scale production of mRNA-based vaccines will be completed. Contingent upon regulatory approval, the facility is expected to be certified mid-2024.</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April 2024, the Company announced the start of the Phase 1 part of a combined Phase 1/2 study of an investigational influenza A (H5N1) pre-pandemic vaccine candidate developed in collaboration with GSK. The H5N1 avian influenza virus is considered a potential future pandemic threat, able to cross species from its original bird host to humans. The monovalent vaccine candidate is based on CureVac’s proprietary second-generation mRNA backbone and encodes an influenza A H5-antigen. Avian influenza represents latest program progressing to clinical trials under broad infectious disease collaboration agreement with GSK.</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April 2024, the Company had the first ruling in one of its CMO arbitration. In August 2022, Rentschler Biopharma SE initiated arbitration proceedings according to the procedural rules of the German Arbitration Institute against the Company. Rentschler’s claims are based on the assumption that certain agreements between Rentschler and CureVac Manufacturing GmbH (then: CureVac Real Estate GmbH) have been terminated due to the withdrawal of the EMA dossier for CVnCoV or alternatively that CureVac would have been obliged to terminate these agreements. CureVac’s position always was that the agreements had ended upon expiration of their term. We did not believe that there was a legal basis for Rentschler’s claims and therefore defended ourselves against these claims in written submissions and the oral hearing in October 2023. In its final award rendered, the arbitration tribunal followed CureVac’s arguments and dismissed Rentschler’s claims in their entirety. The totality of Rentschler Biopharma SE related provision was reversed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Exhibit 4.50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LONG-TERM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as of March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color w:val="auto"/>
        </w:rPr>
        <w:t>This document sets out the Company’s long-term incentive plan for employees, officers and other service providers who qualify as Eligible Participants.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The main purposes of this Plan are:</w:t>
      </w:r>
    </w:p>
    <w:p>
      <w:pPr>
        <w:spacing w:after="0" w:line="229" w:lineRule="exact"/>
        <w:rPr>
          <w:sz w:val="20"/>
          <w:szCs w:val="20"/>
          <w:color w:val="auto"/>
        </w:rPr>
      </w:pPr>
    </w:p>
    <w:p>
      <w:pPr>
        <w:ind w:left="1300" w:right="20" w:hanging="644"/>
        <w:spacing w:after="0" w:line="282" w:lineRule="auto"/>
        <w:tabs>
          <w:tab w:leader="none" w:pos="130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attract, retain and motivate Participants with the qualities, skills and experience needed to support and promote the growth and sustainable success of the Company and its business;</w:t>
      </w:r>
    </w:p>
    <w:p>
      <w:pPr>
        <w:spacing w:after="0" w:line="161"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incentivise Participants to perform at the highest level and to further the best interests of the Company, its business and its stakeholders; and</w:t>
      </w:r>
    </w:p>
    <w:p>
      <w:pPr>
        <w:spacing w:after="0" w:line="161"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align the compensation incentives of Participants with the interests and considerations of Company shareholders and other stakeholders.</w:t>
      </w:r>
    </w:p>
    <w:p>
      <w:pPr>
        <w:spacing w:after="0" w:line="1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color w:val="auto"/>
        </w:rPr>
        <w:t>This Plan is effective as of the consummation of the IPO.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color w:val="auto"/>
        </w:rPr>
        <w:t>In this Plan the following definitions shall apply: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Article</w:t>
            </w: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 article of this Plan.</w:t>
            </w:r>
          </w:p>
        </w:tc>
      </w:tr>
      <w:tr>
        <w:trPr>
          <w:trHeight w:val="306"/>
        </w:trPr>
        <w:tc>
          <w:tcPr>
            <w:tcW w:w="22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Award</w:t>
            </w: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grant under this Plan in the form of one or more Options, SARs, Shares of Restricted Stock,</w:t>
            </w:r>
          </w:p>
        </w:tc>
      </w:tr>
      <w:tr>
        <w:trPr>
          <w:trHeight w:val="234"/>
        </w:trPr>
        <w:tc>
          <w:tcPr>
            <w:tcW w:w="2240" w:type="dxa"/>
            <w:vAlign w:val="bottom"/>
          </w:tcPr>
          <w:p>
            <w:pPr>
              <w:spacing w:after="0"/>
              <w:rPr>
                <w:sz w:val="20"/>
                <w:szCs w:val="20"/>
                <w:color w:val="auto"/>
              </w:rPr>
            </w:pP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RSUs, Other Awards, or a combination of the foregoing.</w:t>
            </w:r>
          </w:p>
        </w:tc>
      </w:tr>
      <w:tr>
        <w:trPr>
          <w:trHeight w:val="306"/>
        </w:trPr>
        <w:tc>
          <w:tcPr>
            <w:tcW w:w="22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Award Agreement</w:t>
            </w: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written agreement between the Company and a Participant, substantially in the form of Annex</w:t>
            </w:r>
          </w:p>
        </w:tc>
      </w:tr>
      <w:tr>
        <w:trPr>
          <w:trHeight w:val="216"/>
        </w:trPr>
        <w:tc>
          <w:tcPr>
            <w:tcW w:w="224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to this Plan, evidencing the grant of an Award to such Participant and containing such terms as</w:t>
            </w:r>
          </w:p>
        </w:tc>
      </w:tr>
      <w:tr>
        <w:trPr>
          <w:trHeight w:val="234"/>
        </w:trPr>
        <w:tc>
          <w:tcPr>
            <w:tcW w:w="2240" w:type="dxa"/>
            <w:vAlign w:val="bottom"/>
          </w:tcPr>
          <w:p>
            <w:pPr>
              <w:spacing w:after="0"/>
              <w:rPr>
                <w:sz w:val="20"/>
                <w:szCs w:val="20"/>
                <w:color w:val="auto"/>
              </w:rPr>
            </w:pPr>
          </w:p>
        </w:tc>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Committee may determine, consistent with and subject to the terms of this Plan.</w:t>
            </w:r>
          </w:p>
        </w:tc>
      </w:tr>
      <w:tr>
        <w:trPr>
          <w:trHeight w:val="1424"/>
        </w:trPr>
        <w:tc>
          <w:tcPr>
            <w:tcW w:w="22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06" w:name="page307"/>
    <w:bookmarkEnd w:id="306"/>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Bad Leaver</w:t>
            </w:r>
          </w:p>
        </w:tc>
        <w:tc>
          <w:tcPr>
            <w:tcW w:w="7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 Participant who ceases to be an Eligible Participant for Cause, including a situation where the</w:t>
            </w:r>
          </w:p>
        </w:tc>
      </w:tr>
      <w:tr>
        <w:trPr>
          <w:trHeight w:val="216"/>
        </w:trPr>
        <w:tc>
          <w:tcPr>
            <w:tcW w:w="1320" w:type="dxa"/>
            <w:vAlign w:val="bottom"/>
          </w:tcPr>
          <w:p>
            <w:pPr>
              <w:spacing w:after="0"/>
              <w:rPr>
                <w:sz w:val="18"/>
                <w:szCs w:val="18"/>
                <w:color w:val="auto"/>
              </w:rPr>
            </w:pPr>
          </w:p>
        </w:tc>
        <w:tc>
          <w:tcPr>
            <w:tcW w:w="7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Participant resigns and the Committee determines that an event has occurred with respect to that</w:t>
            </w:r>
          </w:p>
        </w:tc>
      </w:tr>
      <w:tr>
        <w:trPr>
          <w:trHeight w:val="234"/>
        </w:trPr>
        <w:tc>
          <w:tcPr>
            <w:tcW w:w="1320" w:type="dxa"/>
            <w:vAlign w:val="bottom"/>
          </w:tcPr>
          <w:p>
            <w:pPr>
              <w:spacing w:after="0"/>
              <w:rPr>
                <w:sz w:val="20"/>
                <w:szCs w:val="20"/>
                <w:color w:val="auto"/>
              </w:rPr>
            </w:pPr>
          </w:p>
        </w:tc>
        <w:tc>
          <w:tcPr>
            <w:tcW w:w="7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Participant which constitutes Cause.</w:t>
            </w:r>
          </w:p>
        </w:tc>
      </w:tr>
      <w:tr>
        <w:trPr>
          <w:trHeight w:val="306"/>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Cause</w:t>
            </w:r>
          </w:p>
        </w:tc>
        <w:tc>
          <w:tcPr>
            <w:tcW w:w="7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With respect to a Participant, “cause” as defined in such Participant’s employment, service or</w:t>
            </w:r>
          </w:p>
        </w:tc>
      </w:tr>
      <w:tr>
        <w:trPr>
          <w:trHeight w:val="216"/>
        </w:trPr>
        <w:tc>
          <w:tcPr>
            <w:tcW w:w="1320" w:type="dxa"/>
            <w:vAlign w:val="bottom"/>
          </w:tcPr>
          <w:p>
            <w:pPr>
              <w:spacing w:after="0"/>
              <w:rPr>
                <w:sz w:val="18"/>
                <w:szCs w:val="18"/>
                <w:color w:val="auto"/>
              </w:rPr>
            </w:pPr>
          </w:p>
        </w:tc>
        <w:tc>
          <w:tcPr>
            <w:tcW w:w="7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consulting agreement with the Company or a Subsidiary, or if not so defined (and unless</w:t>
            </w:r>
          </w:p>
        </w:tc>
      </w:tr>
      <w:tr>
        <w:trPr>
          <w:trHeight w:val="234"/>
        </w:trPr>
        <w:tc>
          <w:tcPr>
            <w:tcW w:w="1320" w:type="dxa"/>
            <w:vAlign w:val="bottom"/>
          </w:tcPr>
          <w:p>
            <w:pPr>
              <w:spacing w:after="0"/>
              <w:rPr>
                <w:sz w:val="20"/>
                <w:szCs w:val="20"/>
                <w:color w:val="auto"/>
              </w:rPr>
            </w:pPr>
          </w:p>
        </w:tc>
        <w:tc>
          <w:tcPr>
            <w:tcW w:w="7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determined otherwise in the applicable Award Agreement or by the Committee):</w:t>
            </w:r>
          </w:p>
        </w:tc>
      </w:tr>
      <w:tr>
        <w:trPr>
          <w:trHeight w:val="306"/>
        </w:trPr>
        <w:tc>
          <w:tcPr>
            <w:tcW w:w="1320" w:type="dxa"/>
            <w:vAlign w:val="bottom"/>
          </w:tcPr>
          <w:p>
            <w:pPr>
              <w:spacing w:after="0"/>
              <w:rPr>
                <w:sz w:val="24"/>
                <w:szCs w:val="24"/>
                <w:color w:val="auto"/>
              </w:rPr>
            </w:pPr>
          </w:p>
        </w:tc>
        <w:tc>
          <w:tcPr>
            <w:tcW w:w="8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a.</w:t>
            </w: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such Participant’s indictment for any crime which (i) constitutes a felony, (ii) has, or</w:t>
            </w:r>
          </w:p>
        </w:tc>
      </w:tr>
      <w:tr>
        <w:trPr>
          <w:trHeight w:val="216"/>
        </w:trPr>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could reasonably be expected to have, an adverse impact on the performance of such</w:t>
            </w:r>
          </w:p>
        </w:tc>
      </w:tr>
      <w:tr>
        <w:trPr>
          <w:trHeight w:val="216"/>
        </w:trPr>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Participant’s services to the Company and/or any Subsidiary or (iii) has, or could</w:t>
            </w:r>
          </w:p>
        </w:tc>
      </w:tr>
      <w:tr>
        <w:trPr>
          <w:trHeight w:val="216"/>
        </w:trPr>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reasonably be expected to have, an adverse impact on the business and/or reputation of</w:t>
            </w:r>
          </w:p>
        </w:tc>
      </w:tr>
      <w:tr>
        <w:trPr>
          <w:trHeight w:val="234"/>
        </w:trPr>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Company and/or any Subsidiary;</w:t>
            </w:r>
          </w:p>
        </w:tc>
      </w:tr>
      <w:tr>
        <w:trPr>
          <w:trHeight w:val="306"/>
        </w:trPr>
        <w:tc>
          <w:tcPr>
            <w:tcW w:w="1320" w:type="dxa"/>
            <w:vAlign w:val="bottom"/>
          </w:tcPr>
          <w:p>
            <w:pPr>
              <w:spacing w:after="0"/>
              <w:rPr>
                <w:sz w:val="24"/>
                <w:szCs w:val="24"/>
                <w:color w:val="auto"/>
              </w:rPr>
            </w:pPr>
          </w:p>
        </w:tc>
        <w:tc>
          <w:tcPr>
            <w:tcW w:w="8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b.</w:t>
            </w: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such Participant having been the subject of any order, judicial or administrative,</w:t>
            </w:r>
          </w:p>
        </w:tc>
      </w:tr>
      <w:tr>
        <w:trPr>
          <w:trHeight w:val="216"/>
        </w:trPr>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obtained or issued by any governmental or regulatory body for any securities laws</w:t>
            </w:r>
          </w:p>
        </w:tc>
      </w:tr>
      <w:tr>
        <w:trPr>
          <w:trHeight w:val="216"/>
        </w:trPr>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violation  involving  fraud,  market  manipulation,  insider  trading  and/or  unlawful</w:t>
            </w:r>
          </w:p>
        </w:tc>
      </w:tr>
      <w:tr>
        <w:trPr>
          <w:trHeight w:val="234"/>
        </w:trPr>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dissemination of non-public price- sensitive information;</w:t>
            </w:r>
          </w:p>
        </w:tc>
      </w:tr>
      <w:tr>
        <w:trPr>
          <w:trHeight w:val="306"/>
        </w:trPr>
        <w:tc>
          <w:tcPr>
            <w:tcW w:w="1320" w:type="dxa"/>
            <w:vAlign w:val="bottom"/>
          </w:tcPr>
          <w:p>
            <w:pPr>
              <w:spacing w:after="0"/>
              <w:rPr>
                <w:sz w:val="24"/>
                <w:szCs w:val="24"/>
                <w:color w:val="auto"/>
              </w:rPr>
            </w:pPr>
          </w:p>
        </w:tc>
        <w:tc>
          <w:tcPr>
            <w:tcW w:w="8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c.</w:t>
            </w: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such Participant’s wilful violation of the Company’s code of conduct, insider trading</w:t>
            </w:r>
          </w:p>
        </w:tc>
      </w:tr>
      <w:tr>
        <w:trPr>
          <w:trHeight w:val="216"/>
        </w:trPr>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policy or other internal policies and regulations established by the Company and/or any</w:t>
            </w:r>
          </w:p>
        </w:tc>
      </w:tr>
      <w:tr>
        <w:trPr>
          <w:trHeight w:val="234"/>
        </w:trPr>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Subsidiary, in each case to the extent applicable to the Participant concerned;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07" w:name="page308"/>
    <w:bookmarkEnd w:id="307"/>
    <w:p>
      <w:pPr>
        <w:jc w:val="both"/>
        <w:ind w:left="2620" w:right="39" w:hanging="655"/>
        <w:spacing w:after="0" w:line="266" w:lineRule="auto"/>
        <w:tabs>
          <w:tab w:leader="none" w:pos="262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gross negligence or wilful misconduct in the performance of such Participant’s duties for the Company and/or any Subsidiary or wilful or repeated failure or refusal to perform such duties;</w:t>
      </w:r>
    </w:p>
    <w:p>
      <w:pPr>
        <w:spacing w:after="0" w:line="67" w:lineRule="exact"/>
        <w:rPr>
          <w:rFonts w:ascii="Times New Roman" w:cs="Times New Roman" w:eastAsia="Times New Roman" w:hAnsi="Times New Roman"/>
          <w:sz w:val="18"/>
          <w:szCs w:val="18"/>
          <w:b w:val="1"/>
          <w:bCs w:val="1"/>
          <w:color w:val="auto"/>
        </w:rPr>
      </w:pPr>
    </w:p>
    <w:p>
      <w:pPr>
        <w:jc w:val="both"/>
        <w:ind w:left="2620" w:right="39" w:hanging="655"/>
        <w:spacing w:after="0" w:line="266" w:lineRule="auto"/>
        <w:tabs>
          <w:tab w:leader="none" w:pos="262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material breach by such Participant of any employment, service, consulting or other agreement entered into between such Participant on the one hand and the Company and/or any Subsidiary on the other;</w:t>
      </w:r>
    </w:p>
    <w:p>
      <w:pPr>
        <w:spacing w:after="0" w:line="67" w:lineRule="exact"/>
        <w:rPr>
          <w:rFonts w:ascii="Times New Roman" w:cs="Times New Roman" w:eastAsia="Times New Roman" w:hAnsi="Times New Roman"/>
          <w:sz w:val="18"/>
          <w:szCs w:val="18"/>
          <w:b w:val="1"/>
          <w:bCs w:val="1"/>
          <w:color w:val="auto"/>
        </w:rPr>
      </w:pPr>
    </w:p>
    <w:p>
      <w:pPr>
        <w:jc w:val="both"/>
        <w:ind w:left="2620" w:right="39" w:hanging="655"/>
        <w:spacing w:after="0" w:line="266" w:lineRule="auto"/>
        <w:tabs>
          <w:tab w:leader="none" w:pos="262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conduct by such Participant which should be considered as an urgent cause within the meaning of Section 7:678 DCC, irrespective of whether that provision applies to such Participant’s relationship with the Company and/or any Subsidiary; and</w:t>
      </w:r>
    </w:p>
    <w:p>
      <w:pPr>
        <w:spacing w:after="0" w:line="67" w:lineRule="exact"/>
        <w:rPr>
          <w:rFonts w:ascii="Times New Roman" w:cs="Times New Roman" w:eastAsia="Times New Roman" w:hAnsi="Times New Roman"/>
          <w:sz w:val="18"/>
          <w:szCs w:val="18"/>
          <w:b w:val="1"/>
          <w:bCs w:val="1"/>
          <w:color w:val="auto"/>
        </w:rPr>
      </w:pPr>
    </w:p>
    <w:p>
      <w:pPr>
        <w:jc w:val="both"/>
        <w:ind w:left="2620" w:right="39" w:hanging="655"/>
        <w:spacing w:after="0" w:line="258" w:lineRule="auto"/>
        <w:tabs>
          <w:tab w:leader="none" w:pos="262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other acts or omissions to act by such Participant as reasonably determined by the Committee, provided that the occurrence of an event described in paragraphs c. through e. above shall only constitute Cause if and when such event has not been cured or remedied by the relevant Participant within thirty days after the Company has provided written notice to such Participant.</w:t>
      </w:r>
    </w:p>
    <w:p>
      <w:pPr>
        <w:spacing w:after="0" w:line="71" w:lineRule="exact"/>
        <w:rPr>
          <w:sz w:val="20"/>
          <w:szCs w:val="20"/>
          <w:color w:val="auto"/>
        </w:rPr>
      </w:pPr>
    </w:p>
    <w:p>
      <w:pPr>
        <w:ind w:left="20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Change of Control</w:t>
      </w:r>
      <w:r>
        <w:rPr>
          <w:sz w:val="20"/>
          <w:szCs w:val="20"/>
          <w:color w:val="auto"/>
        </w:rPr>
        <w:tab/>
      </w:r>
      <w:r>
        <w:rPr>
          <w:rFonts w:ascii="Times New Roman" w:cs="Times New Roman" w:eastAsia="Times New Roman" w:hAnsi="Times New Roman"/>
          <w:sz w:val="18"/>
          <w:szCs w:val="18"/>
          <w:color w:val="auto"/>
        </w:rPr>
        <w:t>The occurrence of any one or more of the following events:</w:t>
      </w:r>
    </w:p>
    <w:p>
      <w:pPr>
        <w:spacing w:after="0" w:line="121" w:lineRule="exact"/>
        <w:rPr>
          <w:sz w:val="20"/>
          <w:szCs w:val="20"/>
          <w:color w:val="auto"/>
        </w:rPr>
      </w:pPr>
    </w:p>
    <w:p>
      <w:pPr>
        <w:jc w:val="both"/>
        <w:ind w:left="2620" w:right="39" w:hanging="655"/>
        <w:spacing w:after="0" w:line="261" w:lineRule="auto"/>
        <w:tabs>
          <w:tab w:leader="none" w:pos="262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 or indirect change in ownership or control of the Company effected through one transaction, or a series of related transactions within a twelve-month period, as a result of which any Person or group of Persons acting in concert, directly or indirectly acquires (i) beneficial ownership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308" w:name="page309"/>
    <w:bookmarkEnd w:id="308"/>
    <w:p>
      <w:pPr>
        <w:ind w:left="1960" w:right="39"/>
        <w:spacing w:after="0" w:line="282" w:lineRule="auto"/>
        <w:rPr>
          <w:sz w:val="20"/>
          <w:szCs w:val="20"/>
          <w:color w:val="auto"/>
        </w:rPr>
      </w:pPr>
      <w:r>
        <w:rPr>
          <w:rFonts w:ascii="Times New Roman" w:cs="Times New Roman" w:eastAsia="Times New Roman" w:hAnsi="Times New Roman"/>
          <w:sz w:val="18"/>
          <w:szCs w:val="18"/>
          <w:color w:val="auto"/>
        </w:rPr>
        <w:t>more than half of the Company’s issued share capital and/or (ii) the ability to cast more than half of the voting rights in the General Meeting;</w:t>
      </w:r>
    </w:p>
    <w:p>
      <w:pPr>
        <w:spacing w:after="0" w:line="54" w:lineRule="exact"/>
        <w:rPr>
          <w:sz w:val="20"/>
          <w:szCs w:val="20"/>
          <w:color w:val="auto"/>
        </w:rPr>
      </w:pPr>
    </w:p>
    <w:p>
      <w:pPr>
        <w:jc w:val="both"/>
        <w:ind w:left="2620" w:right="39" w:hanging="655"/>
        <w:spacing w:after="0" w:line="253" w:lineRule="auto"/>
        <w:tabs>
          <w:tab w:leader="none" w:pos="262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during a period of twelve consecutive months, individuals who at the beginning of such period constituted the Management Board and/or the Supervisory Board cease to constitute a majority of members of the Management Board and/or the Supervisory Board, as applicable, provided that any new member of the Management Board or the Supervisory Board who was nominated for appointment by the Supervisory Board by a vote of at least a majority of the Supervisory Directors who either were Supervisory Directors at the beginning of such twelve-month period or whose nomination for appointment was so approved, shall be considered as though such individual were a member of the Management Board or the Supervisory Board, as applicable, at the beginning of such twelve-month period;</w:t>
      </w:r>
    </w:p>
    <w:p>
      <w:pPr>
        <w:spacing w:after="0" w:line="86" w:lineRule="exact"/>
        <w:rPr>
          <w:rFonts w:ascii="Times New Roman" w:cs="Times New Roman" w:eastAsia="Times New Roman" w:hAnsi="Times New Roman"/>
          <w:sz w:val="18"/>
          <w:szCs w:val="18"/>
          <w:b w:val="1"/>
          <w:bCs w:val="1"/>
          <w:color w:val="auto"/>
        </w:rPr>
      </w:pPr>
    </w:p>
    <w:p>
      <w:pPr>
        <w:jc w:val="both"/>
        <w:ind w:left="2620" w:right="39" w:hanging="655"/>
        <w:spacing w:after="0" w:line="255" w:lineRule="auto"/>
        <w:tabs>
          <w:tab w:leader="none" w:pos="262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 merger, demerger or business combination of the Company or any Subsidiary with another Person, unless such transaction results in the shares in the Company’s capital outstanding immediately prior to the consummation of such transaction continuing to represent (either by remaining outstanding or by being converted into, or exchanged for, voting securities of the surviving or acquiring Person or a parent thereof) at least half of the voting rights in the General Meeting or in the shareholders’ meeting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309" w:name="page310"/>
    <w:bookmarkEnd w:id="309"/>
    <w:p>
      <w:pPr>
        <w:ind w:left="1960" w:right="39"/>
        <w:spacing w:after="0" w:line="282" w:lineRule="auto"/>
        <w:rPr>
          <w:sz w:val="20"/>
          <w:szCs w:val="20"/>
          <w:color w:val="auto"/>
        </w:rPr>
      </w:pPr>
      <w:r>
        <w:rPr>
          <w:rFonts w:ascii="Times New Roman" w:cs="Times New Roman" w:eastAsia="Times New Roman" w:hAnsi="Times New Roman"/>
          <w:sz w:val="18"/>
          <w:szCs w:val="18"/>
          <w:color w:val="auto"/>
        </w:rPr>
        <w:t>surviving or acquiring Person or parent outstanding immediately after the consummation of such transaction;</w:t>
      </w:r>
    </w:p>
    <w:p>
      <w:pPr>
        <w:spacing w:after="0" w:line="54" w:lineRule="exact"/>
        <w:rPr>
          <w:sz w:val="20"/>
          <w:szCs w:val="20"/>
          <w:color w:val="auto"/>
        </w:rPr>
      </w:pPr>
    </w:p>
    <w:p>
      <w:pPr>
        <w:jc w:val="both"/>
        <w:ind w:left="2620" w:right="39" w:hanging="655"/>
        <w:spacing w:after="0" w:line="261" w:lineRule="auto"/>
        <w:tabs>
          <w:tab w:leader="none" w:pos="262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any sale, lease, exchange or other transfer to any Person or group of Persons acting in concert, not being Subsidiaries, in one transaction or a series of related transactions within a twelve-month period, of all or substantially all of the business of the Company and its Subsidiaries; or</w:t>
      </w:r>
    </w:p>
    <w:p>
      <w:pPr>
        <w:spacing w:after="0" w:line="71" w:lineRule="exact"/>
        <w:rPr>
          <w:rFonts w:ascii="Times New Roman" w:cs="Times New Roman" w:eastAsia="Times New Roman" w:hAnsi="Times New Roman"/>
          <w:sz w:val="18"/>
          <w:szCs w:val="18"/>
          <w:b w:val="1"/>
          <w:bCs w:val="1"/>
          <w:color w:val="auto"/>
        </w:rPr>
      </w:pPr>
    </w:p>
    <w:p>
      <w:pPr>
        <w:ind w:left="2620" w:right="39" w:hanging="655"/>
        <w:spacing w:after="0" w:line="282" w:lineRule="auto"/>
        <w:tabs>
          <w:tab w:leader="none" w:pos="262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Article 10, such other event which the Committee determines to constitute a change of control in respect of the Company.</w:t>
      </w:r>
    </w:p>
    <w:p>
      <w:pPr>
        <w:spacing w:after="0" w:line="50" w:lineRule="exact"/>
        <w:rPr>
          <w:sz w:val="20"/>
          <w:szCs w:val="20"/>
          <w:color w:val="auto"/>
        </w:rPr>
      </w:pPr>
    </w:p>
    <w:p>
      <w:pPr>
        <w:ind w:left="20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Committee</w:t>
      </w:r>
      <w:r>
        <w:rPr>
          <w:sz w:val="20"/>
          <w:szCs w:val="20"/>
          <w:color w:val="auto"/>
        </w:rPr>
        <w:tab/>
      </w:r>
      <w:r>
        <w:rPr>
          <w:rFonts w:ascii="Times New Roman" w:cs="Times New Roman" w:eastAsia="Times New Roman" w:hAnsi="Times New Roman"/>
          <w:sz w:val="18"/>
          <w:szCs w:val="18"/>
          <w:color w:val="auto"/>
        </w:rPr>
        <w:t>Any of the following bodies, as applicable:</w:t>
      </w:r>
    </w:p>
    <w:p>
      <w:pPr>
        <w:spacing w:after="0" w:line="121" w:lineRule="exact"/>
        <w:rPr>
          <w:sz w:val="20"/>
          <w:szCs w:val="20"/>
          <w:color w:val="auto"/>
        </w:rPr>
      </w:pPr>
    </w:p>
    <w:p>
      <w:pPr>
        <w:jc w:val="both"/>
        <w:ind w:left="2620" w:right="39" w:hanging="655"/>
        <w:spacing w:after="0" w:line="266" w:lineRule="auto"/>
        <w:tabs>
          <w:tab w:leader="none" w:pos="262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to the extent the administration or operation of this Plan relates to the grant of Awards to Eligible Participants who are not Managing Directors or Supervisory Directors, as well as any other matter relating to such Awards;</w:t>
      </w:r>
    </w:p>
    <w:p>
      <w:pPr>
        <w:spacing w:after="0" w:line="67" w:lineRule="exact"/>
        <w:rPr>
          <w:rFonts w:ascii="Times New Roman" w:cs="Times New Roman" w:eastAsia="Times New Roman" w:hAnsi="Times New Roman"/>
          <w:sz w:val="18"/>
          <w:szCs w:val="18"/>
          <w:b w:val="1"/>
          <w:bCs w:val="1"/>
          <w:color w:val="auto"/>
        </w:rPr>
      </w:pPr>
    </w:p>
    <w:p>
      <w:pPr>
        <w:jc w:val="both"/>
        <w:ind w:left="2620" w:right="39" w:hanging="655"/>
        <w:spacing w:after="0" w:line="261" w:lineRule="auto"/>
        <w:tabs>
          <w:tab w:leader="none" w:pos="262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Supervisory Board, to the extent the administration or operation of this Plan relates to the grant of Awards to Eligible Participants who are Managing Directors or members of the compensation committee established by the Supervisory Board, as well as any other matter relating to such Awards; or</w:t>
      </w:r>
    </w:p>
    <w:p>
      <w:pPr>
        <w:spacing w:after="0" w:line="71" w:lineRule="exact"/>
        <w:rPr>
          <w:rFonts w:ascii="Times New Roman" w:cs="Times New Roman" w:eastAsia="Times New Roman" w:hAnsi="Times New Roman"/>
          <w:sz w:val="18"/>
          <w:szCs w:val="18"/>
          <w:b w:val="1"/>
          <w:bCs w:val="1"/>
          <w:color w:val="auto"/>
        </w:rPr>
      </w:pPr>
    </w:p>
    <w:p>
      <w:pPr>
        <w:ind w:left="2620" w:right="39" w:hanging="655"/>
        <w:spacing w:after="0" w:line="282" w:lineRule="auto"/>
        <w:tabs>
          <w:tab w:leader="none" w:pos="262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compensation committee established by the Supervisory Board for all other matters relating to the administration or operation of the Plan.</w:t>
      </w:r>
    </w:p>
    <w:p>
      <w:pPr>
        <w:spacing w:after="0" w:line="50" w:lineRule="exact"/>
        <w:rPr>
          <w:sz w:val="20"/>
          <w:szCs w:val="20"/>
          <w:color w:val="auto"/>
        </w:rPr>
      </w:pPr>
    </w:p>
    <w:p>
      <w:pPr>
        <w:ind w:left="20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Company</w:t>
      </w:r>
      <w:r>
        <w:rPr>
          <w:sz w:val="20"/>
          <w:szCs w:val="20"/>
          <w:color w:val="auto"/>
        </w:rPr>
        <w:tab/>
      </w:r>
      <w:r>
        <w:rPr>
          <w:rFonts w:ascii="Times New Roman" w:cs="Times New Roman" w:eastAsia="Times New Roman" w:hAnsi="Times New Roman"/>
          <w:sz w:val="18"/>
          <w:szCs w:val="18"/>
          <w:color w:val="auto"/>
        </w:rPr>
        <w:t>CureVac 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310" w:name="page311"/>
    <w:bookmarkEnd w:id="310"/>
    <w:p>
      <w:pPr>
        <w:ind w:left="200"/>
        <w:spacing w:after="0"/>
        <w:rPr>
          <w:sz w:val="20"/>
          <w:szCs w:val="20"/>
          <w:color w:val="auto"/>
        </w:rPr>
      </w:pPr>
      <w:r>
        <w:rPr>
          <w:rFonts w:ascii="Times New Roman" w:cs="Times New Roman" w:eastAsia="Times New Roman" w:hAnsi="Times New Roman"/>
          <w:sz w:val="17"/>
          <w:szCs w:val="17"/>
          <w:b w:val="1"/>
          <w:bCs w:val="1"/>
          <w:color w:val="auto"/>
        </w:rPr>
        <w:t>Consultant</w:t>
      </w:r>
    </w:p>
    <w:p>
      <w:pPr>
        <w:spacing w:after="0" w:line="20" w:lineRule="exact"/>
        <w:rPr>
          <w:sz w:val="20"/>
          <w:szCs w:val="20"/>
          <w:color w:val="auto"/>
        </w:rPr>
      </w:pPr>
      <w:r>
        <w:rPr>
          <w:sz w:val="20"/>
          <w:szCs w:val="20"/>
          <w:color w:val="auto"/>
        </w:rPr>
        <w:br w:type="column"/>
      </w:r>
    </w:p>
    <w:p>
      <w:pPr>
        <w:jc w:val="both"/>
        <w:ind w:right="39"/>
        <w:spacing w:after="0" w:line="266" w:lineRule="auto"/>
        <w:rPr>
          <w:sz w:val="20"/>
          <w:szCs w:val="20"/>
          <w:color w:val="auto"/>
        </w:rPr>
      </w:pPr>
      <w:r>
        <w:rPr>
          <w:rFonts w:ascii="Times New Roman" w:cs="Times New Roman" w:eastAsia="Times New Roman" w:hAnsi="Times New Roman"/>
          <w:sz w:val="18"/>
          <w:szCs w:val="18"/>
          <w:color w:val="auto"/>
        </w:rPr>
        <w:t>Any Person, other than a Managing Director, Supervisory Director, or Employee, who is an adviser or consultant engaged by the Company and/or a Subsidiary to render bona fide services to the Company and/or a Subsidiary.</w:t>
      </w:r>
    </w:p>
    <w:p>
      <w:pPr>
        <w:spacing w:after="0" w:line="64" w:lineRule="exact"/>
        <w:rPr>
          <w:sz w:val="20"/>
          <w:szCs w:val="20"/>
          <w:color w:val="auto"/>
        </w:rPr>
      </w:pPr>
    </w:p>
    <w:p>
      <w:pPr>
        <w:sectPr>
          <w:pgSz w:w="11900" w:h="16838" w:orient="portrait"/>
          <w:cols w:equalWidth="0" w:num="2">
            <w:col w:w="1240" w:space="720"/>
            <w:col w:w="7059"/>
          </w:cols>
          <w:pgMar w:left="1440" w:top="131" w:right="1440" w:bottom="1440" w:gutter="0" w:footer="0" w:header="0"/>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DCC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Dutch Civil Code.</w:t>
      </w:r>
    </w:p>
    <w:p>
      <w:pPr>
        <w:spacing w:after="0" w:line="125" w:lineRule="exact"/>
        <w:rPr>
          <w:sz w:val="20"/>
          <w:szCs w:val="20"/>
          <w:color w:val="auto"/>
        </w:rPr>
      </w:pPr>
    </w:p>
    <w:p>
      <w:pPr>
        <w:sectPr>
          <w:pgSz w:w="11900" w:h="16838" w:orient="portrait"/>
          <w:cols w:equalWidth="0" w:num="2">
            <w:col w:w="1240" w:space="720"/>
            <w:col w:w="7059"/>
          </w:cols>
          <w:pgMar w:left="1440" w:top="13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Eligible Participant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Any Managing Director, Supervisory Director, Employee or Consultant.</w:t>
      </w:r>
    </w:p>
    <w:p>
      <w:pPr>
        <w:spacing w:after="0" w:line="125" w:lineRule="exact"/>
        <w:rPr>
          <w:sz w:val="20"/>
          <w:szCs w:val="20"/>
          <w:color w:val="auto"/>
        </w:rPr>
      </w:pPr>
    </w:p>
    <w:p>
      <w:pPr>
        <w:sectPr>
          <w:pgSz w:w="11900" w:h="16838" w:orient="portrait"/>
          <w:cols w:equalWidth="0" w:num="2">
            <w:col w:w="1700" w:space="260"/>
            <w:col w:w="7059"/>
          </w:cols>
          <w:pgMar w:left="1440" w:top="13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0" w:lineRule="exact"/>
        <w:rPr>
          <w:sz w:val="20"/>
          <w:szCs w:val="20"/>
          <w:color w:val="auto"/>
        </w:rPr>
      </w:pPr>
      <w:r>
        <w:rPr>
          <w:sz w:val="20"/>
          <w:szCs w:val="20"/>
          <w:color w:val="auto"/>
        </w:rPr>
        <w:br w:type="column"/>
      </w:r>
    </w:p>
    <w:p>
      <w:pPr>
        <w:ind w:right="39"/>
        <w:spacing w:after="0" w:line="282" w:lineRule="auto"/>
        <w:rPr>
          <w:sz w:val="20"/>
          <w:szCs w:val="20"/>
          <w:color w:val="auto"/>
        </w:rPr>
      </w:pPr>
      <w:r>
        <w:rPr>
          <w:rFonts w:ascii="Times New Roman" w:cs="Times New Roman" w:eastAsia="Times New Roman" w:hAnsi="Times New Roman"/>
          <w:sz w:val="18"/>
          <w:szCs w:val="18"/>
          <w:color w:val="auto"/>
        </w:rPr>
        <w:t>Any Person, other than a Managing Director or a Supervisory Director, who is an employee or officer of the Company and/or a Subsidiary.</w:t>
      </w:r>
    </w:p>
    <w:p>
      <w:pPr>
        <w:spacing w:after="0" w:line="50" w:lineRule="exact"/>
        <w:rPr>
          <w:sz w:val="20"/>
          <w:szCs w:val="20"/>
          <w:color w:val="auto"/>
        </w:rPr>
      </w:pPr>
    </w:p>
    <w:p>
      <w:pPr>
        <w:sectPr>
          <w:pgSz w:w="11900" w:h="16838" w:orient="portrait"/>
          <w:cols w:equalWidth="0" w:num="2">
            <w:col w:w="1240" w:space="720"/>
            <w:col w:w="7059"/>
          </w:cols>
          <w:pgMar w:left="1440" w:top="13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Exercise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on which an Award is duly exercised by or on behalf of the Participant concerned.</w:t>
      </w:r>
    </w:p>
    <w:p>
      <w:pPr>
        <w:spacing w:after="0" w:line="125" w:lineRule="exact"/>
        <w:rPr>
          <w:sz w:val="20"/>
          <w:szCs w:val="20"/>
          <w:color w:val="auto"/>
        </w:rPr>
      </w:pPr>
    </w:p>
    <w:p>
      <w:pPr>
        <w:sectPr>
          <w:pgSz w:w="11900" w:h="16838" w:orient="portrait"/>
          <w:cols w:equalWidth="0" w:num="2">
            <w:col w:w="1240" w:space="720"/>
            <w:col w:w="7059"/>
          </w:cols>
          <w:pgMar w:left="1440" w:top="13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exercise price applicable to an Award.</w:t>
      </w:r>
    </w:p>
    <w:p>
      <w:pPr>
        <w:spacing w:after="0" w:line="125" w:lineRule="exact"/>
        <w:rPr>
          <w:sz w:val="20"/>
          <w:szCs w:val="20"/>
          <w:color w:val="auto"/>
        </w:rPr>
      </w:pPr>
    </w:p>
    <w:p>
      <w:pPr>
        <w:sectPr>
          <w:pgSz w:w="11900" w:h="16838" w:orient="portrait"/>
          <w:cols w:equalWidth="0" w:num="2">
            <w:col w:w="1280" w:space="680"/>
            <w:col w:w="7059"/>
          </w:cols>
          <w:pgMar w:left="1440" w:top="13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FMV</w:t>
      </w:r>
    </w:p>
    <w:p>
      <w:pPr>
        <w:spacing w:after="0" w:line="20" w:lineRule="exact"/>
        <w:rPr>
          <w:sz w:val="20"/>
          <w:szCs w:val="20"/>
          <w:color w:val="auto"/>
        </w:rPr>
      </w:pPr>
      <w:r>
        <w:rPr>
          <w:sz w:val="20"/>
          <w:szCs w:val="20"/>
          <w:color w:val="auto"/>
        </w:rPr>
        <w:br w:type="column"/>
      </w:r>
    </w:p>
    <w:p>
      <w:pPr>
        <w:jc w:val="both"/>
        <w:ind w:right="39"/>
        <w:spacing w:after="0" w:line="261" w:lineRule="auto"/>
        <w:rPr>
          <w:sz w:val="20"/>
          <w:szCs w:val="20"/>
          <w:color w:val="auto"/>
        </w:rPr>
      </w:pPr>
      <w:r>
        <w:rPr>
          <w:rFonts w:ascii="Times New Roman" w:cs="Times New Roman" w:eastAsia="Times New Roman" w:hAnsi="Times New Roman"/>
          <w:sz w:val="18"/>
          <w:szCs w:val="18"/>
          <w:color w:val="auto"/>
        </w:rPr>
        <w:t>The closing price of a Share on the relevant date (or, if there is no reported sale of Shares on such date, on the last preceding date on which any such reported sale occurred) on the principal stock exchange where Shares have been admitted for trading, unless determined otherwise by the Committee.</w:t>
      </w:r>
    </w:p>
    <w:p>
      <w:pPr>
        <w:spacing w:after="0" w:line="68" w:lineRule="exact"/>
        <w:rPr>
          <w:sz w:val="20"/>
          <w:szCs w:val="20"/>
          <w:color w:val="auto"/>
        </w:rPr>
      </w:pPr>
    </w:p>
    <w:p>
      <w:pPr>
        <w:sectPr>
          <w:pgSz w:w="11900" w:h="16838" w:orient="portrait"/>
          <w:cols w:equalWidth="0" w:num="2">
            <w:col w:w="1240" w:space="720"/>
            <w:col w:w="7059"/>
          </w:cols>
          <w:pgMar w:left="1440" w:top="13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Company’s general meeting of shareholders.</w:t>
      </w:r>
    </w:p>
    <w:p>
      <w:pPr>
        <w:spacing w:after="0" w:line="124" w:lineRule="exact"/>
        <w:rPr>
          <w:sz w:val="20"/>
          <w:szCs w:val="20"/>
          <w:color w:val="auto"/>
        </w:rPr>
      </w:pPr>
    </w:p>
    <w:p>
      <w:pPr>
        <w:sectPr>
          <w:pgSz w:w="11900" w:h="16838" w:orient="portrait"/>
          <w:cols w:equalWidth="0" w:num="2">
            <w:col w:w="1500" w:space="460"/>
            <w:col w:w="7059"/>
          </w:cols>
          <w:pgMar w:left="1440" w:top="13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Good Leaver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Participant who ceases to be an Eligible Participant and who is not a Bad Leaver.</w:t>
      </w:r>
    </w:p>
    <w:p>
      <w:pPr>
        <w:spacing w:after="0" w:line="113" w:lineRule="exact"/>
        <w:rPr>
          <w:sz w:val="20"/>
          <w:szCs w:val="20"/>
          <w:color w:val="auto"/>
        </w:rPr>
      </w:pPr>
    </w:p>
    <w:p>
      <w:pPr>
        <w:sectPr>
          <w:pgSz w:w="11900" w:h="16838" w:orient="portrait"/>
          <w:cols w:equalWidth="0" w:num="2">
            <w:col w:w="1240" w:space="720"/>
            <w:col w:w="7059"/>
          </w:cols>
          <w:pgMar w:left="1440" w:top="13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0" w:lineRule="exact"/>
        <w:rPr>
          <w:sz w:val="20"/>
          <w:szCs w:val="20"/>
          <w:color w:val="auto"/>
        </w:rPr>
      </w:pPr>
      <w:r>
        <w:rPr>
          <w:sz w:val="20"/>
          <w:szCs w:val="20"/>
          <w:color w:val="auto"/>
        </w:rPr>
        <w:br w:type="column"/>
      </w:r>
    </w:p>
    <w:p>
      <w:pPr>
        <w:ind w:right="39"/>
        <w:spacing w:after="0" w:line="282" w:lineRule="auto"/>
        <w:rPr>
          <w:sz w:val="20"/>
          <w:szCs w:val="20"/>
          <w:color w:val="auto"/>
        </w:rPr>
      </w:pPr>
      <w:r>
        <w:rPr>
          <w:rFonts w:ascii="Times New Roman" w:cs="Times New Roman" w:eastAsia="Times New Roman" w:hAnsi="Times New Roman"/>
          <w:sz w:val="18"/>
          <w:szCs w:val="18"/>
          <w:color w:val="auto"/>
        </w:rPr>
        <w:t>The date on which the Committee decides to grant an Award, or such later effective date applicable to such Award as may be determined by the Committee.</w:t>
      </w:r>
    </w:p>
    <w:p>
      <w:pPr>
        <w:spacing w:after="0" w:line="50" w:lineRule="exact"/>
        <w:rPr>
          <w:sz w:val="20"/>
          <w:szCs w:val="20"/>
          <w:color w:val="auto"/>
        </w:rPr>
      </w:pPr>
    </w:p>
    <w:p>
      <w:pPr>
        <w:sectPr>
          <w:pgSz w:w="11900" w:h="16838" w:orient="portrait"/>
          <w:cols w:equalWidth="0" w:num="2">
            <w:col w:w="1240" w:space="720"/>
            <w:col w:w="7059"/>
          </w:cols>
          <w:pgMar w:left="1440" w:top="13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Company’s initial public offering of its Shares.</w:t>
      </w:r>
    </w:p>
    <w:p>
      <w:pPr>
        <w:spacing w:after="0" w:line="125" w:lineRule="exact"/>
        <w:rPr>
          <w:sz w:val="20"/>
          <w:szCs w:val="20"/>
          <w:color w:val="auto"/>
        </w:rPr>
      </w:pPr>
    </w:p>
    <w:p>
      <w:pPr>
        <w:sectPr>
          <w:pgSz w:w="11900" w:h="16838" w:orient="portrait"/>
          <w:cols w:equalWidth="0" w:num="2">
            <w:col w:w="1240" w:space="720"/>
            <w:col w:w="7059"/>
          </w:cols>
          <w:pgMar w:left="1440" w:top="131" w:right="1440" w:bottom="1440" w:gutter="0" w:footer="0" w:header="0"/>
          <w:type w:val="continuous"/>
        </w:sectPr>
      </w:pPr>
    </w:p>
    <w:p>
      <w:pPr>
        <w:ind w:left="200"/>
        <w:spacing w:after="0" w:line="317" w:lineRule="auto"/>
        <w:rPr>
          <w:sz w:val="20"/>
          <w:szCs w:val="20"/>
          <w:color w:val="auto"/>
        </w:rPr>
      </w:pPr>
      <w:r>
        <w:rPr>
          <w:rFonts w:ascii="Times New Roman" w:cs="Times New Roman" w:eastAsia="Times New Roman" w:hAnsi="Times New Roman"/>
          <w:sz w:val="17"/>
          <w:szCs w:val="17"/>
          <w:b w:val="1"/>
          <w:bCs w:val="1"/>
          <w:color w:val="auto"/>
        </w:rPr>
        <w:t>IPO Replacement Options</w:t>
      </w:r>
    </w:p>
    <w:p>
      <w:pPr>
        <w:spacing w:after="0" w:line="20" w:lineRule="exact"/>
        <w:rPr>
          <w:sz w:val="20"/>
          <w:szCs w:val="20"/>
          <w:color w:val="auto"/>
        </w:rPr>
      </w:pPr>
      <w:r>
        <w:rPr>
          <w:sz w:val="20"/>
          <w:szCs w:val="20"/>
          <w:color w:val="auto"/>
        </w:rPr>
        <w:br w:type="column"/>
      </w:r>
    </w:p>
    <w:p>
      <w:pPr>
        <w:ind w:right="39"/>
        <w:spacing w:after="0" w:line="282" w:lineRule="auto"/>
        <w:rPr>
          <w:sz w:val="20"/>
          <w:szCs w:val="20"/>
          <w:color w:val="auto"/>
        </w:rPr>
      </w:pPr>
      <w:r>
        <w:rPr>
          <w:rFonts w:ascii="Times New Roman" w:cs="Times New Roman" w:eastAsia="Times New Roman" w:hAnsi="Times New Roman"/>
          <w:sz w:val="18"/>
          <w:szCs w:val="18"/>
          <w:color w:val="auto"/>
        </w:rPr>
        <w:t>The Options granted with effect from or after the Company’s conversion into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 substitution and exchange for:</w:t>
      </w:r>
    </w:p>
    <w:p>
      <w:pPr>
        <w:spacing w:after="0" w:line="225" w:lineRule="exact"/>
        <w:rPr>
          <w:sz w:val="20"/>
          <w:szCs w:val="20"/>
          <w:color w:val="auto"/>
        </w:rPr>
      </w:pPr>
    </w:p>
    <w:p>
      <w:pPr>
        <w:sectPr>
          <w:pgSz w:w="11900" w:h="16838" w:orient="portrait"/>
          <w:cols w:equalWidth="0" w:num="2">
            <w:col w:w="1560" w:space="400"/>
            <w:col w:w="7059"/>
          </w:cols>
          <w:pgMar w:left="14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311" w:name="page312"/>
    <w:bookmarkEnd w:id="311"/>
    <w:p>
      <w:pPr>
        <w:ind w:left="2280" w:right="39" w:hanging="319"/>
        <w:spacing w:after="0" w:line="282" w:lineRule="auto"/>
        <w:tabs>
          <w:tab w:leader="none" w:pos="2260" w:val="left"/>
        </w:tabs>
        <w:rPr>
          <w:sz w:val="20"/>
          <w:szCs w:val="20"/>
          <w:color w:val="auto"/>
        </w:rPr>
      </w:pPr>
      <w:r>
        <w:rPr>
          <w:rFonts w:ascii="Times New Roman" w:cs="Times New Roman" w:eastAsia="Times New Roman" w:hAnsi="Times New Roman"/>
          <w:sz w:val="18"/>
          <w:szCs w:val="18"/>
          <w:color w:val="auto"/>
        </w:rPr>
        <w:t>a.</w:t>
        <w:tab/>
        <w:t>any options for series A shares in CureVac AG under the CureVac AG legacy management stock option plan that was in place prior to the consummation of the IPO; and</w:t>
      </w:r>
    </w:p>
    <w:p>
      <w:pPr>
        <w:spacing w:after="0" w:line="54" w:lineRule="exact"/>
        <w:rPr>
          <w:sz w:val="20"/>
          <w:szCs w:val="20"/>
          <w:color w:val="auto"/>
        </w:rPr>
      </w:pPr>
    </w:p>
    <w:p>
      <w:pPr>
        <w:jc w:val="both"/>
        <w:ind w:left="2280" w:right="39" w:hanging="319"/>
        <w:spacing w:after="0" w:line="266" w:lineRule="auto"/>
        <w:tabs>
          <w:tab w:leader="none" w:pos="2260" w:val="left"/>
        </w:tabs>
        <w:rPr>
          <w:sz w:val="20"/>
          <w:szCs w:val="20"/>
          <w:color w:val="auto"/>
        </w:rPr>
      </w:pPr>
      <w:r>
        <w:rPr>
          <w:rFonts w:ascii="Times New Roman" w:cs="Times New Roman" w:eastAsia="Times New Roman" w:hAnsi="Times New Roman"/>
          <w:sz w:val="18"/>
          <w:szCs w:val="18"/>
          <w:color w:val="auto"/>
        </w:rPr>
        <w:t>b.</w:t>
        <w:tab/>
        <w:t>any virtual shares (Beteiligungspunkte) under the modified CureVac AG virtual share plan (which, for the avoidance of doubt, shall not include the Prior VSOP Virtual Shares) that was in place prior to the consummation of the IPO.</w:t>
      </w:r>
    </w:p>
    <w:p>
      <w:pPr>
        <w:sectPr>
          <w:pgSz w:w="11900" w:h="16838" w:orient="portrait"/>
          <w:cols w:equalWidth="0" w:num="1">
            <w:col w:w="9019"/>
          </w:cols>
          <w:pgMar w:left="1440" w:top="135" w:right="1440" w:bottom="1440" w:gutter="0" w:footer="0" w:header="0"/>
        </w:sectPr>
      </w:pPr>
    </w:p>
    <w:p>
      <w:pPr>
        <w:spacing w:after="0" w:line="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Management Board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management board.</w:t>
      </w:r>
    </w:p>
    <w:p>
      <w:pPr>
        <w:spacing w:after="0" w:line="124" w:lineRule="exact"/>
        <w:rPr>
          <w:sz w:val="20"/>
          <w:szCs w:val="20"/>
          <w:color w:val="auto"/>
        </w:rPr>
      </w:pPr>
    </w:p>
    <w:p>
      <w:pPr>
        <w:sectPr>
          <w:pgSz w:w="11900" w:h="16838" w:orient="portrait"/>
          <w:cols w:equalWidth="0" w:num="2">
            <w:col w:w="1740" w:space="220"/>
            <w:col w:w="7059"/>
          </w:cols>
          <w:pgMar w:left="1440" w:top="135"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Managing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member of the Management Board.</w:t>
      </w:r>
    </w:p>
    <w:p>
      <w:pPr>
        <w:spacing w:after="0" w:line="113" w:lineRule="exact"/>
        <w:rPr>
          <w:sz w:val="20"/>
          <w:szCs w:val="20"/>
          <w:color w:val="auto"/>
        </w:rPr>
      </w:pPr>
    </w:p>
    <w:p>
      <w:pPr>
        <w:sectPr>
          <w:pgSz w:w="11900" w:h="16838" w:orient="portrait"/>
          <w:cols w:equalWidth="0" w:num="2">
            <w:col w:w="1660" w:space="300"/>
            <w:col w:w="7059"/>
          </w:cols>
          <w:pgMar w:left="1440" w:top="135"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right to subscribe for, or otherwise acquire, Plan Shares.</w:t>
      </w:r>
    </w:p>
    <w:p>
      <w:pPr>
        <w:spacing w:after="0" w:line="125" w:lineRule="exact"/>
        <w:rPr>
          <w:sz w:val="20"/>
          <w:szCs w:val="20"/>
          <w:color w:val="auto"/>
        </w:rPr>
      </w:pPr>
    </w:p>
    <w:p>
      <w:pPr>
        <w:sectPr>
          <w:pgSz w:w="11900" w:h="16838" w:orient="portrait"/>
          <w:cols w:equalWidth="0" w:num="2">
            <w:col w:w="1240" w:space="720"/>
            <w:col w:w="7059"/>
          </w:cols>
          <w:pgMar w:left="1440" w:top="135"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Other Award</w:t>
      </w:r>
    </w:p>
    <w:p>
      <w:pPr>
        <w:spacing w:after="0" w:line="20" w:lineRule="exact"/>
        <w:rPr>
          <w:sz w:val="20"/>
          <w:szCs w:val="20"/>
          <w:color w:val="auto"/>
        </w:rPr>
      </w:pPr>
      <w:r>
        <w:rPr>
          <w:sz w:val="20"/>
          <w:szCs w:val="20"/>
          <w:color w:val="auto"/>
        </w:rPr>
        <w:br w:type="column"/>
      </w:r>
    </w:p>
    <w:p>
      <w:pPr>
        <w:jc w:val="both"/>
        <w:ind w:right="39"/>
        <w:spacing w:after="0" w:line="258" w:lineRule="auto"/>
        <w:rPr>
          <w:sz w:val="20"/>
          <w:szCs w:val="20"/>
          <w:color w:val="auto"/>
        </w:rPr>
      </w:pPr>
      <w:r>
        <w:rPr>
          <w:rFonts w:ascii="Times New Roman" w:cs="Times New Roman" w:eastAsia="Times New Roman" w:hAnsi="Times New Roman"/>
          <w:sz w:val="18"/>
          <w:szCs w:val="18"/>
          <w:color w:val="auto"/>
        </w:rPr>
        <w:t>An Award which does not take the form of an Option, SAR, Share of Restricted Stock or RSU, and which may be denominated or payable in, valued in whole or in part by reference to, or otherwise based on or related to Shares or factors which may influence the value of Shares, including cash-settled financial instruments and financial instruments which are convertible into or exchangeable for Plan Shares.</w:t>
      </w:r>
    </w:p>
    <w:p>
      <w:pPr>
        <w:spacing w:after="0" w:line="71" w:lineRule="exact"/>
        <w:rPr>
          <w:sz w:val="20"/>
          <w:szCs w:val="20"/>
          <w:color w:val="auto"/>
        </w:rPr>
      </w:pPr>
    </w:p>
    <w:p>
      <w:pPr>
        <w:sectPr>
          <w:pgSz w:w="11900" w:h="16838" w:orient="portrait"/>
          <w:cols w:equalWidth="0" w:num="2">
            <w:col w:w="1240" w:space="720"/>
            <w:col w:w="7059"/>
          </w:cols>
          <w:pgMar w:left="1440" w:top="135"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jc w:val="both"/>
        <w:ind w:right="39"/>
        <w:spacing w:after="0" w:line="266" w:lineRule="auto"/>
        <w:rPr>
          <w:sz w:val="20"/>
          <w:szCs w:val="20"/>
          <w:color w:val="auto"/>
        </w:rPr>
      </w:pPr>
      <w:r>
        <w:rPr>
          <w:rFonts w:ascii="Times New Roman" w:cs="Times New Roman" w:eastAsia="Times New Roman" w:hAnsi="Times New Roman"/>
          <w:sz w:val="18"/>
          <w:szCs w:val="18"/>
          <w:color w:val="auto"/>
        </w:rPr>
        <w:t>The holder of an Award, including, as the context may require, the rightful heir(s) of a previous holder of such Award having acquired such Award as a result of the death of such previous holder.</w:t>
      </w:r>
    </w:p>
    <w:p>
      <w:pPr>
        <w:spacing w:after="0" w:line="64" w:lineRule="exact"/>
        <w:rPr>
          <w:sz w:val="20"/>
          <w:szCs w:val="20"/>
          <w:color w:val="auto"/>
        </w:rPr>
      </w:pPr>
    </w:p>
    <w:p>
      <w:pPr>
        <w:sectPr>
          <w:pgSz w:w="11900" w:h="16838" w:orient="portrait"/>
          <w:cols w:equalWidth="0" w:num="2">
            <w:col w:w="1240" w:space="720"/>
            <w:col w:w="7059"/>
          </w:cols>
          <w:pgMar w:left="1440" w:top="135"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Performance Criteria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performance criteria applicable to an Award.</w:t>
      </w:r>
    </w:p>
    <w:p>
      <w:pPr>
        <w:spacing w:after="0" w:line="125" w:lineRule="exact"/>
        <w:rPr>
          <w:sz w:val="20"/>
          <w:szCs w:val="20"/>
          <w:color w:val="auto"/>
        </w:rPr>
      </w:pPr>
    </w:p>
    <w:p>
      <w:pPr>
        <w:sectPr>
          <w:pgSz w:w="11900" w:h="16838" w:orient="portrait"/>
          <w:cols w:equalWidth="0" w:num="2">
            <w:col w:w="1860" w:space="100"/>
            <w:col w:w="7059"/>
          </w:cols>
          <w:pgMar w:left="1440" w:top="135"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Person</w:t>
      </w:r>
    </w:p>
    <w:p>
      <w:pPr>
        <w:spacing w:after="0" w:line="20" w:lineRule="exact"/>
        <w:rPr>
          <w:sz w:val="20"/>
          <w:szCs w:val="20"/>
          <w:color w:val="auto"/>
        </w:rPr>
      </w:pPr>
      <w:r>
        <w:rPr>
          <w:sz w:val="20"/>
          <w:szCs w:val="20"/>
          <w:color w:val="auto"/>
        </w:rPr>
        <w:br w:type="column"/>
      </w:r>
    </w:p>
    <w:p>
      <w:pPr>
        <w:jc w:val="both"/>
        <w:ind w:right="39"/>
        <w:spacing w:after="0" w:line="266" w:lineRule="auto"/>
        <w:rPr>
          <w:sz w:val="20"/>
          <w:szCs w:val="20"/>
          <w:color w:val="auto"/>
        </w:rPr>
      </w:pPr>
      <w:r>
        <w:rPr>
          <w:rFonts w:ascii="Times New Roman" w:cs="Times New Roman" w:eastAsia="Times New Roman" w:hAnsi="Times New Roman"/>
          <w:sz w:val="18"/>
          <w:szCs w:val="18"/>
          <w:color w:val="auto"/>
        </w:rPr>
        <w:t>A natural person, partnership, company, association, cooperative, mutual insurance society, foundation or any other entity or body which operates externally as an independent unit or organisation.</w:t>
      </w:r>
    </w:p>
    <w:p>
      <w:pPr>
        <w:spacing w:after="0" w:line="200" w:lineRule="exact"/>
        <w:rPr>
          <w:sz w:val="20"/>
          <w:szCs w:val="20"/>
          <w:color w:val="auto"/>
        </w:rPr>
      </w:pPr>
    </w:p>
    <w:p>
      <w:pPr>
        <w:sectPr>
          <w:pgSz w:w="11900" w:h="16838" w:orient="portrait"/>
          <w:cols w:equalWidth="0" w:num="2">
            <w:col w:w="1240" w:space="720"/>
            <w:col w:w="7059"/>
          </w:cols>
          <w:pgMar w:left="1440" w:top="13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type w:val="continuous"/>
        </w:sectPr>
      </w:pPr>
    </w:p>
    <w:bookmarkStart w:id="312" w:name="page313"/>
    <w:bookmarkEnd w:id="312"/>
    <w:p>
      <w:pPr>
        <w:ind w:left="200"/>
        <w:spacing w:after="0"/>
        <w:rPr>
          <w:sz w:val="20"/>
          <w:szCs w:val="20"/>
          <w:color w:val="auto"/>
        </w:rPr>
      </w:pPr>
      <w:r>
        <w:rPr>
          <w:rFonts w:ascii="Times New Roman" w:cs="Times New Roman" w:eastAsia="Times New Roman" w:hAnsi="Times New Roman"/>
          <w:sz w:val="17"/>
          <w:szCs w:val="17"/>
          <w:b w:val="1"/>
          <w:bCs w:val="1"/>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This long-term incentive plan (as amended and restated as of [•] 2024).</w:t>
      </w:r>
    </w:p>
    <w:p>
      <w:pPr>
        <w:spacing w:after="0" w:line="125" w:lineRule="exact"/>
        <w:rPr>
          <w:sz w:val="20"/>
          <w:szCs w:val="20"/>
          <w:color w:val="auto"/>
        </w:rPr>
      </w:pPr>
    </w:p>
    <w:p>
      <w:pPr>
        <w:sectPr>
          <w:pgSz w:w="11900" w:h="16838" w:orient="portrait"/>
          <w:cols w:equalWidth="0" w:num="2">
            <w:col w:w="1240" w:space="720"/>
            <w:col w:w="7059"/>
          </w:cols>
          <w:pgMar w:left="1440" w:top="131" w:right="1440" w:bottom="1440" w:gutter="0" w:footer="0" w:header="0"/>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Plan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Share underlying an Award.</w:t>
      </w:r>
    </w:p>
    <w:p>
      <w:pPr>
        <w:spacing w:after="0" w:line="125" w:lineRule="exact"/>
        <w:rPr>
          <w:sz w:val="20"/>
          <w:szCs w:val="20"/>
          <w:color w:val="auto"/>
        </w:rPr>
      </w:pPr>
    </w:p>
    <w:p>
      <w:pPr>
        <w:sectPr>
          <w:pgSz w:w="11900" w:h="16838" w:orient="portrait"/>
          <w:cols w:equalWidth="0" w:num="2">
            <w:col w:w="1240" w:space="720"/>
            <w:col w:w="7059"/>
          </w:cols>
          <w:pgMar w:left="1440" w:top="131" w:right="1440" w:bottom="1440" w:gutter="0" w:footer="0" w:header="0"/>
          <w:type w:val="continuous"/>
        </w:sectPr>
      </w:pPr>
    </w:p>
    <w:p>
      <w:pPr>
        <w:ind w:left="200"/>
        <w:spacing w:after="0" w:line="286" w:lineRule="auto"/>
        <w:rPr>
          <w:sz w:val="20"/>
          <w:szCs w:val="20"/>
          <w:color w:val="auto"/>
        </w:rPr>
      </w:pPr>
      <w:r>
        <w:rPr>
          <w:rFonts w:ascii="Times New Roman" w:cs="Times New Roman" w:eastAsia="Times New Roman" w:hAnsi="Times New Roman"/>
          <w:sz w:val="18"/>
          <w:szCs w:val="18"/>
          <w:b w:val="1"/>
          <w:bCs w:val="1"/>
          <w:color w:val="auto"/>
        </w:rPr>
        <w:t>Prior VSOP Virtual Shares</w:t>
      </w:r>
    </w:p>
    <w:p>
      <w:pPr>
        <w:spacing w:after="0" w:line="20" w:lineRule="exact"/>
        <w:rPr>
          <w:sz w:val="20"/>
          <w:szCs w:val="20"/>
          <w:color w:val="auto"/>
        </w:rPr>
      </w:pPr>
      <w:r>
        <w:rPr>
          <w:sz w:val="20"/>
          <w:szCs w:val="20"/>
          <w:color w:val="auto"/>
        </w:rPr>
        <w:br w:type="column"/>
      </w:r>
    </w:p>
    <w:p>
      <w:pPr>
        <w:jc w:val="both"/>
        <w:ind w:right="39"/>
        <w:spacing w:after="0" w:line="267" w:lineRule="auto"/>
        <w:rPr>
          <w:sz w:val="20"/>
          <w:szCs w:val="20"/>
          <w:color w:val="auto"/>
        </w:rPr>
      </w:pPr>
      <w:r>
        <w:rPr>
          <w:rFonts w:ascii="Times New Roman" w:cs="Times New Roman" w:eastAsia="Times New Roman" w:hAnsi="Times New Roman"/>
          <w:sz w:val="18"/>
          <w:szCs w:val="18"/>
          <w:color w:val="auto"/>
        </w:rPr>
        <w:t>The virtual shares (</w:t>
      </w:r>
      <w:r>
        <w:rPr>
          <w:rFonts w:ascii="Times New Roman" w:cs="Times New Roman" w:eastAsia="Times New Roman" w:hAnsi="Times New Roman"/>
          <w:sz w:val="18"/>
          <w:szCs w:val="18"/>
          <w:i w:val="1"/>
          <w:iCs w:val="1"/>
          <w:color w:val="auto"/>
        </w:rPr>
        <w:t>Beteiligungspunkte</w:t>
      </w:r>
      <w:r>
        <w:rPr>
          <w:rFonts w:ascii="Times New Roman" w:cs="Times New Roman" w:eastAsia="Times New Roman" w:hAnsi="Times New Roman"/>
          <w:sz w:val="18"/>
          <w:szCs w:val="18"/>
          <w:color w:val="auto"/>
        </w:rPr>
        <w:t>) outstanding immediately prior to the consummation of the IPO under the CureVac AG virtual share plan that was in place prior to the consummation of the IPO.</w:t>
      </w:r>
    </w:p>
    <w:p>
      <w:pPr>
        <w:spacing w:after="0" w:line="63" w:lineRule="exact"/>
        <w:rPr>
          <w:sz w:val="20"/>
          <w:szCs w:val="20"/>
          <w:color w:val="auto"/>
        </w:rPr>
      </w:pPr>
    </w:p>
    <w:p>
      <w:pPr>
        <w:sectPr>
          <w:pgSz w:w="11900" w:h="16838" w:orient="portrait"/>
          <w:cols w:equalWidth="0" w:num="2">
            <w:col w:w="1720" w:space="240"/>
            <w:col w:w="7059"/>
          </w:cols>
          <w:pgMar w:left="1440" w:top="131" w:right="1440" w:bottom="1440" w:gutter="0" w:footer="0" w:header="0"/>
          <w:type w:val="continuous"/>
        </w:sectPr>
      </w:pPr>
    </w:p>
    <w:p>
      <w:pPr>
        <w:ind w:left="200"/>
        <w:spacing w:after="0" w:line="317" w:lineRule="auto"/>
        <w:rPr>
          <w:sz w:val="20"/>
          <w:szCs w:val="20"/>
          <w:color w:val="auto"/>
        </w:rPr>
      </w:pPr>
      <w:r>
        <w:rPr>
          <w:rFonts w:ascii="Times New Roman" w:cs="Times New Roman" w:eastAsia="Times New Roman" w:hAnsi="Times New Roman"/>
          <w:sz w:val="17"/>
          <w:szCs w:val="17"/>
          <w:b w:val="1"/>
          <w:bCs w:val="1"/>
          <w:color w:val="auto"/>
        </w:rPr>
        <w:t>Prior VSOP Virtual Shares (Adjusted)</w:t>
      </w:r>
    </w:p>
    <w:p>
      <w:pPr>
        <w:spacing w:after="0" w:line="20" w:lineRule="exact"/>
        <w:rPr>
          <w:sz w:val="20"/>
          <w:szCs w:val="20"/>
          <w:color w:val="auto"/>
        </w:rPr>
      </w:pPr>
      <w:r>
        <w:rPr>
          <w:sz w:val="20"/>
          <w:szCs w:val="20"/>
          <w:color w:val="auto"/>
        </w:rPr>
        <w:br w:type="column"/>
      </w:r>
    </w:p>
    <w:p>
      <w:pPr>
        <w:jc w:val="both"/>
        <w:ind w:right="39"/>
        <w:spacing w:after="0" w:line="266" w:lineRule="auto"/>
        <w:rPr>
          <w:sz w:val="20"/>
          <w:szCs w:val="20"/>
          <w:color w:val="auto"/>
        </w:rPr>
      </w:pPr>
      <w:r>
        <w:rPr>
          <w:rFonts w:ascii="Times New Roman" w:cs="Times New Roman" w:eastAsia="Times New Roman" w:hAnsi="Times New Roman"/>
          <w:sz w:val="18"/>
          <w:szCs w:val="18"/>
          <w:color w:val="auto"/>
        </w:rPr>
        <w:t>The number of Prior VSOP Virtual Shares multiplied by the ratio for exchanging series A shares in CureVac AG for Shares in connection with the corporate reorganization of the Company and CureVac AG that was implemented immediately prior the IPO.</w:t>
      </w:r>
    </w:p>
    <w:p>
      <w:pPr>
        <w:spacing w:after="0" w:line="64" w:lineRule="exact"/>
        <w:rPr>
          <w:sz w:val="20"/>
          <w:szCs w:val="20"/>
          <w:color w:val="auto"/>
        </w:rPr>
      </w:pPr>
    </w:p>
    <w:p>
      <w:pPr>
        <w:sectPr>
          <w:pgSz w:w="11900" w:h="16838" w:orient="portrait"/>
          <w:cols w:equalWidth="0" w:num="2">
            <w:col w:w="1720" w:space="240"/>
            <w:col w:w="7059"/>
          </w:cols>
          <w:pgMar w:left="1440" w:top="131" w:right="1440" w:bottom="1440" w:gutter="0" w:footer="0" w:header="0"/>
          <w:type w:val="continuous"/>
        </w:sectPr>
      </w:pPr>
    </w:p>
    <w:p>
      <w:pPr>
        <w:jc w:val="center"/>
        <w:ind w:left="200"/>
        <w:spacing w:after="0"/>
        <w:rPr>
          <w:sz w:val="20"/>
          <w:szCs w:val="20"/>
          <w:color w:val="auto"/>
        </w:rPr>
      </w:pPr>
      <w:r>
        <w:rPr>
          <w:rFonts w:ascii="Times New Roman" w:cs="Times New Roman" w:eastAsia="Times New Roman" w:hAnsi="Times New Roman"/>
          <w:sz w:val="17"/>
          <w:szCs w:val="17"/>
          <w:b w:val="1"/>
          <w:bCs w:val="1"/>
          <w:color w:val="auto"/>
        </w:rPr>
        <w:t>Replacement Award</w:t>
      </w:r>
    </w:p>
    <w:p>
      <w:pPr>
        <w:spacing w:after="0" w:line="20" w:lineRule="exact"/>
        <w:rPr>
          <w:sz w:val="20"/>
          <w:szCs w:val="20"/>
          <w:color w:val="auto"/>
        </w:rPr>
      </w:pPr>
      <w:r>
        <w:rPr>
          <w:sz w:val="20"/>
          <w:szCs w:val="20"/>
          <w:color w:val="auto"/>
        </w:rPr>
        <w:br w:type="column"/>
      </w:r>
    </w:p>
    <w:p>
      <w:pPr>
        <w:jc w:val="both"/>
        <w:ind w:right="39"/>
        <w:spacing w:after="0" w:line="261" w:lineRule="auto"/>
        <w:rPr>
          <w:sz w:val="20"/>
          <w:szCs w:val="20"/>
          <w:color w:val="auto"/>
        </w:rPr>
      </w:pPr>
      <w:r>
        <w:rPr>
          <w:rFonts w:ascii="Times New Roman" w:cs="Times New Roman" w:eastAsia="Times New Roman" w:hAnsi="Times New Roman"/>
          <w:sz w:val="18"/>
          <w:szCs w:val="18"/>
          <w:color w:val="auto"/>
        </w:rPr>
        <w:t>Except for IPO Replacement Options, an Award granted in assumption of, or in substitution or exchange for, long-term incentive awards previously granted by a Person acquired (or whose business is acquired) by the Company or a Subsidiary or with which the Company or a Subsidiary merges or forms a business combination, as reasonably determined by the Committee.</w:t>
      </w:r>
    </w:p>
    <w:p>
      <w:pPr>
        <w:spacing w:after="0" w:line="68" w:lineRule="exact"/>
        <w:rPr>
          <w:sz w:val="20"/>
          <w:szCs w:val="20"/>
          <w:color w:val="auto"/>
        </w:rPr>
      </w:pPr>
    </w:p>
    <w:p>
      <w:pPr>
        <w:sectPr>
          <w:pgSz w:w="11900" w:h="16838" w:orient="portrait"/>
          <w:cols w:equalWidth="0" w:num="2">
            <w:col w:w="1760" w:space="200"/>
            <w:col w:w="7059"/>
          </w:cols>
          <w:pgMar w:left="1440" w:top="13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Restricted Stock</w:t>
      </w:r>
    </w:p>
    <w:p>
      <w:pPr>
        <w:spacing w:after="0" w:line="20" w:lineRule="exact"/>
        <w:rPr>
          <w:sz w:val="20"/>
          <w:szCs w:val="20"/>
          <w:color w:val="auto"/>
        </w:rPr>
      </w:pPr>
      <w:r>
        <w:rPr>
          <w:sz w:val="20"/>
          <w:szCs w:val="20"/>
          <w:color w:val="auto"/>
        </w:rPr>
        <w:br w:type="column"/>
      </w:r>
    </w:p>
    <w:p>
      <w:pPr>
        <w:ind w:right="39"/>
        <w:spacing w:after="0" w:line="282" w:lineRule="auto"/>
        <w:rPr>
          <w:sz w:val="20"/>
          <w:szCs w:val="20"/>
          <w:color w:val="auto"/>
        </w:rPr>
      </w:pPr>
      <w:r>
        <w:rPr>
          <w:rFonts w:ascii="Times New Roman" w:cs="Times New Roman" w:eastAsia="Times New Roman" w:hAnsi="Times New Roman"/>
          <w:sz w:val="18"/>
          <w:szCs w:val="18"/>
          <w:color w:val="auto"/>
        </w:rPr>
        <w:t>Plan Shares subject to such restrictions as the Committee may impose, including with respect to voting rights and the right to receive dividends or other distributions made by the Company.</w:t>
      </w:r>
    </w:p>
    <w:p>
      <w:pPr>
        <w:spacing w:after="0" w:line="50" w:lineRule="exact"/>
        <w:rPr>
          <w:sz w:val="20"/>
          <w:szCs w:val="20"/>
          <w:color w:val="auto"/>
        </w:rPr>
      </w:pPr>
    </w:p>
    <w:p>
      <w:pPr>
        <w:sectPr>
          <w:pgSz w:w="11900" w:h="16838" w:orient="portrait"/>
          <w:cols w:equalWidth="0" w:num="2">
            <w:col w:w="1460" w:space="500"/>
            <w:col w:w="7059"/>
          </w:cols>
          <w:pgMar w:left="1440" w:top="13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Retirement</w:t>
      </w:r>
    </w:p>
    <w:p>
      <w:pPr>
        <w:spacing w:after="0" w:line="20" w:lineRule="exact"/>
        <w:rPr>
          <w:sz w:val="20"/>
          <w:szCs w:val="20"/>
          <w:color w:val="auto"/>
        </w:rPr>
      </w:pPr>
      <w:r>
        <w:rPr>
          <w:sz w:val="20"/>
          <w:szCs w:val="20"/>
          <w:color w:val="auto"/>
        </w:rPr>
        <w:br w:type="column"/>
      </w:r>
    </w:p>
    <w:p>
      <w:pPr>
        <w:jc w:val="both"/>
        <w:ind w:right="39"/>
        <w:spacing w:after="0" w:line="261" w:lineRule="auto"/>
        <w:rPr>
          <w:sz w:val="20"/>
          <w:szCs w:val="20"/>
          <w:color w:val="auto"/>
        </w:rPr>
      </w:pPr>
      <w:r>
        <w:rPr>
          <w:rFonts w:ascii="Times New Roman" w:cs="Times New Roman" w:eastAsia="Times New Roman" w:hAnsi="Times New Roman"/>
          <w:sz w:val="18"/>
          <w:szCs w:val="18"/>
          <w:color w:val="auto"/>
        </w:rPr>
        <w:t xml:space="preserve">The Participant’s termination of employment with the Company with the intention of retiring upon reaching a statutory retirement 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their intention to retire, the Participant must certify to the Company, in a manner that is satisfactory to the Company and, if applicable, sufficient to comply with local law, that the Participant is retiring.</w:t>
      </w:r>
    </w:p>
    <w:p>
      <w:pPr>
        <w:spacing w:after="0" w:line="68" w:lineRule="exact"/>
        <w:rPr>
          <w:sz w:val="20"/>
          <w:szCs w:val="20"/>
          <w:color w:val="auto"/>
        </w:rPr>
      </w:pPr>
    </w:p>
    <w:p>
      <w:pPr>
        <w:sectPr>
          <w:pgSz w:w="11900" w:h="16838" w:orient="portrait"/>
          <w:cols w:equalWidth="0" w:num="2">
            <w:col w:w="1240" w:space="720"/>
            <w:col w:w="7059"/>
          </w:cols>
          <w:pgMar w:left="1440" w:top="13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8"/>
          <w:szCs w:val="18"/>
          <w:b w:val="1"/>
          <w:bCs w:val="1"/>
          <w:color w:val="auto"/>
        </w:rPr>
        <w:t>RSU</w:t>
      </w:r>
    </w:p>
    <w:p>
      <w:pPr>
        <w:spacing w:after="0" w:line="20" w:lineRule="exact"/>
        <w:rPr>
          <w:sz w:val="20"/>
          <w:szCs w:val="20"/>
          <w:color w:val="auto"/>
        </w:rPr>
      </w:pPr>
      <w:r>
        <w:rPr>
          <w:sz w:val="20"/>
          <w:szCs w:val="20"/>
          <w:color w:val="auto"/>
        </w:rPr>
        <w:br w:type="column"/>
      </w:r>
    </w:p>
    <w:p>
      <w:pPr>
        <w:ind w:right="39"/>
        <w:spacing w:after="0" w:line="282" w:lineRule="auto"/>
        <w:rPr>
          <w:sz w:val="20"/>
          <w:szCs w:val="20"/>
          <w:color w:val="auto"/>
        </w:rPr>
      </w:pPr>
      <w:r>
        <w:rPr>
          <w:rFonts w:ascii="Times New Roman" w:cs="Times New Roman" w:eastAsia="Times New Roman" w:hAnsi="Times New Roman"/>
          <w:sz w:val="18"/>
          <w:szCs w:val="18"/>
          <w:color w:val="auto"/>
        </w:rPr>
        <w:t>The right to receive, in cash, in assets, in the form of Plan Shares valued at FMV, or a combination thereof, the FMV of one Share on</w:t>
      </w:r>
    </w:p>
    <w:p>
      <w:pPr>
        <w:spacing w:after="0" w:line="200" w:lineRule="exact"/>
        <w:rPr>
          <w:sz w:val="20"/>
          <w:szCs w:val="20"/>
          <w:color w:val="auto"/>
        </w:rPr>
      </w:pPr>
    </w:p>
    <w:p>
      <w:pPr>
        <w:sectPr>
          <w:pgSz w:w="11900" w:h="16838" w:orient="portrait"/>
          <w:cols w:equalWidth="0" w:num="2">
            <w:col w:w="1240" w:space="720"/>
            <w:col w:w="7059"/>
          </w:cols>
          <w:pgMar w:left="14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313" w:name="page314"/>
    <w:bookmarkEnd w:id="313"/>
    <w:p>
      <w:pPr>
        <w:ind w:left="2420"/>
        <w:spacing w:after="0"/>
        <w:rPr>
          <w:sz w:val="20"/>
          <w:szCs w:val="20"/>
          <w:color w:val="auto"/>
        </w:rPr>
      </w:pPr>
      <w:r>
        <w:rPr>
          <w:rFonts w:ascii="Times New Roman" w:cs="Times New Roman" w:eastAsia="Times New Roman" w:hAnsi="Times New Roman"/>
          <w:sz w:val="18"/>
          <w:szCs w:val="18"/>
          <w:color w:val="auto"/>
        </w:rPr>
        <w:t>the Exercise Date.</w:t>
      </w:r>
    </w:p>
    <w:p>
      <w:pPr>
        <w:sectPr>
          <w:pgSz w:w="11900" w:h="16838" w:orient="portrait"/>
          <w:cols w:equalWidth="0" w:num="1">
            <w:col w:w="9920"/>
          </w:cols>
          <w:pgMar w:left="980" w:top="121" w:right="999" w:bottom="1440" w:gutter="0" w:footer="0" w:header="0"/>
        </w:sectPr>
      </w:pP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SAR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right to receive, in cash, in assets, in the form of Plan Shares valued at FMV, or a combination thereof, the excess of the FMV of one Share on the applicable Exercise Date over the applicable Exercise Price.</w:t>
      </w:r>
    </w:p>
    <w:p>
      <w:pPr>
        <w:spacing w:after="0" w:line="64" w:lineRule="exact"/>
        <w:rPr>
          <w:sz w:val="20"/>
          <w:szCs w:val="20"/>
          <w:color w:val="auto"/>
        </w:rPr>
      </w:pPr>
    </w:p>
    <w:p>
      <w:pPr>
        <w:sectPr>
          <w:pgSz w:w="11900" w:h="16838" w:orient="portrait"/>
          <w:cols w:equalWidth="0" w:num="2">
            <w:col w:w="1700" w:space="720"/>
            <w:col w:w="7500"/>
          </w:cols>
          <w:pgMar w:left="980" w:top="121" w:right="9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Section 409A IRC</w:t>
      </w:r>
    </w:p>
    <w:p>
      <w:pPr>
        <w:spacing w:after="0" w:line="20" w:lineRule="exact"/>
        <w:rPr>
          <w:sz w:val="20"/>
          <w:szCs w:val="20"/>
          <w:color w:val="auto"/>
        </w:rPr>
      </w:pPr>
      <w:r>
        <w:rPr>
          <w:sz w:val="20"/>
          <w:szCs w:val="20"/>
          <w:color w:val="auto"/>
        </w:rPr>
        <w:br w:type="column"/>
      </w: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Section 409A of the United States Internal Revenue Code of 1986, as amended, and the rules, regulations and guidance promulgated pursuant thereto; any reference to a provision in this Code shall include any successor provision thereto.</w:t>
      </w:r>
    </w:p>
    <w:p>
      <w:pPr>
        <w:spacing w:after="0" w:line="64" w:lineRule="exact"/>
        <w:rPr>
          <w:sz w:val="20"/>
          <w:szCs w:val="20"/>
          <w:color w:val="auto"/>
        </w:rPr>
      </w:pPr>
    </w:p>
    <w:p>
      <w:pPr>
        <w:sectPr>
          <w:pgSz w:w="11900" w:h="16838" w:orient="portrait"/>
          <w:cols w:equalWidth="0" w:num="2">
            <w:col w:w="2040" w:space="380"/>
            <w:col w:w="7500"/>
          </w:cols>
          <w:pgMar w:left="980" w:top="121" w:right="9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Section 457A IRC</w:t>
      </w:r>
    </w:p>
    <w:p>
      <w:pPr>
        <w:spacing w:after="0" w:line="20" w:lineRule="exact"/>
        <w:rPr>
          <w:sz w:val="20"/>
          <w:szCs w:val="20"/>
          <w:color w:val="auto"/>
        </w:rPr>
      </w:pPr>
      <w:r>
        <w:rPr>
          <w:sz w:val="20"/>
          <w:szCs w:val="20"/>
          <w:color w:val="auto"/>
        </w:rPr>
        <w:br w:type="column"/>
      </w: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Section 457A of the United States Internal Revenue Code of 1986, as amended, and the rules, regulations and guidance promulgated pursuant thereto; any reference to a provision in this Code shall include any successor provision thereto.</w:t>
      </w:r>
    </w:p>
    <w:p>
      <w:pPr>
        <w:spacing w:after="0" w:line="64" w:lineRule="exact"/>
        <w:rPr>
          <w:sz w:val="20"/>
          <w:szCs w:val="20"/>
          <w:color w:val="auto"/>
        </w:rPr>
      </w:pPr>
    </w:p>
    <w:p>
      <w:pPr>
        <w:sectPr>
          <w:pgSz w:w="11900" w:h="16838" w:orient="portrait"/>
          <w:cols w:equalWidth="0" w:num="2">
            <w:col w:w="2040" w:space="380"/>
            <w:col w:w="7500"/>
          </w:cols>
          <w:pgMar w:left="980" w:top="121" w:right="9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 ordinary share in the Company’s capital.</w:t>
      </w:r>
    </w:p>
    <w:p>
      <w:pPr>
        <w:spacing w:after="0" w:line="125" w:lineRule="exact"/>
        <w:rPr>
          <w:sz w:val="20"/>
          <w:szCs w:val="20"/>
          <w:color w:val="auto"/>
        </w:rPr>
      </w:pPr>
    </w:p>
    <w:p>
      <w:pPr>
        <w:sectPr>
          <w:pgSz w:w="11900" w:h="16838" w:orient="portrait"/>
          <w:cols w:equalWidth="0" w:num="2">
            <w:col w:w="1700" w:space="720"/>
            <w:col w:w="7500"/>
          </w:cols>
          <w:pgMar w:left="980" w:top="121" w:right="9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subsidiary of the Company within the meaning of Section 2:24a DCC.</w:t>
      </w:r>
    </w:p>
    <w:p>
      <w:pPr>
        <w:spacing w:after="0" w:line="125" w:lineRule="exact"/>
        <w:rPr>
          <w:sz w:val="20"/>
          <w:szCs w:val="20"/>
          <w:color w:val="auto"/>
        </w:rPr>
      </w:pPr>
    </w:p>
    <w:p>
      <w:pPr>
        <w:sectPr>
          <w:pgSz w:w="11900" w:h="16838" w:orient="portrait"/>
          <w:cols w:equalWidth="0" w:num="2">
            <w:col w:w="1700" w:space="720"/>
            <w:col w:w="7500"/>
          </w:cols>
          <w:pgMar w:left="980" w:top="121" w:right="9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b w:val="1"/>
          <w:bCs w:val="1"/>
          <w:color w:val="auto"/>
        </w:rPr>
        <w:t>Supervisory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Company’s supervisory board.</w:t>
      </w:r>
    </w:p>
    <w:p>
      <w:pPr>
        <w:spacing w:after="0" w:line="124" w:lineRule="exact"/>
        <w:rPr>
          <w:sz w:val="20"/>
          <w:szCs w:val="20"/>
          <w:color w:val="auto"/>
        </w:rPr>
      </w:pPr>
    </w:p>
    <w:p>
      <w:pPr>
        <w:sectPr>
          <w:pgSz w:w="11900" w:h="16838" w:orient="portrait"/>
          <w:cols w:equalWidth="0" w:num="2">
            <w:col w:w="2120" w:space="300"/>
            <w:col w:w="7500"/>
          </w:cols>
          <w:pgMar w:left="980" w:top="121" w:right="9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Supervisory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member of the Supervisory Board.</w:t>
      </w:r>
    </w:p>
    <w:p>
      <w:pPr>
        <w:spacing w:after="0" w:line="200" w:lineRule="exact"/>
        <w:rPr>
          <w:sz w:val="20"/>
          <w:szCs w:val="20"/>
          <w:color w:val="auto"/>
        </w:rPr>
      </w:pPr>
    </w:p>
    <w:p>
      <w:pPr>
        <w:sectPr>
          <w:pgSz w:w="11900" w:h="16838" w:orient="portrait"/>
          <w:cols w:equalWidth="0" w:num="2">
            <w:col w:w="2280" w:space="140"/>
            <w:col w:w="7500"/>
          </w:cols>
          <w:pgMar w:left="980" w:top="121" w:right="999" w:bottom="1440" w:gutter="0" w:footer="0" w:header="0"/>
          <w:type w:val="continuous"/>
        </w:sectPr>
      </w:pP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color w:val="auto"/>
        </w:rPr>
        <w:t>References to statutory provisions are to those provisions as they are in force from time to time.</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color w:val="auto"/>
        </w:rPr>
        <w:t>Terms that are defined in the singular have a corresponding meaning in the plural.</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color w:val="auto"/>
        </w:rPr>
        <w:t>Words denoting a gender include each other gender.</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color w:val="auto"/>
        </w:rPr>
        <w:t>Except as otherwise required by law, the terms “written” and “in writing” include the use of electronic means of communication.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color w:val="auto"/>
        </w:rPr>
        <w:t>This Plan shall be administered by the Committee. The Committee’s powers and authorities under this Plan include the authority to perform the following matters, in each case consistent with and subject to the terms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314" w:name="page315"/>
    <w:bookmarkEnd w:id="314"/>
    <w:p>
      <w:pPr>
        <w:ind w:left="840" w:hanging="644"/>
        <w:spacing w:after="0"/>
        <w:tabs>
          <w:tab w:leader="none" w:pos="84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designating Persons to whom Awards are granted;</w:t>
      </w:r>
    </w:p>
    <w:p>
      <w:pPr>
        <w:spacing w:after="0" w:line="225" w:lineRule="exact"/>
        <w:rPr>
          <w:rFonts w:ascii="Times New Roman" w:cs="Times New Roman" w:eastAsia="Times New Roman" w:hAnsi="Times New Roman"/>
          <w:sz w:val="18"/>
          <w:szCs w:val="18"/>
          <w:b w:val="1"/>
          <w:bCs w:val="1"/>
          <w:color w:val="auto"/>
        </w:rPr>
      </w:pPr>
    </w:p>
    <w:p>
      <w:pPr>
        <w:ind w:left="840" w:hanging="644"/>
        <w:spacing w:after="0"/>
        <w:tabs>
          <w:tab w:leader="none" w:pos="84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deciding to grant Awards;</w:t>
      </w:r>
    </w:p>
    <w:p>
      <w:pPr>
        <w:spacing w:after="0" w:line="225" w:lineRule="exact"/>
        <w:rPr>
          <w:rFonts w:ascii="Times New Roman" w:cs="Times New Roman" w:eastAsia="Times New Roman" w:hAnsi="Times New Roman"/>
          <w:sz w:val="18"/>
          <w:szCs w:val="18"/>
          <w:b w:val="1"/>
          <w:bCs w:val="1"/>
          <w:color w:val="auto"/>
        </w:rPr>
      </w:pPr>
    </w:p>
    <w:p>
      <w:pPr>
        <w:ind w:left="840" w:hanging="644"/>
        <w:spacing w:after="0" w:line="282" w:lineRule="auto"/>
        <w:tabs>
          <w:tab w:leader="none" w:pos="84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determining the form(s) and type(s) of Awards being granted and setting the terms and conditions applicable to such Awards, including:</w:t>
      </w:r>
    </w:p>
    <w:p>
      <w:pPr>
        <w:spacing w:after="0" w:line="161" w:lineRule="exact"/>
        <w:rPr>
          <w:rFonts w:ascii="Times New Roman" w:cs="Times New Roman" w:eastAsia="Times New Roman" w:hAnsi="Times New Roman"/>
          <w:sz w:val="18"/>
          <w:szCs w:val="18"/>
          <w:b w:val="1"/>
          <w:bCs w:val="1"/>
          <w:color w:val="auto"/>
        </w:rPr>
      </w:pPr>
    </w:p>
    <w:p>
      <w:pPr>
        <w:ind w:left="1480" w:hanging="636"/>
        <w:spacing w:after="0"/>
        <w:tabs>
          <w:tab w:leader="none" w:pos="1480"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Plan Shares underlying Awards;</w:t>
      </w:r>
    </w:p>
    <w:p>
      <w:pPr>
        <w:spacing w:after="0" w:line="225" w:lineRule="exact"/>
        <w:rPr>
          <w:rFonts w:ascii="Times New Roman" w:cs="Times New Roman" w:eastAsia="Times New Roman" w:hAnsi="Times New Roman"/>
          <w:sz w:val="18"/>
          <w:szCs w:val="18"/>
          <w:b w:val="1"/>
          <w:bCs w:val="1"/>
          <w:color w:val="auto"/>
        </w:rPr>
      </w:pPr>
    </w:p>
    <w:p>
      <w:pPr>
        <w:ind w:left="1480" w:hanging="636"/>
        <w:spacing w:after="0"/>
        <w:tabs>
          <w:tab w:leader="none" w:pos="1480"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time(s) when Awards may be exercised or settled in whole or in part;</w:t>
      </w:r>
    </w:p>
    <w:p>
      <w:pPr>
        <w:spacing w:after="0" w:line="225" w:lineRule="exact"/>
        <w:rPr>
          <w:rFonts w:ascii="Times New Roman" w:cs="Times New Roman" w:eastAsia="Times New Roman" w:hAnsi="Times New Roman"/>
          <w:sz w:val="18"/>
          <w:szCs w:val="18"/>
          <w:b w:val="1"/>
          <w:bCs w:val="1"/>
          <w:color w:val="auto"/>
        </w:rPr>
      </w:pPr>
    </w:p>
    <w:p>
      <w:pPr>
        <w:ind w:left="1480" w:right="20" w:hanging="636"/>
        <w:spacing w:after="0" w:line="282" w:lineRule="auto"/>
        <w:tabs>
          <w:tab w:leader="none" w:pos="1480"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to which extent, and under which circumstances Awards may be exercised or settled in cash or assets (including other Awards), or a combination thereof, in lieu of Plan Shares and vice versa;</w:t>
      </w:r>
    </w:p>
    <w:p>
      <w:pPr>
        <w:spacing w:after="0" w:line="161" w:lineRule="exact"/>
        <w:rPr>
          <w:rFonts w:ascii="Times New Roman" w:cs="Times New Roman" w:eastAsia="Times New Roman" w:hAnsi="Times New Roman"/>
          <w:sz w:val="18"/>
          <w:szCs w:val="18"/>
          <w:b w:val="1"/>
          <w:bCs w:val="1"/>
          <w:color w:val="auto"/>
        </w:rPr>
      </w:pPr>
    </w:p>
    <w:p>
      <w:pPr>
        <w:ind w:left="1480" w:hanging="636"/>
        <w:spacing w:after="0"/>
        <w:tabs>
          <w:tab w:leader="none" w:pos="1480"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to which extent and under which circumstances Awards may be cancelled or suspended;</w:t>
      </w:r>
    </w:p>
    <w:p>
      <w:pPr>
        <w:spacing w:after="0" w:line="225" w:lineRule="exact"/>
        <w:rPr>
          <w:rFonts w:ascii="Times New Roman" w:cs="Times New Roman" w:eastAsia="Times New Roman" w:hAnsi="Times New Roman"/>
          <w:sz w:val="18"/>
          <w:szCs w:val="18"/>
          <w:b w:val="1"/>
          <w:bCs w:val="1"/>
          <w:color w:val="auto"/>
        </w:rPr>
      </w:pPr>
    </w:p>
    <w:p>
      <w:pPr>
        <w:ind w:left="1480" w:hanging="636"/>
        <w:spacing w:after="0" w:line="282" w:lineRule="auto"/>
        <w:tabs>
          <w:tab w:leader="none" w:pos="1480"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to which extent and under which circumstances a Participant may designate another Person owned or controlled by him as recipient or beneficiary of his Awards;</w:t>
      </w:r>
    </w:p>
    <w:p>
      <w:pPr>
        <w:spacing w:after="0" w:line="161" w:lineRule="exact"/>
        <w:rPr>
          <w:rFonts w:ascii="Times New Roman" w:cs="Times New Roman" w:eastAsia="Times New Roman" w:hAnsi="Times New Roman"/>
          <w:sz w:val="18"/>
          <w:szCs w:val="18"/>
          <w:b w:val="1"/>
          <w:bCs w:val="1"/>
          <w:color w:val="auto"/>
        </w:rPr>
      </w:pPr>
    </w:p>
    <w:p>
      <w:pPr>
        <w:ind w:left="1480" w:right="20" w:hanging="636"/>
        <w:spacing w:after="0" w:line="282" w:lineRule="auto"/>
        <w:tabs>
          <w:tab w:leader="none" w:pos="1480"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and to which extent Awards are subject to Performance Criteria and/or restrictive covenants (including non-competition, non-solicitation, confidentiality and/or Share ownership requirements);</w:t>
      </w:r>
    </w:p>
    <w:p>
      <w:pPr>
        <w:spacing w:after="0" w:line="161" w:lineRule="exact"/>
        <w:rPr>
          <w:rFonts w:ascii="Times New Roman" w:cs="Times New Roman" w:eastAsia="Times New Roman" w:hAnsi="Times New Roman"/>
          <w:sz w:val="18"/>
          <w:szCs w:val="18"/>
          <w:b w:val="1"/>
          <w:bCs w:val="1"/>
          <w:color w:val="auto"/>
        </w:rPr>
      </w:pPr>
    </w:p>
    <w:p>
      <w:pPr>
        <w:ind w:left="1480" w:hanging="636"/>
        <w:spacing w:after="0"/>
        <w:tabs>
          <w:tab w:leader="none" w:pos="1480"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method(s) by which Awards may be exercised, settled or cancelled;</w:t>
      </w:r>
    </w:p>
    <w:p>
      <w:pPr>
        <w:spacing w:after="0" w:line="225" w:lineRule="exact"/>
        <w:rPr>
          <w:rFonts w:ascii="Times New Roman" w:cs="Times New Roman" w:eastAsia="Times New Roman" w:hAnsi="Times New Roman"/>
          <w:sz w:val="18"/>
          <w:szCs w:val="18"/>
          <w:b w:val="1"/>
          <w:bCs w:val="1"/>
          <w:color w:val="auto"/>
        </w:rPr>
      </w:pPr>
    </w:p>
    <w:p>
      <w:pPr>
        <w:ind w:left="1480" w:hanging="636"/>
        <w:spacing w:after="0" w:line="282" w:lineRule="auto"/>
        <w:tabs>
          <w:tab w:leader="none" w:pos="1480" w:val="left"/>
        </w:tabs>
        <w:numPr>
          <w:ilvl w:val="1"/>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to which extent and under which circumstances, the exercise, settlement or cancellation of Awards may be deferred or suspended;</w:t>
      </w:r>
    </w:p>
    <w:p>
      <w:pPr>
        <w:spacing w:after="0" w:line="161" w:lineRule="exact"/>
        <w:rPr>
          <w:rFonts w:ascii="Times New Roman" w:cs="Times New Roman" w:eastAsia="Times New Roman" w:hAnsi="Times New Roman"/>
          <w:sz w:val="18"/>
          <w:szCs w:val="18"/>
          <w:b w:val="1"/>
          <w:bCs w:val="1"/>
          <w:color w:val="auto"/>
        </w:rPr>
      </w:pPr>
    </w:p>
    <w:p>
      <w:pPr>
        <w:jc w:val="both"/>
        <w:ind w:left="840" w:hanging="644"/>
        <w:spacing w:after="0" w:line="258" w:lineRule="auto"/>
        <w:tabs>
          <w:tab w:leader="none" w:pos="84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amending or waiving the terms applicable to outstanding Awards (including Performance Criteria), subject to the restrictions imposed by Article 9 and provided that no such amendment shall take effect without the consent of the affected Participant(s), if such amendment would materially and adversely affect the rights of the Participant(s) under such Awards, except to the extent that any such amendment is made to cause this Plan or the Awards concerned to comply with applicable law, stock exchange rules, accounting principles or tax rules and regulations;</w:t>
      </w:r>
    </w:p>
    <w:p>
      <w:pPr>
        <w:spacing w:after="0" w:line="183" w:lineRule="exact"/>
        <w:rPr>
          <w:rFonts w:ascii="Times New Roman" w:cs="Times New Roman" w:eastAsia="Times New Roman" w:hAnsi="Times New Roman"/>
          <w:sz w:val="18"/>
          <w:szCs w:val="18"/>
          <w:b w:val="1"/>
          <w:bCs w:val="1"/>
          <w:color w:val="auto"/>
        </w:rPr>
      </w:pPr>
    </w:p>
    <w:p>
      <w:pPr>
        <w:ind w:left="840" w:hanging="644"/>
        <w:spacing w:after="0" w:line="282" w:lineRule="auto"/>
        <w:tabs>
          <w:tab w:leader="none" w:pos="84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making any determination under, and interpreting the terms of, this Plan, any rules or regulations issued pursuant to this Plan and any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315" w:name="page316"/>
    <w:bookmarkEnd w:id="315"/>
    <w:p>
      <w:pPr>
        <w:ind w:left="1300" w:hanging="644"/>
        <w:spacing w:after="0"/>
        <w:tabs>
          <w:tab w:leader="none" w:pos="130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correcting any defect, supplying any omission or reconciling any inconsistency in the Plan or any Award Agreement;</w:t>
      </w:r>
    </w:p>
    <w:p>
      <w:pPr>
        <w:spacing w:after="0" w:line="225"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30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settling any dispute between the Company and any Participant (including any beneficiary of his Awards) regarding the administration and operation of this Plan, any rules or regulations issued pursuant to this Plan, and any Award Agreement entered into with such Participant; and</w:t>
      </w:r>
    </w:p>
    <w:p>
      <w:pPr>
        <w:spacing w:after="0" w:line="175"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making any other determination or taking any other action which the Committee considers to be necessary, useful or desirable in connection with the administration or operation of this Plan.</w:t>
      </w:r>
    </w:p>
    <w:p>
      <w:pPr>
        <w:spacing w:after="0" w:line="158" w:lineRule="exact"/>
        <w:rPr>
          <w:sz w:val="20"/>
          <w:szCs w:val="20"/>
          <w:color w:val="auto"/>
        </w:rPr>
      </w:pP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color w:val="auto"/>
        </w:rPr>
        <w:t>The Committee may issue further rules and regulations for the administration and operation of this Plan, consistent with and subject to the terms of this Plan.</w:t>
      </w:r>
    </w:p>
    <w:p>
      <w:pPr>
        <w:spacing w:after="0" w:line="162" w:lineRule="exact"/>
        <w:rPr>
          <w:sz w:val="20"/>
          <w:szCs w:val="20"/>
          <w:color w:val="auto"/>
        </w:rPr>
      </w:pP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color w:val="auto"/>
        </w:rPr>
        <w:t>All decisions of the Committee shall be final, conclusive and binding upon the Company and the Participants (including beneficiaries of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color w:val="auto"/>
        </w:rPr>
        <w:t>Awards can only be granted to:</w:t>
      </w:r>
    </w:p>
    <w:p>
      <w:pPr>
        <w:spacing w:after="0" w:line="229" w:lineRule="exact"/>
        <w:rPr>
          <w:sz w:val="20"/>
          <w:szCs w:val="20"/>
          <w:color w:val="auto"/>
        </w:rPr>
      </w:pPr>
    </w:p>
    <w:p>
      <w:pPr>
        <w:ind w:left="1300" w:hanging="644"/>
        <w:spacing w:after="0"/>
        <w:tabs>
          <w:tab w:leader="none" w:pos="130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Eligible Participants; and</w:t>
      </w:r>
    </w:p>
    <w:p>
      <w:pPr>
        <w:spacing w:after="0" w:line="225"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Person who has been extended an offer of employment or other service, as a result of which the Committee reasonably expects such Person to become an Eligible Participant within twelve months after the Grant Date, provided that Awards granted to any such Person shall be treated as Awards held by a Bad Leaver if and when he has not become an Eligible Participant within such twelve- month period.</w:t>
      </w:r>
    </w:p>
    <w:p>
      <w:pPr>
        <w:spacing w:after="0" w:line="176" w:lineRule="exact"/>
        <w:rPr>
          <w:sz w:val="20"/>
          <w:szCs w:val="20"/>
          <w:color w:val="auto"/>
        </w:rPr>
      </w:pPr>
    </w:p>
    <w:p>
      <w:pPr>
        <w:jc w:val="both"/>
        <w:ind w:left="640" w:right="2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color w:val="auto"/>
        </w:rPr>
        <w:t>No Award is intended to confer any rights on the relevant Participant except as set forth in the applicable Award Agreement. In particular, no Award should be construed as giving any Participant the right to remain employed by or to continue to provide services for the Company or any Subsidiary.</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color w:val="auto"/>
        </w:rPr>
        <w:t>Awards shall be granted for no consideration or for such minimal cash consideration as may be required by applicable law.</w:t>
      </w:r>
    </w:p>
    <w:p>
      <w:pPr>
        <w:spacing w:after="0" w:line="225"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color w:val="auto"/>
        </w:rPr>
        <w:t>Awards may be granted alone or in addition or in tandem with any other Award and/or any award under any other plan of the Company or any Subsidiary. Awards granted in addition or in tandem with any other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6" w:name="page317"/>
    <w:bookmarkEnd w:id="316"/>
    <w:p>
      <w:pPr>
        <w:ind w:left="640"/>
        <w:spacing w:after="0"/>
        <w:rPr>
          <w:sz w:val="20"/>
          <w:szCs w:val="20"/>
          <w:color w:val="auto"/>
        </w:rPr>
      </w:pPr>
      <w:r>
        <w:rPr>
          <w:rFonts w:ascii="Times New Roman" w:cs="Times New Roman" w:eastAsia="Times New Roman" w:hAnsi="Times New Roman"/>
          <w:sz w:val="18"/>
          <w:szCs w:val="18"/>
          <w:color w:val="auto"/>
        </w:rPr>
        <w:t>and/or any award under any other plan of the Company or any Subsidiary may be granted simultaneously or at different times.</w:t>
      </w:r>
    </w:p>
    <w:p>
      <w:pPr>
        <w:spacing w:after="0" w:line="221" w:lineRule="exact"/>
        <w:rPr>
          <w:sz w:val="20"/>
          <w:szCs w:val="20"/>
          <w:color w:val="auto"/>
        </w:rPr>
      </w:pPr>
    </w:p>
    <w:p>
      <w:pPr>
        <w:jc w:val="both"/>
        <w:ind w:left="620" w:hanging="634"/>
        <w:spacing w:after="0" w:line="266" w:lineRule="auto"/>
        <w:tabs>
          <w:tab w:leader="none" w:pos="60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color w:val="auto"/>
        </w:rPr>
        <w:t>Each Award shall be evidenced by an Award Agreement entered into between the Company and the Participant concerned. Until an Award Agreement has been entered into between the Company and the relevant Participant, no rights can be derived from the Awards concerned by such Participant.</w:t>
      </w:r>
    </w:p>
    <w:p>
      <w:pPr>
        <w:spacing w:after="0" w:line="176" w:lineRule="exact"/>
        <w:rPr>
          <w:sz w:val="20"/>
          <w:szCs w:val="20"/>
          <w:color w:val="auto"/>
        </w:rPr>
      </w:pPr>
    </w:p>
    <w:p>
      <w:pPr>
        <w:jc w:val="both"/>
        <w:ind w:left="620" w:hanging="634"/>
        <w:spacing w:after="0" w:line="261" w:lineRule="auto"/>
        <w:tabs>
          <w:tab w:leader="none" w:pos="60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8"/>
          <w:szCs w:val="18"/>
          <w:color w:val="auto"/>
        </w:rPr>
        <w:t>Plan Shares, including Awards in the form of Shares of Restricted Stock, shall be delivered in such form(s) as may be determined by the Committee and shall be subject to such stop transfer orders and other restrictions as the Committee may deem required or advisable. Furthermore, the Committee may determine that certificates for such Shares shall bear an appropriate legend referring to the terms, conditions and restrictions applicable thereto.</w:t>
      </w:r>
    </w:p>
    <w:p>
      <w:pPr>
        <w:spacing w:after="0" w:line="180" w:lineRule="exact"/>
        <w:rPr>
          <w:sz w:val="20"/>
          <w:szCs w:val="20"/>
          <w:color w:val="auto"/>
        </w:rPr>
      </w:pPr>
    </w:p>
    <w:p>
      <w:pPr>
        <w:jc w:val="both"/>
        <w:ind w:left="620" w:hanging="634"/>
        <w:spacing w:after="0" w:line="261" w:lineRule="auto"/>
        <w:tabs>
          <w:tab w:leader="none" w:pos="60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8"/>
          <w:szCs w:val="18"/>
          <w:color w:val="auto"/>
        </w:rPr>
        <w:t>The terms and conditions applicable to Awards, including the time(s) when Awards vest in whole or in part and any applicable Performance Criteria, shall be set by the Committee and may vary between Awards and between Participants, as the Committee deems appropriate. The Committee may also determine whether and under which circumstances Awards shall be settled automatically upon vesting, without being exercised by the Participant.</w:t>
      </w:r>
    </w:p>
    <w:p>
      <w:pPr>
        <w:spacing w:after="0" w:line="180" w:lineRule="exact"/>
        <w:rPr>
          <w:sz w:val="20"/>
          <w:szCs w:val="20"/>
          <w:color w:val="auto"/>
        </w:rPr>
      </w:pPr>
    </w:p>
    <w:p>
      <w:pPr>
        <w:jc w:val="both"/>
        <w:ind w:left="620" w:right="20" w:hanging="634"/>
        <w:spacing w:after="0" w:line="261" w:lineRule="auto"/>
        <w:tabs>
          <w:tab w:leader="none" w:pos="60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8"/>
          <w:szCs w:val="18"/>
          <w:color w:val="auto"/>
        </w:rPr>
        <w:t>The term of an Award shall be determined by the Committee, but shall not exceed ten years from the applicable Grant Date. Unless determined otherwise by the Committee, if the exercise of an Award is prohibited by applicable law or the Company’s insider trading policy on the last business day of the term of such Award, such term shall be extended for a period of one month following the end of such prohibition.</w:t>
      </w:r>
    </w:p>
    <w:p>
      <w:pPr>
        <w:spacing w:after="0" w:line="180" w:lineRule="exact"/>
        <w:rPr>
          <w:sz w:val="20"/>
          <w:szCs w:val="20"/>
          <w:color w:val="auto"/>
        </w:rPr>
      </w:pPr>
    </w:p>
    <w:p>
      <w:pPr>
        <w:jc w:val="both"/>
        <w:ind w:left="620" w:right="20" w:hanging="634"/>
        <w:spacing w:after="0" w:line="282" w:lineRule="auto"/>
        <w:tabs>
          <w:tab w:leader="none" w:pos="60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8"/>
          <w:szCs w:val="18"/>
          <w:color w:val="auto"/>
        </w:rPr>
        <w:t>Unless determined otherwise by the Committee, Awards cannot be transferred, pledged or otherwise encumbered, except by testament or hereditary law as a result of death of the Participant concerned.</w:t>
      </w:r>
    </w:p>
    <w:p>
      <w:pPr>
        <w:spacing w:after="0" w:line="162" w:lineRule="exact"/>
        <w:rPr>
          <w:sz w:val="20"/>
          <w:szCs w:val="20"/>
          <w:color w:val="auto"/>
        </w:rPr>
      </w:pPr>
    </w:p>
    <w:p>
      <w:pPr>
        <w:jc w:val="both"/>
        <w:ind w:left="620" w:hanging="634"/>
        <w:spacing w:after="0" w:line="256" w:lineRule="auto"/>
        <w:tabs>
          <w:tab w:leader="none" w:pos="600" w:val="left"/>
        </w:tabs>
        <w:rPr>
          <w:sz w:val="20"/>
          <w:szCs w:val="20"/>
          <w:color w:val="auto"/>
        </w:rPr>
      </w:pPr>
      <w:r>
        <w:rPr>
          <w:rFonts w:ascii="Times New Roman" w:cs="Times New Roman" w:eastAsia="Times New Roman" w:hAnsi="Times New Roman"/>
          <w:sz w:val="18"/>
          <w:szCs w:val="18"/>
          <w:b w:val="1"/>
          <w:bCs w:val="1"/>
          <w:color w:val="auto"/>
        </w:rPr>
        <w:t>4.10</w:t>
      </w:r>
      <w:r>
        <w:rPr>
          <w:sz w:val="20"/>
          <w:szCs w:val="20"/>
          <w:color w:val="auto"/>
        </w:rPr>
        <w:tab/>
      </w:r>
      <w:r>
        <w:rPr>
          <w:rFonts w:ascii="Times New Roman" w:cs="Times New Roman" w:eastAsia="Times New Roman" w:hAnsi="Times New Roman"/>
          <w:sz w:val="18"/>
          <w:szCs w:val="18"/>
          <w:color w:val="auto"/>
        </w:rPr>
        <w:t>If, as a result of changes in applicable law, accounting principles or tax rules and regulations, or due to a variation of the composition of the Company’s issued share capital (including a share split, reverse share split, redenomination of the nominal value, or as a result of a dividend or other distribution, reorganization, acquisition, merger, demerger, business combination or other transaction involving the Company or a Subsidiary), an adjustment to this Plan, any Award Agreement and/or outstanding Awards is necessary to prevent dilution or enlargement of the benefits or potential benefits intended to be made available under this Plan, the Committee may adjust equitably any or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1" w:right="999" w:bottom="1440" w:gutter="0" w:footer="0" w:header="0"/>
        </w:sectPr>
      </w:pPr>
    </w:p>
    <w:bookmarkStart w:id="317" w:name="page318"/>
    <w:bookmarkEnd w:id="317"/>
    <w:p>
      <w:pPr>
        <w:ind w:left="1300" w:hanging="644"/>
        <w:spacing w:after="0"/>
        <w:tabs>
          <w:tab w:leader="none" w:pos="130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Plan Shares available under this Plan;</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Plan Shares underlying outstanding Awards; and/or</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Exercise Price or other terms applicable to outstanding Awards.</w:t>
      </w:r>
    </w:p>
    <w:p>
      <w:pPr>
        <w:spacing w:after="0" w:line="221"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4.11</w:t>
      </w:r>
      <w:r>
        <w:rPr>
          <w:sz w:val="20"/>
          <w:szCs w:val="20"/>
          <w:color w:val="auto"/>
        </w:rPr>
        <w:tab/>
      </w:r>
      <w:r>
        <w:rPr>
          <w:rFonts w:ascii="Times New Roman" w:cs="Times New Roman" w:eastAsia="Times New Roman" w:hAnsi="Times New Roman"/>
          <w:sz w:val="18"/>
          <w:szCs w:val="18"/>
          <w:color w:val="auto"/>
        </w:rPr>
        <w:t>Any rights, payments and benefits under any Award shall be subject to repayment and/or recoupment by the Company in accordance with applicable law, stock exchange rules and such policies and procedures as the Company may adopt from time to time.</w:t>
      </w:r>
    </w:p>
    <w:p>
      <w:pPr>
        <w:spacing w:after="0" w:line="176"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4.12</w:t>
      </w:r>
      <w:r>
        <w:rPr>
          <w:sz w:val="20"/>
          <w:szCs w:val="20"/>
          <w:color w:val="auto"/>
        </w:rPr>
        <w:tab/>
      </w:r>
      <w:r>
        <w:rPr>
          <w:rFonts w:ascii="Times New Roman" w:cs="Times New Roman" w:eastAsia="Times New Roman" w:hAnsi="Times New Roman"/>
          <w:sz w:val="18"/>
          <w:szCs w:val="18"/>
          <w:color w:val="auto"/>
        </w:rPr>
        <w:t>The Company may withhold from any outstanding Award, any payment, issuance or transfer to be made under such Award, or any other compensation or amount owed by the Company to the Participant holding such Award, an amount (in cash, in assets, in the form of Shares or other Awards, or a combination thereof) equal to the withholding taxes and other costs due, or to be withheld, by the Company or any Subsidiary in respect of the grant, exercise or settlement of such Award.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TYPES OF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color w:val="auto"/>
        </w:rPr>
        <w:t>The Committee may grant Awards in the form of Options, SARs, Shares of Restricted Stock, RSUs, Other Awards or a combination of the foregoing.</w:t>
      </w:r>
    </w:p>
    <w:p>
      <w:pPr>
        <w:spacing w:after="0" w:line="162"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Upon the exercise or settlement of vested Options, the Company shall be obliged to deliver to the Participant concerned (or the beneficiary of such Options, as applicable), the Plan Shares underlying such Options (unless otherwise set forth in the Award Agreement).</w:t>
      </w:r>
    </w:p>
    <w:p>
      <w:pPr>
        <w:spacing w:after="0" w:line="176"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Upon the exercise or settlement of vested SARs, the Company shall be obliged to pay to the Participant concerned (or the beneficiary of such SARs, as applicable) an amount equal to the number of Plan Shares underlying such SARs multiplied by the excess, if any, of the FMV of one Share on the applicable Exercise Date over the applicable Exercise Price. The Company may satisfy such payment obligation in cash, in assets, in the form of Shares valued at FMV, or a combination thereof, at the discretion of the Committee.</w:t>
      </w:r>
    </w:p>
    <w:p>
      <w:pPr>
        <w:spacing w:after="0" w:line="183"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The exercise by a Participant of his rights attached to Shares of Restricted Stock shall be subject to such restrictions as the Committee may impose, including with respect to voting rights and the right to receive dividends or other distributions made by the Company. Upon the vesting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8" w:name="page319"/>
    <w:bookmarkEnd w:id="318"/>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of Restricted Stock, any such restrictions and conditions shall lapse with respect to those Shares. If an Award in the form of Shares of Restricted Stock is cancelled or otherwise terminated, the Participant shall be obliged to transfer all of his unvested Shares of Restricted Stock to the Company promptly and for no consideration.</w:t>
      </w:r>
    </w:p>
    <w:p>
      <w:pPr>
        <w:spacing w:after="0" w:line="172"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color w:val="auto"/>
        </w:rPr>
        <w:t>Upon the exercise or settlement of vested RSUs, the Company shall be obliged to pay to the Participant concerned (or the beneficiary of such RSUs, as applicable) an amount equal to the number of Plan Shares underlying such RSUs multiplied by the FMV of one Share on the applicable Exercise Date. The Company may satisfy such payment obligation in cash, in assets, in the form of Shares valued at FMV, or a combination thereof, at the discretion of the Committee (unless otherwise set forth in the Award Agreement).</w:t>
      </w:r>
    </w:p>
    <w:p>
      <w:pPr>
        <w:spacing w:after="0" w:line="183"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8"/>
          <w:szCs w:val="18"/>
          <w:color w:val="auto"/>
        </w:rPr>
        <w:t>The Committee may determine that a Participant holding one or more RSUs is entitled to receive dividends and other distributions made by the Company on the Shares, as if such Participant held the Plan Shares underlying such RSUs. The Committee may impose restrictions with respect to such entitlement.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CRITERIA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The Committee may condition the right of a Participant to exercise one or more of his Awards, and the timing thereof, upon the achievement or satisfaction of such Performance Criteria as may be determined by the Committee, within periods specified by the Committee.</w:t>
      </w:r>
    </w:p>
    <w:p>
      <w:pPr>
        <w:spacing w:after="0" w:line="176"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color w:val="auto"/>
        </w:rPr>
        <w:t>If an Award is subject to Performance Criteria which must be achieved or satisfied within a period specified by the Committee for that purpose, such Award can only be exercised or settled at or after the end of that period.</w:t>
      </w:r>
    </w:p>
    <w:p>
      <w:pPr>
        <w:spacing w:after="0" w:line="162"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color w:val="auto"/>
        </w:rPr>
        <w:t>Performance Criteria may be measured on an absolute or relative basis and may be established on a Company-wide basis or with respect to one or more business units, divisions, Subsidiaries and/or business segments. Relative performance may be measured against a group of peer companies determined by the Committee, financial market indices and/or other objective and quantifiable indices. Performance Criteria may relate to performance by the Company and/or by the Participant concerned.</w:t>
      </w:r>
    </w:p>
    <w:p>
      <w:pPr>
        <w:spacing w:after="0" w:line="180"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color w:val="auto"/>
        </w:rPr>
        <w:t>If the Committee determines that a change in the business, operations, group structure or capital structure of the Company, or other events or circumstances, render certain Performance Criteria applicable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9" w:name="page320"/>
    <w:bookmarkEnd w:id="319"/>
    <w:p>
      <w:pPr>
        <w:ind w:left="660" w:right="20"/>
        <w:spacing w:after="0" w:line="282" w:lineRule="auto"/>
        <w:rPr>
          <w:sz w:val="20"/>
          <w:szCs w:val="20"/>
          <w:color w:val="auto"/>
        </w:rPr>
      </w:pPr>
      <w:r>
        <w:rPr>
          <w:rFonts w:ascii="Times New Roman" w:cs="Times New Roman" w:eastAsia="Times New Roman" w:hAnsi="Times New Roman"/>
          <w:sz w:val="18"/>
          <w:szCs w:val="18"/>
          <w:color w:val="auto"/>
        </w:rPr>
        <w:t>outstanding Awards unsuitable or inappropriate, the Committee may amend or waive such Performance Criteria, in whole or in part, as the Committee deems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SHARES AVAILABLE FOR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Subject to Articles 4.10 and 7.2, the Plan Shares underlying Awards (including, for the avoidance of doubt, Plan Shares underlying IPO Replacement Awards) which are not Replacement Awards, irrespective of whether such Awards have been exercised or settled, together with any Prior VSOP Virtual Shares (Adjusted) which have not yet been exercised or settled, shall not represent more than 15% of the Company’s issued share capital from time to time.</w:t>
      </w:r>
    </w:p>
    <w:p>
      <w:pPr>
        <w:spacing w:after="0" w:line="180"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Plan Shares underlying Awards, except for Replacement Awards, which expire, which are cancelled or otherwise terminated, or which are exercised or settled in cash or assets in lieu of Plan Shares, shall again be available under this Plan and shall not be counted towards the limit imposed by Article 7.1.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EXERCISE AND SETTLEMENT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color w:val="auto"/>
        </w:rPr>
        <w:t>Each Award Agreement shall contain the vesting schedule and, where relevant, delivery schedule (which may include deferred delivery later than the vesting dates) for the relevant Awards.</w:t>
      </w:r>
    </w:p>
    <w:p>
      <w:pPr>
        <w:spacing w:after="0" w:line="162"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color w:val="auto"/>
        </w:rPr>
        <w:t>Only vested Awards may be exercised or settled in accordance with their terms. An Award can only be exercised (to the extent it is not settled automatically) by or on behalf of the Participant holding such Award.</w:t>
      </w:r>
    </w:p>
    <w:p>
      <w:pPr>
        <w:spacing w:after="0" w:line="162" w:lineRule="exact"/>
        <w:rPr>
          <w:sz w:val="20"/>
          <w:szCs w:val="20"/>
          <w:color w:val="auto"/>
        </w:rPr>
      </w:pPr>
    </w:p>
    <w:p>
      <w:pPr>
        <w:jc w:val="both"/>
        <w:ind w:left="640" w:right="2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color w:val="auto"/>
        </w:rPr>
        <w:t>An Award can only be exercised through the use of an electronic system or platform to be designated by the Committee (if and when such system or platform has been set up by the Company), or otherwise by delivering written notice to the Company in a form approved by the Committee.</w:t>
      </w:r>
    </w:p>
    <w:p>
      <w:pPr>
        <w:spacing w:after="0" w:line="176"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8"/>
          <w:szCs w:val="18"/>
          <w:color w:val="auto"/>
        </w:rPr>
        <w:t>Subject to Article 9.1, the Committee shall determine the Exercise Price, provided that the Exercise Price for an Award which can be exercised or settled in the form of Plan Shares shall not be less than the aggregate nominal value of such Plan Shares.</w:t>
      </w:r>
    </w:p>
    <w:p>
      <w:pPr>
        <w:spacing w:after="0" w:line="162"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8"/>
          <w:szCs w:val="18"/>
          <w:color w:val="auto"/>
        </w:rPr>
        <w:t>Upon the exercise of an Award, the applicable Exercise Price must immediately be paid in cash, wire transfer of immediately available funds or by check payable to the order of the Company, provided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0" w:name="page321"/>
    <w:bookmarkEnd w:id="320"/>
    <w:p>
      <w:pPr>
        <w:ind w:left="660"/>
        <w:spacing w:after="0" w:line="282" w:lineRule="auto"/>
        <w:rPr>
          <w:sz w:val="20"/>
          <w:szCs w:val="20"/>
          <w:color w:val="auto"/>
        </w:rPr>
      </w:pPr>
      <w:r>
        <w:rPr>
          <w:rFonts w:ascii="Times New Roman" w:cs="Times New Roman" w:eastAsia="Times New Roman" w:hAnsi="Times New Roman"/>
          <w:sz w:val="18"/>
          <w:szCs w:val="18"/>
          <w:color w:val="auto"/>
        </w:rPr>
        <w:t>Committee, subject to applicable law, may allow that such Exercise Price is satisfied on a cashless or net settlement basis, applying any of the following methods:</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means of an immediate sale of Plan Shares underlying the Award concerned, with sale proceeds equal to the Exercise Price being paid to the Company on behalf of the relevant Participant and any remaining sale proceeds (less applicable costs and taxes, if any) being paid to such Participant;</w:t>
      </w:r>
    </w:p>
    <w:p>
      <w:pPr>
        <w:spacing w:after="0" w:line="175"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30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means of the relevant Participant forfeiting his entitlement to receive part of the Plan Shares underlying the Award concerned at FMV on the Exercise Date and charging the aggregate nominal value of the remaining Plan Shares underlying such Award against the Company’s reserves;</w:t>
      </w:r>
    </w:p>
    <w:p>
      <w:pPr>
        <w:spacing w:after="0" w:line="175"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means of the relevant Participant surrendering his entitlement to receive part of the Plan Shares underlying the Award concerned at FMV on the Exercise Date, against the Company becoming due an equivalent amount to such Participant and setting off that obligation against the Company’s receivable with respect to payment of the applicable Exercise Price; or</w:t>
      </w:r>
    </w:p>
    <w:p>
      <w:pPr>
        <w:spacing w:after="0" w:line="179"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means of the relevant Participant surrendering and transferring Shares to the Company (which may include Plan Shares underlying the Award concerned) at FMV on the Exercise Date.</w:t>
      </w:r>
    </w:p>
    <w:p>
      <w:pPr>
        <w:spacing w:after="0" w:line="158"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8"/>
          <w:szCs w:val="18"/>
          <w:color w:val="auto"/>
        </w:rPr>
        <w:t>The Company is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the Participant) as may be necessary in the option of the Company to satisfy all obligations for the payment of such taxes</w:t>
      </w:r>
    </w:p>
    <w:p>
      <w:pPr>
        <w:spacing w:after="0" w:line="187"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8.7</w:t>
      </w:r>
      <w:r>
        <w:rPr>
          <w:sz w:val="20"/>
          <w:szCs w:val="20"/>
          <w:color w:val="auto"/>
        </w:rPr>
        <w:tab/>
      </w:r>
      <w:r>
        <w:rPr>
          <w:rFonts w:ascii="Times New Roman" w:cs="Times New Roman" w:eastAsia="Times New Roman" w:hAnsi="Times New Roman"/>
          <w:sz w:val="18"/>
          <w:szCs w:val="18"/>
          <w:color w:val="auto"/>
        </w:rPr>
        <w:t>When an Award is exercised or settled in the form of Plan Shares, the Company shall, at the discretion of the Committee, subject to applicable law and the Company’s insider trading policy:</w:t>
      </w:r>
    </w:p>
    <w:p>
      <w:pPr>
        <w:spacing w:after="0" w:line="166" w:lineRule="exact"/>
        <w:rPr>
          <w:sz w:val="20"/>
          <w:szCs w:val="20"/>
          <w:color w:val="auto"/>
        </w:rPr>
      </w:pPr>
    </w:p>
    <w:p>
      <w:pPr>
        <w:ind w:left="1300" w:hanging="644"/>
        <w:spacing w:after="0"/>
        <w:tabs>
          <w:tab w:leader="none" w:pos="130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 new Plan Shares to the relevant Participant; or</w:t>
      </w:r>
    </w:p>
    <w:p>
      <w:pPr>
        <w:spacing w:after="0" w:line="225" w:lineRule="exact"/>
        <w:rPr>
          <w:rFonts w:ascii="Times New Roman" w:cs="Times New Roman" w:eastAsia="Times New Roman" w:hAnsi="Times New Roman"/>
          <w:sz w:val="18"/>
          <w:szCs w:val="18"/>
          <w:b w:val="1"/>
          <w:bCs w:val="1"/>
          <w:color w:val="auto"/>
        </w:rPr>
      </w:pPr>
    </w:p>
    <w:p>
      <w:pPr>
        <w:ind w:left="660" w:right="3040" w:hanging="4"/>
        <w:spacing w:after="0" w:line="532" w:lineRule="auto"/>
        <w:tabs>
          <w:tab w:leader="none" w:pos="1295"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 existing Plan Shares held by the Company to the relevant Participant, provided, in each case, that Plan Shares may be delivered in the form 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1" w:name="page322"/>
    <w:bookmarkEnd w:id="321"/>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book-entry securities representing those Plan Shares (or beneficial ownership of those Plan Shares entitling the holder to exercise or direct the exercise of voting rights attached thereto) credited to the securities account designated by the relevant Participant. Furthermore, Plan Shares may be delivered as described in the previous sentence to a Person designated by the relevant Participant, with the prior approval of the Committee, as beneficiary of his Award.</w:t>
      </w:r>
    </w:p>
    <w:p>
      <w:pPr>
        <w:spacing w:after="0" w:line="176"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8.8</w:t>
      </w:r>
      <w:r>
        <w:rPr>
          <w:sz w:val="20"/>
          <w:szCs w:val="20"/>
          <w:color w:val="auto"/>
        </w:rPr>
        <w:tab/>
      </w:r>
      <w:r>
        <w:rPr>
          <w:rFonts w:ascii="Times New Roman" w:cs="Times New Roman" w:eastAsia="Times New Roman" w:hAnsi="Times New Roman"/>
          <w:sz w:val="18"/>
          <w:szCs w:val="18"/>
          <w:color w:val="auto"/>
        </w:rPr>
        <w:t>If an Award is exercised or settled in the form of Plan Shares and such Award does not relate to a whole number of Plan Shares, the number of Plan Shares underlying such Award shall be rounded down to the nearest integer.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RESTRICTIONS FOR OPTIONS AND SARS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color w:val="auto"/>
        </w:rPr>
        <w:t>Except for Replacement Awards, the Exercise Price for an Option or SAR shall not be less than the higher of:</w:t>
      </w:r>
    </w:p>
    <w:p>
      <w:pPr>
        <w:spacing w:after="0" w:line="229" w:lineRule="exact"/>
        <w:rPr>
          <w:sz w:val="20"/>
          <w:szCs w:val="20"/>
          <w:color w:val="auto"/>
        </w:rPr>
      </w:pPr>
    </w:p>
    <w:p>
      <w:pPr>
        <w:ind w:left="1300" w:hanging="644"/>
        <w:spacing w:after="0" w:line="282" w:lineRule="auto"/>
        <w:tabs>
          <w:tab w:leader="none" w:pos="130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FMV of a Plan Share on the applicable Grant Date and, in case of a SAR being granted in connection with an Option, on the Grant Date of such Option; or</w:t>
      </w:r>
    </w:p>
    <w:p>
      <w:pPr>
        <w:spacing w:after="0" w:line="16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nominal value of the Plan Share(s) underlying the Option.</w:t>
      </w:r>
    </w:p>
    <w:p>
      <w:pPr>
        <w:spacing w:after="0" w:line="221"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color w:val="auto"/>
        </w:rPr>
        <w:t>Except as provided in Article 4.10, the Committee may not, without prior approval of the General Meeting, seek to effect any re-pricing of any outstanding “underwater” Option or SAR by:</w:t>
      </w:r>
    </w:p>
    <w:p>
      <w:pPr>
        <w:spacing w:after="0" w:line="166" w:lineRule="exact"/>
        <w:rPr>
          <w:sz w:val="20"/>
          <w:szCs w:val="20"/>
          <w:color w:val="auto"/>
        </w:rPr>
      </w:pPr>
    </w:p>
    <w:p>
      <w:pPr>
        <w:ind w:left="1300" w:hanging="644"/>
        <w:spacing w:after="0"/>
        <w:tabs>
          <w:tab w:leader="none" w:pos="130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amending or modifying the terms of such Option or SAR to lower the Exercise Price;</w:t>
      </w:r>
    </w:p>
    <w:p>
      <w:pPr>
        <w:spacing w:after="0" w:line="225"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cancelling such Option or SAR and granting in exchange either (i) replacement Options or SARs having a lower Exercise Price, or (ii) Restricted Stock, RSUs or Other Awards; or</w:t>
      </w:r>
    </w:p>
    <w:p>
      <w:pPr>
        <w:spacing w:after="0" w:line="16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cancelling or repurchasing such Award for cash, assets or other securities.</w:t>
      </w:r>
    </w:p>
    <w:p>
      <w:pPr>
        <w:spacing w:after="0" w:line="221"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color w:val="auto"/>
        </w:rPr>
        <w:t>Options and SARs will be considered to be “underwater” within the meaning of Article 9.2 at any time when the FMV of the Plan Shares underlying such Awards is less than the applicable Exercise 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PARTICIPANTS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2" w:name="page323"/>
    <w:bookmarkEnd w:id="322"/>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color w:val="auto"/>
        </w:rPr>
        <w:t>With respect to any Award subject to Section 409A IRC and Section 457A IRC, this Plan and the applicable Award Agreement are intended to comply with the requirements of Section 409A IRC and Section 457A IRC, the provisions of this Plan and such Award Agreement shall be interpreted in a manner that satisfies the requirements of Section 409A IRC and Section 457A IRC, and this Plan shall be operated accordingly. If any provision of this Plan or any term or condition of any Award subject to Section 409A IRC and Section 457A IRC would otherwise frustrate or conflict with this intent, the provision, term or condition will be interpreted and deemed amended so as to avoid this conflict.</w:t>
      </w:r>
    </w:p>
    <w:p>
      <w:pPr>
        <w:spacing w:after="0" w:line="187"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color w:val="auto"/>
        </w:rPr>
        <w:t>Notwithstanding any provision of this Plan to the contrary or any Award Agreement, a termination of employment shall not deemed to have occurred for purposes of any provision of an Award that is subject to Section 409A IRC providing for payment upon or following a termination of a Participant’s employment unless such termination is also a “separation from service” and, for purposes of any such provision of such Award, references to a “termination”, “termination of employment” or like terms shall mean “separation from service”.</w:t>
      </w:r>
    </w:p>
    <w:p>
      <w:pPr>
        <w:spacing w:after="0" w:line="183"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8"/>
          <w:szCs w:val="18"/>
          <w:color w:val="auto"/>
        </w:rPr>
        <w:t>No Awards will be eligible for the payment of dividends or dividend equivalents, to the extent such Option or SAR is subject to Section 409A IRC and Section 457A IRC.</w:t>
      </w:r>
    </w:p>
    <w:p>
      <w:pPr>
        <w:spacing w:after="0" w:line="162"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8"/>
          <w:szCs w:val="18"/>
          <w:color w:val="auto"/>
        </w:rPr>
        <w:t>If all or part of any payments made, or other benefits conferred, under any Award subject to Section 409A IRC constitutes deferred compensation for purposes of Section 409A IRC as a result of a “separation from service” of the relevant Participant (other than due to his death) within the meaning of Section 409A IRC while such Participant is a “specified employee” under Section 409A IRC, then such payment or benefit shall not be made or conferred until six months and one business day have elapsed after the date of such “separation from service”, except as permitted under Section 409A IRC.</w:t>
      </w:r>
    </w:p>
    <w:p>
      <w:pPr>
        <w:spacing w:after="0" w:line="183"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8"/>
          <w:szCs w:val="18"/>
          <w:color w:val="auto"/>
        </w:rPr>
        <w:t>If an Award subject to Section 409A IRC includes a “series of installment payments” within the meaning of Section 1.409A-2(b)(2)(iii) of the United States Treasury Regulations, the right of the relevant Participant to such series of installment payments shall be treated as a right to a series of separate payments and not as a right to a single payment, and if such an Award includes “dividend equivalents” within the meaning of Section 1.409A-3(e) of the United States Treasury Regulations, the right of the relevant Participant to such dividend equivalents shall be treated separately from the right to other amounts or other benefits under such Award.</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7"/>
          <w:szCs w:val="17"/>
          <w:color w:val="auto"/>
        </w:rPr>
        <w:t>For any Award subject to Section 409A IRC or Section 457A IRC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23" w:name="page324"/>
    <w:bookmarkEnd w:id="323"/>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provides for accelerated distribution on a Change of Control of amounts that constitute “deferred compensation” as defined in Section 409A IRC and Section 457A IRC, if the event that constitutes such Change of Control does not also constitute a change in the ownership or effective control of the Company, or in the ownership of a substantial portion of the Company’s assets (in either case, as defined in Section 409A IRC), such amount shall not be distributed on such Change of Control but instead shall vest as of the date of such Change of Control and shall be paid on the scheduled payment date specified in the applicable Award Agreement, except to the extent that earlier distribution would not result in the relevant Participant incurring any additional tax, penalty, interest or other expense under Section 409A IRC and Section 457A IRC.</w:t>
      </w:r>
    </w:p>
    <w:p>
      <w:pPr>
        <w:spacing w:after="0" w:line="185"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8"/>
          <w:szCs w:val="18"/>
          <w:color w:val="auto"/>
        </w:rPr>
        <w:t>Notwithstanding the foregoing in this Article 10, the tax treatment of the benefits provided under this Plan or any Award Agreement is not warranted or guaranteed, and in no event shall the Company be liable for all or any portion of any taxes, penalties, interest or other expenses that may be incurred by a U.S. Participant on account of non-compliance with Section 409A IRC and Section 457A IRC.</w:t>
      </w:r>
    </w:p>
    <w:p>
      <w:pPr>
        <w:spacing w:after="0" w:line="180" w:lineRule="exact"/>
        <w:rPr>
          <w:sz w:val="20"/>
          <w:szCs w:val="20"/>
          <w:color w:val="auto"/>
        </w:rPr>
      </w:pPr>
    </w:p>
    <w:p>
      <w:pPr>
        <w:jc w:val="both"/>
        <w:ind w:left="640" w:right="2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10.8</w:t>
      </w:r>
      <w:r>
        <w:rPr>
          <w:sz w:val="20"/>
          <w:szCs w:val="20"/>
          <w:color w:val="auto"/>
        </w:rPr>
        <w:tab/>
      </w:r>
      <w:r>
        <w:rPr>
          <w:rFonts w:ascii="Times New Roman" w:cs="Times New Roman" w:eastAsia="Times New Roman" w:hAnsi="Times New Roman"/>
          <w:sz w:val="18"/>
          <w:szCs w:val="18"/>
          <w:color w:val="auto"/>
        </w:rPr>
        <w:t>Notwithstanding any provision of this Plan to the contrary or any Award Agreement, in the event the Committee determines that any Award may be subject to Section 409A IRC or Section 457A IRC, the Committee may adopt such amendments to this Plan and the applicable Award Agreement or adopt other policies and procedures (including amendments, policies and procedures with retroactive effect), or take any other actions, that the Committee determined are necessary or appropriate to:</w:t>
      </w:r>
    </w:p>
    <w:p>
      <w:pPr>
        <w:spacing w:after="0" w:line="184" w:lineRule="exact"/>
        <w:rPr>
          <w:sz w:val="20"/>
          <w:szCs w:val="20"/>
          <w:color w:val="auto"/>
        </w:rPr>
      </w:pPr>
    </w:p>
    <w:p>
      <w:pPr>
        <w:ind w:left="1300" w:hanging="644"/>
        <w:spacing w:after="0" w:line="282" w:lineRule="auto"/>
        <w:tabs>
          <w:tab w:leader="none" w:pos="130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exempt the Award from Section 409A IRC or Section 457A IRC and/or preserve the intended tax treatment of the benefits provided with respect to the Award; or</w:t>
      </w:r>
    </w:p>
    <w:p>
      <w:pPr>
        <w:spacing w:after="0" w:line="161"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comply with the requirements of Section 409A IRC or Section 457A IRC and thereby avoid the application of any adverse tax consequences under such Sections.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LEAVER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color w:val="auto"/>
        </w:rPr>
        <w:t>If a Participant becomes a Good Leaver, unless otherwise determined by the Committee or set forth in an Award Agreement:</w:t>
      </w:r>
    </w:p>
    <w:p>
      <w:pPr>
        <w:spacing w:after="0" w:line="229" w:lineRule="exact"/>
        <w:rPr>
          <w:sz w:val="20"/>
          <w:szCs w:val="20"/>
          <w:color w:val="auto"/>
        </w:rPr>
      </w:pPr>
    </w:p>
    <w:p>
      <w:pPr>
        <w:ind w:left="1300" w:hanging="644"/>
        <w:spacing w:after="0" w:line="282" w:lineRule="auto"/>
        <w:tabs>
          <w:tab w:leader="none" w:pos="130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vested Awards that have not yet been exercised or settled must be exercised or settled in accordance with their terms within a period specified by the Committee and, if such Awards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4" w:name="page325"/>
    <w:bookmarkEnd w:id="324"/>
    <w:p>
      <w:pPr>
        <w:ind w:left="660"/>
        <w:spacing w:after="0" w:line="282" w:lineRule="auto"/>
        <w:rPr>
          <w:sz w:val="20"/>
          <w:szCs w:val="20"/>
          <w:color w:val="auto"/>
        </w:rPr>
      </w:pPr>
      <w:r>
        <w:rPr>
          <w:rFonts w:ascii="Times New Roman" w:cs="Times New Roman" w:eastAsia="Times New Roman" w:hAnsi="Times New Roman"/>
          <w:sz w:val="18"/>
          <w:szCs w:val="18"/>
          <w:color w:val="auto"/>
        </w:rPr>
        <w:t>exercised or (through no fault of the Participant concerned) not settled within such period, they shall be cancelled automatically without compensation for the loss of such Awards; and</w:t>
      </w:r>
    </w:p>
    <w:p>
      <w:pPr>
        <w:spacing w:after="0" w:line="162" w:lineRule="exact"/>
        <w:rPr>
          <w:sz w:val="20"/>
          <w:szCs w:val="20"/>
          <w:color w:val="auto"/>
        </w:rPr>
      </w:pPr>
    </w:p>
    <w:p>
      <w:pPr>
        <w:ind w:left="1300" w:hanging="644"/>
        <w:spacing w:after="0" w:line="282" w:lineRule="auto"/>
        <w:tabs>
          <w:tab w:leader="none" w:pos="130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unvested Awards of such Participant shall be cancelled automatically without compensation for the loss of such Awards, unless the Committee decides otherwise.</w:t>
      </w:r>
    </w:p>
    <w:p>
      <w:pPr>
        <w:spacing w:after="0" w:line="158" w:lineRule="exact"/>
        <w:rPr>
          <w:sz w:val="20"/>
          <w:szCs w:val="20"/>
          <w:color w:val="auto"/>
        </w:rPr>
      </w:pP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8"/>
          <w:szCs w:val="18"/>
          <w:color w:val="auto"/>
        </w:rPr>
        <w:t>If a Participant becomes a Bad Leaver, all vested Awards of such Participant which have not been exercised or settled, as well as all unvested Awards of such Participant, shall be cancelled automatically without compensation for the loss of such Awards.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color w:val="auto"/>
        </w:rPr>
        <w:t>If a Participant terminates employment with the Company due to their Retirement:</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unvested Awards of such Participant shall become vested pro rata based on the portion of the applicable vesting schedule completed through the date of the Participant’s Retirement (for example, if an Award’s 12 month vesting schedule completes as of December 31 and the date of the Participant’s Retirement is October 31, then 10/12 of the Award would vest). Upon the date of their Retirement, the Participant shall be entitled to exercise any vested Options and SARs, receive delivery of any Plan Shares underlying vested Awards, and enjoy all other rights and benefits associated with the vested Awards as specified in the Plan or in the applicable Award Agreement.</w:t>
      </w:r>
    </w:p>
    <w:p>
      <w:pPr>
        <w:spacing w:after="0" w:line="187" w:lineRule="exact"/>
        <w:rPr>
          <w:rFonts w:ascii="Times New Roman" w:cs="Times New Roman" w:eastAsia="Times New Roman" w:hAnsi="Times New Roman"/>
          <w:sz w:val="18"/>
          <w:szCs w:val="18"/>
          <w:b w:val="1"/>
          <w:bCs w:val="1"/>
          <w:color w:val="auto"/>
        </w:rPr>
      </w:pPr>
    </w:p>
    <w:p>
      <w:pPr>
        <w:jc w:val="both"/>
        <w:ind w:left="1300" w:hanging="644"/>
        <w:spacing w:after="0" w:line="258" w:lineRule="auto"/>
        <w:tabs>
          <w:tab w:leader="none" w:pos="130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sole discretion of the Committee, all unvested Awards of a Participant shall automatically accelerate and become fully vested (and, with respect to Options and SARs, the time when such Awards may be exercised) as of the date of the Participant’s Retirement. Upon the date of their Retirement, such Participant shall be entitled to exercise any Options and SARs, receive delivery of any Plan Shares underlying vested Awards, and enjoy all other rights and benefits associated with the vested Awards as specified in the Plan or in the applicable Award Agreement.</w:t>
      </w:r>
    </w:p>
    <w:p>
      <w:pPr>
        <w:spacing w:after="0" w:line="183" w:lineRule="exact"/>
        <w:rPr>
          <w:rFonts w:ascii="Times New Roman" w:cs="Times New Roman" w:eastAsia="Times New Roman" w:hAnsi="Times New Roman"/>
          <w:sz w:val="18"/>
          <w:szCs w:val="18"/>
          <w:b w:val="1"/>
          <w:bCs w:val="1"/>
          <w:color w:val="auto"/>
        </w:rPr>
      </w:pPr>
    </w:p>
    <w:p>
      <w:pPr>
        <w:jc w:val="both"/>
        <w:ind w:left="1300" w:right="20" w:hanging="644"/>
        <w:spacing w:after="0" w:line="261" w:lineRule="auto"/>
        <w:tabs>
          <w:tab w:leader="none" w:pos="130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date of the Participant’s Retirement, the Company will assess (i) the Participant’s Insider status and (ii) whether the Participant is aware of material non-public information (in each case, pursuant to the Company’s Insider Trading Policy) and, if applicable under the Company’s Insider Trading Policy, a waiting cooling period for 90 days may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8"/>
          <w:szCs w:val="18"/>
          <w:color w:val="auto"/>
        </w:rPr>
        <w:t>If long-term incentive awards are granted in assumption of, or in substitution or exchange for, outstanding Awards in connection with a Change of Control and the Committee has determined that such awards are sufficiently equivalent to the outstanding Awards concerned, then such outstanding Awards shall be cancelled and terminated upon the replacement awards being granted to the Participants concerned.</w:t>
      </w:r>
    </w:p>
    <w:p>
      <w:pPr>
        <w:spacing w:after="0" w:line="180"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8"/>
          <w:szCs w:val="18"/>
          <w:color w:val="auto"/>
        </w:rPr>
        <w:t>If, in connection with a Change of Control, outstanding Awards are not replaced by long-term incentive awards as described in Article 12.1, or are replaced by long-term incentive awards which the Committee does not consider to be sufficiently equivalent to such outstanding Awards, then such Awards shall immediately vest and, where relevant, settle in full, unless the Committee decides otherwise.</w:t>
      </w:r>
    </w:p>
    <w:p>
      <w:pPr>
        <w:spacing w:after="0" w:line="180"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8"/>
          <w:szCs w:val="18"/>
          <w:color w:val="auto"/>
        </w:rPr>
        <w:t>For purposes of this Article 12, awards shall not be considered to be “sufficiently equivalent” to outstanding Awards, if the underlying securities are not widely held and publicly traded on a regulated national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jc w:val="both"/>
        <w:ind w:left="640" w:hanging="634"/>
        <w:spacing w:after="0" w:line="25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8"/>
          <w:szCs w:val="18"/>
          <w:color w:val="auto"/>
        </w:rPr>
        <w:t>In connection with any registration of the Company’s securities, to the extent requested by the Company or the underwriters managing any public offering of the Company’s securities, and except (a) as otherwise approved by the Committee, or (b) pursuant to any exceptions approved by the underwriters, Shares acquired by a Participant pursuant to the issuance, vesting, exercise, or settlement of any Award granted under the Plan may not be sold, transferred, or otherwise disposed of prior to such period following the effective date of such registration as designated by the underwriters, not to exceed 180 days following such registration.</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8"/>
          <w:szCs w:val="18"/>
          <w:color w:val="auto"/>
        </w:rPr>
        <w:t>The Company may impose stop-transfer instructions with respect to the Shares subject to the restriction stipulated by Article</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13.1 until the end of the lock-up period referred to in that provision.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225"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8"/>
          <w:szCs w:val="18"/>
          <w:color w:val="auto"/>
        </w:rPr>
        <w:t>The Company may process personal data relating to the Participants in connection with the administration and operation of this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26" w:name="page327"/>
    <w:bookmarkEnd w:id="326"/>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personal data of the Participants which may be processed in this respect may include a copy of an identification document, contact details and bank and securities account numbers. Each Participant’s personal data shall be stored by the Company for such time period as is necessary to administer such Participant’s participation in the Plan or as otherwise permitted under applicable law.</w:t>
      </w:r>
    </w:p>
    <w:p>
      <w:pPr>
        <w:spacing w:after="0" w:line="176"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8"/>
          <w:szCs w:val="18"/>
          <w:color w:val="auto"/>
        </w:rPr>
        <w:t>Each Participant’s personal data shall be handled by the Company in a proper and careful manner in accordance with applicable law, including the General Data Protection Regulation (GDPR) and the rules and regulations promulgated pursuant thereto. Participants have the right to lodge complaints with an applicable supervisory authority regarding the Company’s processing of personal data pursuant to this Plan.</w:t>
      </w:r>
    </w:p>
    <w:p>
      <w:pPr>
        <w:spacing w:after="0" w:line="180"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8"/>
          <w:szCs w:val="18"/>
          <w:color w:val="auto"/>
        </w:rPr>
        <w:t>The Company shall implement technical and organisational measures designed to protect personal data processed pursuant to Article 14.1. Personnel or third parties that have access to such personal data shall be bound by confidentiality obligations.</w:t>
      </w:r>
    </w:p>
    <w:p>
      <w:pPr>
        <w:spacing w:after="0" w:line="162"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8"/>
          <w:szCs w:val="18"/>
          <w:color w:val="auto"/>
        </w:rPr>
        <w:t>The Company shall abide by any statutory rights the Participants may have regarding their respective personal data processed pursuant to Article 14.1, which includes the right to access, rectification, erasure, restriction of processing, objection to processing and portability of such personal data.</w:t>
      </w:r>
    </w:p>
    <w:p>
      <w:pPr>
        <w:spacing w:after="0" w:line="176"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8"/>
          <w:szCs w:val="18"/>
          <w:color w:val="auto"/>
        </w:rPr>
        <w:t>In connection with the administration and operation of this Plan, the Company may transfer personal data processed pursuant to Article 14.1 to one or more third parties, provided that there is a legitimate interest in doing so. Where such third parties are located outside the European Economic Area in countries that are not considered to provide for an adequate level of data protection, the Company shall ensure that sufficient data protection safeguards are put in place, failing which explicit consent for such transfer shall be obtained from the Participant(s) concerned.</w:t>
      </w:r>
    </w:p>
    <w:p>
      <w:pPr>
        <w:spacing w:after="0" w:line="183"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8"/>
          <w:szCs w:val="18"/>
          <w:color w:val="auto"/>
        </w:rPr>
        <w:t>The contact details of the Company’s data protection officer can be found on the Company’s intranet or otherwise can be obtained from the Company’s General Counsel.</w:t>
      </w:r>
    </w:p>
    <w:p>
      <w:pPr>
        <w:spacing w:after="0" w:line="162"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8"/>
          <w:szCs w:val="18"/>
          <w:color w:val="auto"/>
        </w:rPr>
        <w:t>The Company may establish one or more privacy policies providing further information on data protection and applying to the processing of personal data of the Participants by the Company in connection with the administration and operation of this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225"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8"/>
          <w:szCs w:val="18"/>
          <w:color w:val="auto"/>
        </w:rPr>
        <w:t>Except to the extent prohibited by applicable law and unless otherwise expressly provided in an Award Agreement or in this Plan, pursuant to a resolution to that effect, the Supervisory Board may amend, alter, suspend, supplement or terminate this Plan or any portion thereof, provided that no such amendment, alteration, suspension, supplementation or termination shall take effect without:</w:t>
      </w:r>
    </w:p>
    <w:p>
      <w:pPr>
        <w:spacing w:after="0" w:line="184" w:lineRule="exact"/>
        <w:rPr>
          <w:sz w:val="20"/>
          <w:szCs w:val="20"/>
          <w:color w:val="auto"/>
        </w:rPr>
      </w:pPr>
    </w:p>
    <w:p>
      <w:pPr>
        <w:ind w:left="1300" w:hanging="644"/>
        <w:spacing w:after="0"/>
        <w:tabs>
          <w:tab w:leader="none" w:pos="130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General Meeting, if such approval is required by applicable law or stock exchange rules; and/or</w:t>
      </w:r>
    </w:p>
    <w:p>
      <w:pPr>
        <w:spacing w:after="0" w:line="225"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consent of the affected Participant(s), if such action would materially and adversely affect the rights of such Participant(s) under any outstanding Award, except to the extent that any such amendment, supplement or termination is made to cause this Plan to comply with applicable law, stock exchange rules, accounting principles or tax rules and regulations.</w:t>
      </w:r>
    </w:p>
    <w:p>
      <w:pPr>
        <w:spacing w:after="0" w:line="176"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8"/>
          <w:szCs w:val="18"/>
          <w:color w:val="auto"/>
        </w:rPr>
        <w:t>Notwithstanding anything to the contrary in the Plan, the Committee may amend the Plan or any Award Agreement in such manner as may be necessary or desirable to enable the Plan or such Award Agreement to achieve its stated purposes in any jurisdiction in a tax-efficient manner and in compliance with local laws, rules and regulations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 AND JURISDICTION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Plan shall be governed by and shall be construed in accordance with the laws of the Netherlands. Subject to Article 3.1 paragraph g., any dispute arising in connection with these rules shall be submitted to the exclusive jurisdiction of the competent court in Amsterdam, the Netherlands.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4.51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REDACTED</w:t>
      </w:r>
    </w:p>
    <w:p>
      <w:pPr>
        <w:spacing w:after="0" w:line="225" w:lineRule="exact"/>
        <w:rPr>
          <w:sz w:val="20"/>
          <w:szCs w:val="20"/>
          <w:color w:val="auto"/>
        </w:rPr>
      </w:pPr>
    </w:p>
    <w:p>
      <w:pPr>
        <w:jc w:val="center"/>
        <w:ind w:left="1000"/>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indicated by [*****], has been excluded from the exhibit because it is both (i) not material and (ii) the type that the registrant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26"/>
          <w:szCs w:val="26"/>
          <w:b w:val="1"/>
          <w:bCs w:val="1"/>
          <w:color w:val="auto"/>
          <w:vertAlign w:val="superscript"/>
        </w:rPr>
        <w:t>ST</w:t>
      </w:r>
      <w:r>
        <w:rPr>
          <w:rFonts w:ascii="Times New Roman" w:cs="Times New Roman" w:eastAsia="Times New Roman" w:hAnsi="Times New Roman"/>
          <w:sz w:val="18"/>
          <w:szCs w:val="18"/>
          <w:b w:val="1"/>
          <w:bCs w:val="1"/>
          <w:color w:val="auto"/>
        </w:rPr>
        <w:t xml:space="preserve"> AMENDMENT OF THE RESEARCH AND OPTION AGREEMENT</w:t>
      </w:r>
    </w:p>
    <w:p>
      <w:pPr>
        <w:spacing w:after="0" w:line="13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This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Amendment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Research and Option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effective as of 12 January 2023 (the “</w:t>
      </w:r>
      <w:r>
        <w:rPr>
          <w:rFonts w:ascii="Times New Roman" w:cs="Times New Roman" w:eastAsia="Times New Roman" w:hAnsi="Times New Roman"/>
          <w:sz w:val="18"/>
          <w:szCs w:val="18"/>
          <w:b w:val="1"/>
          <w:bCs w:val="1"/>
          <w:color w:val="auto"/>
        </w:rPr>
        <w:t>Effective Amendment Date</w:t>
      </w:r>
      <w:r>
        <w:rPr>
          <w:rFonts w:ascii="Times New Roman" w:cs="Times New Roman" w:eastAsia="Times New Roman" w:hAnsi="Times New Roman"/>
          <w:sz w:val="18"/>
          <w:szCs w:val="18"/>
          <w:color w:val="auto"/>
        </w:rPr>
        <w:t>”) by and between CureVac SE, Friedrich-Miescher-Str. 15, 72076 Tübingen, Germany, and myNEO NV, Ottergemsesteenweg Zuid 808 box 511, 9000 Ghent, Belgium.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entered into a joint research and option agreement in May 2022 under which myNEO identifies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antigen targets that can be used by CureVac to develop and commercialize new medicinal products for the treatment of non-small cell lung cancer, melanoma and potentially other indications.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First Research Milestone has been reached and the Parties now intend to amend the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Research Milestone as well as the order of work packages to be provided by myNeo to CureVac.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to amend the Agreement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specifically provided herein, the definitions as set out in the Agreement shall apply.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Effective Amendment Date, the Parties agree to amend the Agreement as follows: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color w:val="auto"/>
        </w:rPr>
        <w:t>The definition of [*****] in column one (1) of row two (2) of the table provided in Sec. 8.4.1 shall read as follows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ind w:left="660" w:right="2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color w:val="auto"/>
        </w:rPr>
        <w:t>Exhibit 1.71: R&amp;D Plan of the Agreement is replaced by Exhibit 1.71: Amended R&amp;D Plan (December 2022) provided as an attachment to this 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REMAINING PROVISIONS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expressly specified above, all provisions of the Agreement shall remain unchanged and fully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color w:val="auto"/>
        </w:rPr>
        <w:t>This Amendment is executed by the authorized representatives of the Parties as of the Effective Amendment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CUREVAC SE</w:t>
            </w:r>
          </w:p>
        </w:tc>
        <w:tc>
          <w:tcPr>
            <w:tcW w:w="344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myNEO NV</w:t>
            </w:r>
          </w:p>
        </w:tc>
      </w:tr>
      <w:tr>
        <w:trPr>
          <w:trHeight w:val="45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Dr. Franz-Werner Haas</w:t>
            </w:r>
          </w:p>
        </w:tc>
        <w:tc>
          <w:tcPr>
            <w:tcW w:w="19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Name:</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Cedric Bogaert</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CEO</w:t>
            </w:r>
          </w:p>
        </w:tc>
        <w:tc>
          <w:tcPr>
            <w:tcW w:w="19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Title:</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CEO</w:t>
            </w:r>
          </w:p>
        </w:tc>
      </w:tr>
      <w:tr>
        <w:trPr>
          <w:trHeight w:val="6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Antony Blanc, Ph.D.</w:t>
            </w:r>
          </w:p>
        </w:tc>
        <w:tc>
          <w:tcPr>
            <w:tcW w:w="19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Name:</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Jan Van den Berghe</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CBO &amp; CCO</w:t>
            </w:r>
          </w:p>
        </w:tc>
        <w:tc>
          <w:tcPr>
            <w:tcW w:w="19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Title:</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0" w:name="page331"/>
    <w:bookmarkEnd w:id="330"/>
    <w:p>
      <w:pPr>
        <w:jc w:val="center"/>
        <w:spacing w:after="0"/>
        <w:rPr>
          <w:sz w:val="20"/>
          <w:szCs w:val="20"/>
          <w:color w:val="auto"/>
        </w:rPr>
      </w:pPr>
      <w:r>
        <w:rPr>
          <w:rFonts w:ascii="Times New Roman" w:cs="Times New Roman" w:eastAsia="Times New Roman" w:hAnsi="Times New Roman"/>
          <w:sz w:val="18"/>
          <w:szCs w:val="18"/>
          <w:b w:val="1"/>
          <w:bCs w:val="1"/>
          <w:color w:val="auto"/>
        </w:rPr>
        <w:t>Exhibit 1.71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R&amp;D Plan (December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320" w:type="dxa"/>
            <w:vAlign w:val="bottom"/>
            <w:tcBorders>
              <w:top w:val="single" w:sz="8" w:color="auto"/>
              <w:left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3320" w:type="dxa"/>
            <w:vAlign w:val="bottom"/>
            <w:tcBorders>
              <w:left w:val="single" w:sz="8" w:color="auto"/>
              <w:bottom w:val="single" w:sz="8" w:color="auto"/>
              <w:right w:val="single" w:sz="8" w:color="auto"/>
            </w:tcBorders>
          </w:tcPr>
          <w:p>
            <w:pPr>
              <w:jc w:val="right"/>
              <w:ind w:right="2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w:t>
            </w:r>
          </w:p>
        </w:tc>
        <w:tc>
          <w:tcPr>
            <w:tcW w:w="236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right"/>
              <w:ind w:right="2650"/>
              <w:spacing w:after="0"/>
              <w:rPr>
                <w:sz w:val="20"/>
                <w:szCs w:val="20"/>
                <w:color w:val="auto"/>
              </w:rPr>
            </w:pPr>
            <w:r>
              <w:rPr>
                <w:rFonts w:ascii="Times New Roman" w:cs="Times New Roman" w:eastAsia="Times New Roman" w:hAnsi="Times New Roman"/>
                <w:sz w:val="18"/>
                <w:szCs w:val="18"/>
                <w:color w:val="auto"/>
                <w:w w:val="94"/>
              </w:rPr>
              <w:t>[*****]</w:t>
            </w:r>
          </w:p>
        </w:tc>
      </w:tr>
      <w:tr>
        <w:trPr>
          <w:trHeight w:val="209"/>
        </w:trPr>
        <w:tc>
          <w:tcPr>
            <w:tcW w:w="3320" w:type="dxa"/>
            <w:vAlign w:val="bottom"/>
            <w:tcBorders>
              <w:left w:val="single" w:sz="8" w:color="auto"/>
              <w:bottom w:val="single" w:sz="8" w:color="auto"/>
              <w:right w:val="single" w:sz="8" w:color="auto"/>
            </w:tcBorders>
          </w:tcPr>
          <w:p>
            <w:pPr>
              <w:jc w:val="right"/>
              <w:ind w:right="2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w:t>
            </w:r>
          </w:p>
        </w:tc>
        <w:tc>
          <w:tcPr>
            <w:tcW w:w="2360" w:type="dxa"/>
            <w:vAlign w:val="bottom"/>
            <w:tcBorders>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right"/>
              <w:ind w:right="2650"/>
              <w:spacing w:after="0"/>
              <w:rPr>
                <w:sz w:val="20"/>
                <w:szCs w:val="20"/>
                <w:color w:val="auto"/>
              </w:rPr>
            </w:pPr>
            <w:r>
              <w:rPr>
                <w:rFonts w:ascii="Times New Roman" w:cs="Times New Roman" w:eastAsia="Times New Roman" w:hAnsi="Times New Roman"/>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8"/>
          <w:szCs w:val="18"/>
          <w:b w:val="1"/>
          <w:bCs w:val="1"/>
          <w:color w:val="auto"/>
        </w:rPr>
        <w:t>Exhibit 4.52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REDACTED</w:t>
      </w:r>
    </w:p>
    <w:p>
      <w:pPr>
        <w:spacing w:after="0" w:line="225" w:lineRule="exact"/>
        <w:rPr>
          <w:sz w:val="20"/>
          <w:szCs w:val="20"/>
          <w:color w:val="auto"/>
        </w:rPr>
      </w:pPr>
    </w:p>
    <w:p>
      <w:pPr>
        <w:jc w:val="center"/>
        <w:ind w:left="1000"/>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indicated by [*****], has been excluded from the exhibit because it is both (i) not material and (ii) the type that the registrant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2nd Amendment to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DEVELOPMENT AND LICENSE AGREEMENT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effective as of November 9, 2017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CureVac 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Friedrich-Miescher-Straße 15, 72076 Tübingen, Germany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(hereinafter called “CureVac”)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CRISPR Therapeutics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Baarerstrasse 14, 6300 Zug, Switzerland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(hereinafter called “CRISPR”)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CRISPR and CUREVAC entered into the Agreement, as first amended June 22, 2020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CRISPR has decided to stop work under Program 1 and the [*****] Program, and suspended them under the Agreement.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The Parties wish to amend the Agreement, as amended, by adding the [*****] Program, Program 3 and Program 4 (each defined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Parties agreed that:</w:t>
      </w:r>
    </w:p>
    <w:p>
      <w:pPr>
        <w:spacing w:after="0" w:line="22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As of the effective date of signature of this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Amendment, all licenses granted by CureVac to CRISPR for Program 1 and the [*****] Program - which CRISPR suspended under the Agreement - shall terminate, and the Licensed Intellectual Property relating to Program 1 and the [*****] Program shall automatically revert back to CureVac.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color w:val="auto"/>
        </w:rPr>
        <w:t>The Parties consent and mutually agree to further amend the Agreement as follows:</w:t>
      </w:r>
    </w:p>
    <w:p>
      <w:pPr>
        <w:spacing w:after="0" w:line="225" w:lineRule="exact"/>
        <w:rPr>
          <w:sz w:val="20"/>
          <w:szCs w:val="20"/>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Definition of FTE in Section 1.38 shall be amended to read:</w:t>
      </w:r>
    </w:p>
    <w:p>
      <w:pPr>
        <w:spacing w:after="0" w:line="221" w:lineRule="exact"/>
        <w:rPr>
          <w:rFonts w:ascii="Times New Roman" w:cs="Times New Roman" w:eastAsia="Times New Roman" w:hAnsi="Times New Roman"/>
          <w:sz w:val="18"/>
          <w:szCs w:val="18"/>
          <w:b w:val="1"/>
          <w:bCs w:val="1"/>
          <w:color w:val="auto"/>
        </w:rPr>
      </w:pPr>
    </w:p>
    <w:p>
      <w:pPr>
        <w:jc w:val="both"/>
        <w:ind w:left="3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w:t>
      </w:r>
      <w:r>
        <w:rPr>
          <w:rFonts w:ascii="Times New Roman" w:cs="Times New Roman" w:eastAsia="Times New Roman" w:hAnsi="Times New Roman"/>
          <w:sz w:val="18"/>
          <w:szCs w:val="18"/>
          <w:color w:val="auto"/>
        </w:rPr>
        <w:t>” means one employee working full-time for one year, or more than one person working the equivalent of a full-time person, working directly on performing activities under the Development Program, as applicable, where “full-time” is considered [*****] hours for one Calendar Year. No additional payment will be made with respect to any individual who works more than [*****] hours per Calendar Year and any individual who devotes less than [*****] hours per Calendar Year will be treated as an FTE on a pro rata basis based upon the actual number of hours worked divided by [*****].</w:t>
      </w:r>
    </w:p>
    <w:p>
      <w:pPr>
        <w:spacing w:after="0" w:line="18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Definition of FTE Rate in Section 1.40 shall be amended to read:</w:t>
      </w:r>
    </w:p>
    <w:p>
      <w:pPr>
        <w:spacing w:after="0" w:line="221" w:lineRule="exact"/>
        <w:rPr>
          <w:rFonts w:ascii="Times New Roman" w:cs="Times New Roman" w:eastAsia="Times New Roman" w:hAnsi="Times New Roman"/>
          <w:sz w:val="18"/>
          <w:szCs w:val="18"/>
          <w:b w:val="1"/>
          <w:bCs w:val="1"/>
          <w:color w:val="auto"/>
        </w:rPr>
      </w:pPr>
    </w:p>
    <w:p>
      <w:pPr>
        <w:ind w:left="3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 Rate</w:t>
      </w:r>
      <w:r>
        <w:rPr>
          <w:rFonts w:ascii="Times New Roman" w:cs="Times New Roman" w:eastAsia="Times New Roman" w:hAnsi="Times New Roman"/>
          <w:sz w:val="18"/>
          <w:szCs w:val="18"/>
          <w:color w:val="auto"/>
        </w:rPr>
        <w:t>” means [*****]. CureVac may increase the FTE Rate for inflation on an annual basis based upon the percentage increase in the Consumer Price Index for Germany.</w:t>
      </w:r>
    </w:p>
    <w:p>
      <w:pPr>
        <w:spacing w:after="0" w:line="158" w:lineRule="exact"/>
        <w:rPr>
          <w:rFonts w:ascii="Times New Roman" w:cs="Times New Roman" w:eastAsia="Times New Roman" w:hAnsi="Times New Roman"/>
          <w:sz w:val="18"/>
          <w:szCs w:val="18"/>
          <w:b w:val="1"/>
          <w:bCs w:val="1"/>
          <w:color w:val="auto"/>
        </w:rPr>
      </w:pPr>
    </w:p>
    <w:p>
      <w:pPr>
        <w:ind w:left="340" w:right="20" w:hanging="332"/>
        <w:spacing w:after="0" w:line="282" w:lineRule="auto"/>
        <w:tabs>
          <w:tab w:leader="none" w:pos="34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Definition of Program in Section 1.68 shall be amended to read (and account for the suspension of Program 1 and the [*****] Program by CRISPR, which for clarity shall have the effect stipulated in the Agreement):</w:t>
      </w:r>
    </w:p>
    <w:p>
      <w:pPr>
        <w:spacing w:after="0" w:line="157" w:lineRule="exact"/>
        <w:rPr>
          <w:rFonts w:ascii="Times New Roman" w:cs="Times New Roman" w:eastAsia="Times New Roman" w:hAnsi="Times New Roman"/>
          <w:sz w:val="18"/>
          <w:szCs w:val="18"/>
          <w:b w:val="1"/>
          <w:bCs w:val="1"/>
          <w:color w:val="auto"/>
        </w:rPr>
      </w:pPr>
    </w:p>
    <w:p>
      <w:pPr>
        <w:ind w:left="3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18"/>
          <w:szCs w:val="18"/>
          <w:color w:val="auto"/>
        </w:rPr>
        <w:t xml:space="preserve">” means applying the CRISPR System and using a Cas9 mRNA Construct for the following programs: (i) [*****] in accordance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Program</w:t>
      </w:r>
      <w:r>
        <w:rPr>
          <w:rFonts w:ascii="Times New Roman" w:cs="Times New Roman" w:eastAsia="Times New Roman" w:hAnsi="Times New Roman"/>
          <w:sz w:val="18"/>
          <w:szCs w:val="18"/>
          <w:color w:val="auto"/>
        </w:rPr>
        <w:t xml:space="preserve">”), or (ii) [*****] (“[*****] </w:t>
      </w: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18"/>
          <w:szCs w:val="18"/>
          <w:color w:val="auto"/>
        </w:rPr>
        <w:t>”), or (iii) Program 3, or (iv) Program 4.</w:t>
      </w:r>
    </w:p>
    <w:p>
      <w:pPr>
        <w:spacing w:after="0" w:line="158"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Into Section 4, a new subsection 4.5 shall be added:</w:t>
      </w:r>
    </w:p>
    <w:p>
      <w:pPr>
        <w:spacing w:after="0" w:line="225" w:lineRule="exact"/>
        <w:rPr>
          <w:rFonts w:ascii="Times New Roman" w:cs="Times New Roman" w:eastAsia="Times New Roman" w:hAnsi="Times New Roman"/>
          <w:sz w:val="18"/>
          <w:szCs w:val="18"/>
          <w:b w:val="1"/>
          <w:bCs w:val="1"/>
          <w:color w:val="auto"/>
        </w:rPr>
      </w:pPr>
    </w:p>
    <w:p>
      <w:pPr>
        <w:jc w:val="both"/>
        <w:ind w:left="980" w:hanging="324"/>
        <w:spacing w:after="0" w:line="198" w:lineRule="auto"/>
        <w:tabs>
          <w:tab w:leader="none" w:pos="9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Selection. CRISPR shall have [*****] from the signing of this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Amendment for Program 3, and [*****] from the signing of this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Amendment for Program 4 by both Parties to indicate the target gene for Program 3 and Program 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1" w:name="page342"/>
    <w:bookmarkEnd w:id="341"/>
    <w:p>
      <w:pPr>
        <w:ind w:left="972" w:right="20" w:hanging="324"/>
        <w:spacing w:after="0" w:line="282" w:lineRule="auto"/>
        <w:tabs>
          <w:tab w:leader="none" w:pos="972"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Naming Process. CRISPR shall provide CureVac written notice of the target gene for each of Program 3 and Program 4 using the procedures set forth in Section 4.6(c).</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Into Section 4, a new subsection 4.6 shall be added:</w:t>
      </w:r>
    </w:p>
    <w:p>
      <w:pPr>
        <w:spacing w:after="0" w:line="225" w:lineRule="exact"/>
        <w:rPr>
          <w:rFonts w:ascii="Times New Roman" w:cs="Times New Roman" w:eastAsia="Times New Roman" w:hAnsi="Times New Roman"/>
          <w:sz w:val="18"/>
          <w:szCs w:val="18"/>
          <w:b w:val="1"/>
          <w:bCs w:val="1"/>
          <w:color w:val="auto"/>
        </w:rPr>
      </w:pPr>
    </w:p>
    <w:p>
      <w:pPr>
        <w:jc w:val="both"/>
        <w:ind w:left="972" w:hanging="324"/>
        <w:spacing w:after="0" w:line="226" w:lineRule="auto"/>
        <w:tabs>
          <w:tab w:leader="none" w:pos="972"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Program Substitution: During the first [*****] following the signing of this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Amendment by both Parties, CRISPR shall be permitted to substitute an alternative program for the [*****] Program, Program 3 or Program 4, using the procedures set forth in Section 4.6(b) and 4.6(c). The substitution is subject to the substitution fee set forth in Section 4.6(d), and the milestones set forth in Section 5.4(c) of this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Amendment shall not be adjusted for any Program Substitution. For clarity, even if the Program(s) had already achieved milestones, the substitution program would have to pay those milestones again.</w:t>
      </w:r>
    </w:p>
    <w:p>
      <w:pPr>
        <w:spacing w:after="0" w:line="202" w:lineRule="exact"/>
        <w:rPr>
          <w:rFonts w:ascii="Times New Roman" w:cs="Times New Roman" w:eastAsia="Times New Roman" w:hAnsi="Times New Roman"/>
          <w:sz w:val="17"/>
          <w:szCs w:val="17"/>
          <w:color w:val="auto"/>
        </w:rPr>
      </w:pPr>
    </w:p>
    <w:p>
      <w:pPr>
        <w:jc w:val="both"/>
        <w:ind w:left="972" w:hanging="324"/>
        <w:spacing w:after="0" w:line="266" w:lineRule="auto"/>
        <w:tabs>
          <w:tab w:leader="none" w:pos="972"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Substitution Process. CRISPR shall provide CureVac written notice of its request to substitute a target for the [*****] Program, Program 3 or Program 4 using the procedure set forth in Section 4.6(c). Each Program is eligible for up to [*****] substitutions prior to IND submission.</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Selection Process for Program Selection or Program Substitution. CRISPR shall provide CureVac written notice of its request to (1) indicate a target gene for Program 3 or Program 4; or (2) substitute a target for the [*****] Program, Program 3 or Program 4. If CureVac provides CRISPR notice that a proposed target is a Reserved Program, CureVac shall notify CRISPR within [*****] after the date on which CureVac receives notice of the proposed target if such proposed target is a Reserved Program. CureVac shall, if requested by CRISPR in writing, provide CRISPR with such evidence to support that such proposed target is a Reserved Program. If after providing such evidence, CRISPR concludes that such a target is not a Reserved Program, CRISPR will so notify CureVac, CureVac will provide such evidence as CureVac believes is reasonably required to establish that such target is a Reserved Program to an independent attorney or other expert with experience that is relevant to the dispute and reasonably acceptable to both Parties. Such independent expert will review and make a determination in accordance with this Agreement regarding whether such proposed target is a Reserved Program. The independent expert shall promptly notify the Parties of its determination as to whether a proposed target is a Reserved Program, but shall not disclose to CRISPR information provided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342" w:name="page343"/>
    <w:bookmarkEnd w:id="342"/>
    <w:p>
      <w:pPr>
        <w:jc w:val="both"/>
        <w:ind w:left="1292"/>
        <w:spacing w:after="0" w:line="258" w:lineRule="auto"/>
        <w:rPr>
          <w:sz w:val="20"/>
          <w:szCs w:val="20"/>
          <w:color w:val="auto"/>
        </w:rPr>
      </w:pPr>
      <w:r>
        <w:rPr>
          <w:rFonts w:ascii="Times New Roman" w:cs="Times New Roman" w:eastAsia="Times New Roman" w:hAnsi="Times New Roman"/>
          <w:sz w:val="18"/>
          <w:szCs w:val="18"/>
          <w:color w:val="auto"/>
        </w:rPr>
        <w:t>CureVac in connection with such determination. The independent expert’s determination shall be binding on the Parties, absent a manifest error of such expert's determination. If the independent expert determines such proposed target is a Reserved Program, CRISPR shall be permitted to select another target; if the independent expert determines such proposed target is not a Reserved Program, such proposed target shall become the target for the [*****] Program, Program 3 or Program 4.</w:t>
      </w:r>
    </w:p>
    <w:p>
      <w:pPr>
        <w:spacing w:after="0" w:line="183" w:lineRule="exact"/>
        <w:rPr>
          <w:sz w:val="20"/>
          <w:szCs w:val="20"/>
          <w:color w:val="auto"/>
        </w:rPr>
      </w:pPr>
    </w:p>
    <w:p>
      <w:pPr>
        <w:jc w:val="both"/>
        <w:ind w:left="1292" w:hanging="644"/>
        <w:spacing w:after="0" w:line="266" w:lineRule="auto"/>
        <w:tabs>
          <w:tab w:leader="none" w:pos="1292"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Fee. In the event CRISPR chooses to substitute the [*****] Program, Program 3 or Program 4, a Substitution Fee of [*****] is due within [*****] of confirmation of the new target by CureVac, or once the target is confirmed not to be a Reserved Program. For clarity, each substitution event is subject to the Substitution Fee.</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Into Section 4, a new subsection 4.7 shall be added:</w:t>
      </w:r>
    </w:p>
    <w:p>
      <w:pPr>
        <w:spacing w:after="0" w:line="225" w:lineRule="exact"/>
        <w:rPr>
          <w:sz w:val="20"/>
          <w:szCs w:val="20"/>
          <w:color w:val="auto"/>
        </w:rPr>
      </w:pPr>
    </w:p>
    <w:p>
      <w:pPr>
        <w:jc w:val="both"/>
        <w:ind w:left="652"/>
        <w:spacing w:after="0" w:line="224" w:lineRule="auto"/>
        <w:rPr>
          <w:sz w:val="20"/>
          <w:szCs w:val="20"/>
          <w:color w:val="auto"/>
        </w:rPr>
      </w:pPr>
      <w:r>
        <w:rPr>
          <w:rFonts w:ascii="Times New Roman" w:cs="Times New Roman" w:eastAsia="Times New Roman" w:hAnsi="Times New Roman"/>
          <w:sz w:val="18"/>
          <w:szCs w:val="18"/>
          <w:color w:val="auto"/>
        </w:rPr>
        <w:t>Program Addition Fee. The addition of [*****] Program, Program 3 and Program 4 triggers an addition fee of [*****] per added Program and shall be due and payable within [*****] of signing of this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Amendment by both Parties. For clarity, both Parties agreed on the addition of [*****] Program, Program 3, and Program 4 (resulting in [*****] in Program Addition Fee).</w:t>
      </w:r>
    </w:p>
    <w:p>
      <w:pPr>
        <w:spacing w:after="0" w:line="199" w:lineRule="exact"/>
        <w:rPr>
          <w:sz w:val="20"/>
          <w:szCs w:val="20"/>
          <w:color w:val="auto"/>
        </w:rPr>
      </w:pPr>
    </w:p>
    <w:p>
      <w:pPr>
        <w:ind w:left="332" w:hanging="332"/>
        <w:spacing w:after="0"/>
        <w:tabs>
          <w:tab w:leader="none" w:pos="332"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5.4 (c) shall be amended to read as follows:</w:t>
      </w:r>
    </w:p>
    <w:p>
      <w:pPr>
        <w:spacing w:after="0" w:line="225" w:lineRule="exact"/>
        <w:rPr>
          <w:sz w:val="20"/>
          <w:szCs w:val="20"/>
          <w:color w:val="auto"/>
        </w:rPr>
      </w:pPr>
    </w:p>
    <w:p>
      <w:pPr>
        <w:jc w:val="both"/>
        <w:ind w:left="652" w:right="20"/>
        <w:spacing w:after="0" w:line="266" w:lineRule="auto"/>
        <w:rPr>
          <w:sz w:val="20"/>
          <w:szCs w:val="20"/>
          <w:color w:val="auto"/>
        </w:rPr>
      </w:pPr>
      <w:r>
        <w:rPr>
          <w:rFonts w:ascii="Times New Roman" w:cs="Times New Roman" w:eastAsia="Times New Roman" w:hAnsi="Times New Roman"/>
          <w:sz w:val="18"/>
          <w:szCs w:val="18"/>
          <w:color w:val="auto"/>
        </w:rPr>
        <w:t>The first achievement of any of the following milestones by a Licensed Product Developed by or on behalf of CRISPR, any of its Affiliates or any Sublicensee in connection with the [*****] Program, or the [*****] Program, or Program 3, or Program 4, or any Program resulting from a Program Substitution:</w:t>
      </w:r>
    </w:p>
    <w:p>
      <w:pPr>
        <w:spacing w:after="0" w:line="188" w:lineRule="exact"/>
        <w:rPr>
          <w:sz w:val="20"/>
          <w:szCs w:val="20"/>
          <w:color w:val="auto"/>
        </w:rPr>
      </w:pPr>
    </w:p>
    <w:tbl>
      <w:tblPr>
        <w:tblLayout w:type="fixed"/>
        <w:tblInd w:w="662" w:type="dxa"/>
        <w:tblCellMar>
          <w:top w:w="0" w:type="dxa"/>
          <w:left w:w="0" w:type="dxa"/>
          <w:bottom w:w="0" w:type="dxa"/>
          <w:right w:w="0" w:type="dxa"/>
        </w:tblCellMar>
      </w:tblPr>
      <w:tr>
        <w:trPr>
          <w:trHeight w:val="252"/>
        </w:trPr>
        <w:tc>
          <w:tcPr>
            <w:tcW w:w="55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18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Payment</w:t>
            </w:r>
          </w:p>
        </w:tc>
      </w:tr>
      <w:tr>
        <w:trPr>
          <w:trHeight w:val="194"/>
        </w:trPr>
        <w:tc>
          <w:tcPr>
            <w:tcW w:w="5560" w:type="dxa"/>
            <w:vAlign w:val="bottom"/>
            <w:tcBorders>
              <w:left w:val="single" w:sz="8" w:color="auto"/>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spacing w:after="0"/>
              <w:rPr>
                <w:sz w:val="16"/>
                <w:szCs w:val="16"/>
                <w:color w:val="auto"/>
              </w:rPr>
            </w:pPr>
          </w:p>
        </w:tc>
      </w:tr>
      <w:tr>
        <w:trPr>
          <w:trHeight w:val="228"/>
        </w:trPr>
        <w:tc>
          <w:tcPr>
            <w:tcW w:w="5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560" w:type="dxa"/>
            <w:vAlign w:val="bottom"/>
            <w:tcBorders>
              <w:left w:val="single" w:sz="8" w:color="auto"/>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r>
      <w:tr>
        <w:trPr>
          <w:trHeight w:val="228"/>
        </w:trPr>
        <w:tc>
          <w:tcPr>
            <w:tcW w:w="5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560" w:type="dxa"/>
            <w:vAlign w:val="bottom"/>
            <w:tcBorders>
              <w:left w:val="single" w:sz="8" w:color="auto"/>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r>
      <w:tr>
        <w:trPr>
          <w:trHeight w:val="228"/>
        </w:trPr>
        <w:tc>
          <w:tcPr>
            <w:tcW w:w="5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560" w:type="dxa"/>
            <w:vAlign w:val="bottom"/>
            <w:tcBorders>
              <w:left w:val="single" w:sz="8" w:color="auto"/>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r>
      <w:tr>
        <w:trPr>
          <w:trHeight w:val="228"/>
        </w:trPr>
        <w:tc>
          <w:tcPr>
            <w:tcW w:w="5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560" w:type="dxa"/>
            <w:vAlign w:val="bottom"/>
            <w:tcBorders>
              <w:left w:val="single" w:sz="8" w:color="auto"/>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343" w:name="page344"/>
    <w:bookmarkEnd w:id="343"/>
    <w:tbl>
      <w:tblPr>
        <w:tblLayout w:type="fixed"/>
        <w:tblInd w:w="662" w:type="dxa"/>
        <w:tblCellMar>
          <w:top w:w="0" w:type="dxa"/>
          <w:left w:w="0" w:type="dxa"/>
          <w:bottom w:w="0" w:type="dxa"/>
          <w:right w:w="0" w:type="dxa"/>
        </w:tblCellMar>
      </w:tblPr>
      <w:tr>
        <w:trPr>
          <w:trHeight w:val="248"/>
        </w:trPr>
        <w:tc>
          <w:tcPr>
            <w:tcW w:w="5560" w:type="dxa"/>
            <w:vAlign w:val="bottom"/>
            <w:tcBorders>
              <w:top w:val="single" w:sz="8" w:color="auto"/>
              <w:left w:val="single" w:sz="8" w:color="auto"/>
              <w:right w:val="single" w:sz="8" w:color="auto"/>
            </w:tcBorders>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right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560" w:type="dxa"/>
            <w:vAlign w:val="bottom"/>
            <w:tcBorders>
              <w:left w:val="single" w:sz="8" w:color="auto"/>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r>
      <w:tr>
        <w:trPr>
          <w:trHeight w:val="228"/>
        </w:trPr>
        <w:tc>
          <w:tcPr>
            <w:tcW w:w="5560" w:type="dxa"/>
            <w:vAlign w:val="bottom"/>
            <w:tcBorders>
              <w:left w:val="single" w:sz="8" w:color="auto"/>
              <w:right w:val="single" w:sz="8" w:color="auto"/>
            </w:tcBorders>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560" w:type="dxa"/>
            <w:vAlign w:val="bottom"/>
            <w:tcBorders>
              <w:left w:val="single" w:sz="8" w:color="auto"/>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r>
      <w:tr>
        <w:trPr>
          <w:trHeight w:val="228"/>
        </w:trPr>
        <w:tc>
          <w:tcPr>
            <w:tcW w:w="5560" w:type="dxa"/>
            <w:vAlign w:val="bottom"/>
            <w:tcBorders>
              <w:left w:val="single" w:sz="8" w:color="auto"/>
              <w:right w:val="single" w:sz="8" w:color="auto"/>
            </w:tcBorders>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560" w:type="dxa"/>
            <w:vAlign w:val="bottom"/>
            <w:tcBorders>
              <w:left w:val="single" w:sz="8" w:color="auto"/>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r>
      <w:tr>
        <w:trPr>
          <w:trHeight w:val="228"/>
        </w:trPr>
        <w:tc>
          <w:tcPr>
            <w:tcW w:w="5560" w:type="dxa"/>
            <w:vAlign w:val="bottom"/>
            <w:tcBorders>
              <w:left w:val="single" w:sz="8" w:color="auto"/>
              <w:right w:val="single" w:sz="8" w:color="auto"/>
            </w:tcBorders>
          </w:tcPr>
          <w:p>
            <w:pPr>
              <w:jc w:val="right"/>
              <w:ind w:right="48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560" w:type="dxa"/>
            <w:vAlign w:val="bottom"/>
            <w:tcBorders>
              <w:left w:val="single" w:sz="8" w:color="auto"/>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r>
    </w:tbl>
    <w:p>
      <w:pPr>
        <w:spacing w:after="0" w:line="198" w:lineRule="exact"/>
        <w:rPr>
          <w:sz w:val="20"/>
          <w:szCs w:val="20"/>
          <w:color w:val="auto"/>
        </w:rPr>
      </w:pPr>
    </w:p>
    <w:p>
      <w:pPr>
        <w:ind w:left="332" w:hanging="332"/>
        <w:spacing w:after="0" w:line="213" w:lineRule="auto"/>
        <w:tabs>
          <w:tab w:leader="none" w:pos="332"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Article 6 “Confidentiality”, the following shall be deleted at the end of Section 6.1 of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Amendment to the Development and License Agreement effective as of June 22, 2020:</w:t>
      </w:r>
    </w:p>
    <w:p>
      <w:pPr>
        <w:spacing w:after="0" w:line="199"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For the purposes of this Article 6 and its Sections 6.1-6.5 and 6.7, Casebia may be a Receiving Party or a Disclosing Party, as the case may be, to allow exchange of Confidential Information amongst CureVac, CRISPR and Casebia.</w:t>
      </w:r>
    </w:p>
    <w:p>
      <w:pPr>
        <w:spacing w:after="0" w:line="162" w:lineRule="exact"/>
        <w:rPr>
          <w:sz w:val="20"/>
          <w:szCs w:val="20"/>
          <w:color w:val="auto"/>
        </w:rPr>
      </w:pPr>
    </w:p>
    <w:p>
      <w:pPr>
        <w:ind w:left="332" w:hanging="332"/>
        <w:spacing w:after="0" w:line="282" w:lineRule="auto"/>
        <w:tabs>
          <w:tab w:leader="none" w:pos="332"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Article 15.2 “Notices” CureVac´s address shall be changed at the end of Section 15.2 of the 1st Amendment to the Development and License Agreement effective as of June 22, 2020 to:</w:t>
      </w:r>
    </w:p>
    <w:p>
      <w:pPr>
        <w:spacing w:after="0" w:line="16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CureVac SE</w:t>
      </w:r>
    </w:p>
    <w:p>
      <w:pPr>
        <w:spacing w:after="0" w:line="2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Friedrich-Miescher-Str. 15</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72076 Tübingen</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Attention: CEO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349" w:right="1019" w:bottom="1440" w:gutter="0" w:footer="0" w:header="0"/>
        </w:sectPr>
      </w:pPr>
    </w:p>
    <w:bookmarkStart w:id="344" w:name="page345"/>
    <w:bookmarkEnd w:id="344"/>
    <w:p>
      <w:pPr>
        <w:jc w:val="both"/>
        <w:ind w:left="340" w:hanging="332"/>
        <w:spacing w:after="0" w:line="198" w:lineRule="auto"/>
        <w:tabs>
          <w:tab w:leader="none" w:pos="34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Amendment shall enter into force upon signature by both Parties. The remaining terms and conditions of the Agreement shall apply and remain in full force and effect. Capitalized terms used in this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Amendment shall have the same meaning as defined in the Agreement.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CUREVAC SE</w:t>
            </w: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CRISPR Therapeutics AG</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jc w:val="right"/>
              <w:ind w:right="3610"/>
              <w:spacing w:after="0"/>
              <w:rPr>
                <w:sz w:val="20"/>
                <w:szCs w:val="20"/>
                <w:color w:val="auto"/>
              </w:rPr>
            </w:pPr>
            <w:r>
              <w:rPr>
                <w:rFonts w:ascii="Times New Roman" w:cs="Times New Roman" w:eastAsia="Times New Roman" w:hAnsi="Times New Roman"/>
                <w:sz w:val="18"/>
                <w:szCs w:val="18"/>
                <w:color w:val="auto"/>
                <w:w w:val="98"/>
              </w:rPr>
              <w:t>[*****]</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spacing w:after="0"/>
              <w:rPr>
                <w:sz w:val="16"/>
                <w:szCs w:val="16"/>
                <w:color w:val="auto"/>
              </w:rPr>
            </w:pPr>
          </w:p>
        </w:tc>
        <w:tc>
          <w:tcPr>
            <w:tcW w:w="8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spacing w:after="0"/>
              <w:rPr>
                <w:sz w:val="18"/>
                <w:szCs w:val="18"/>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Senior Accounting Manager</w:t>
            </w:r>
          </w:p>
        </w:tc>
      </w:tr>
      <w:tr>
        <w:trPr>
          <w:trHeight w:val="234"/>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27-Oct-2023</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jc w:val="right"/>
              <w:ind w:right="3610"/>
              <w:spacing w:after="0"/>
              <w:rPr>
                <w:sz w:val="20"/>
                <w:szCs w:val="20"/>
                <w:color w:val="auto"/>
              </w:rPr>
            </w:pPr>
            <w:r>
              <w:rPr>
                <w:rFonts w:ascii="Times New Roman" w:cs="Times New Roman" w:eastAsia="Times New Roman" w:hAnsi="Times New Roman"/>
                <w:sz w:val="18"/>
                <w:szCs w:val="18"/>
                <w:color w:val="auto"/>
                <w:w w:val="98"/>
              </w:rPr>
              <w:t>[*****]</w:t>
            </w: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spacing w:after="0"/>
              <w:rPr>
                <w:sz w:val="16"/>
                <w:szCs w:val="16"/>
                <w:color w:val="auto"/>
              </w:rPr>
            </w:pPr>
          </w:p>
        </w:tc>
        <w:tc>
          <w:tcPr>
            <w:tcW w:w="506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spacing w:after="0"/>
              <w:rPr>
                <w:sz w:val="18"/>
                <w:szCs w:val="18"/>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26-Oct-2003</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5" w:name="page346"/>
    <w:bookmarkEnd w:id="345"/>
    <w:p>
      <w:pPr>
        <w:ind w:left="9000"/>
        <w:spacing w:after="0"/>
        <w:rPr>
          <w:sz w:val="20"/>
          <w:szCs w:val="20"/>
          <w:color w:val="auto"/>
        </w:rPr>
      </w:pPr>
      <w:r>
        <w:rPr>
          <w:rFonts w:ascii="Times New Roman" w:cs="Times New Roman" w:eastAsia="Times New Roman" w:hAnsi="Times New Roman"/>
          <w:sz w:val="17"/>
          <w:szCs w:val="17"/>
          <w:b w:val="1"/>
          <w:bCs w:val="1"/>
          <w:color w:val="auto"/>
        </w:rPr>
        <w:t>Exhibit 4.53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REDACTED</w:t>
      </w:r>
    </w:p>
    <w:p>
      <w:pPr>
        <w:spacing w:after="0" w:line="22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7"/>
          <w:szCs w:val="17"/>
          <w:b w:val="1"/>
          <w:bCs w:val="1"/>
          <w:color w:val="auto"/>
        </w:rPr>
        <w:t>Certain identified information, indicated by [*****], has been excluded from the exhibit because it is both (i) not material and (ii) the type that the registrant treats as private or confidential.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Four to Development and Option Agreement</w:t>
      </w:r>
    </w:p>
    <w:p>
      <w:pPr>
        <w:spacing w:after="0" w:line="229" w:lineRule="exact"/>
        <w:rPr>
          <w:sz w:val="20"/>
          <w:szCs w:val="20"/>
          <w:color w:val="auto"/>
        </w:rPr>
      </w:pPr>
    </w:p>
    <w:p>
      <w:pPr>
        <w:jc w:val="both"/>
        <w:ind w:left="20" w:hanging="8"/>
        <w:spacing w:after="0" w:line="255" w:lineRule="auto"/>
        <w:rPr>
          <w:sz w:val="20"/>
          <w:szCs w:val="20"/>
          <w:color w:val="auto"/>
        </w:rPr>
      </w:pPr>
      <w:r>
        <w:rPr>
          <w:rFonts w:ascii="Times New Roman" w:cs="Times New Roman" w:eastAsia="Times New Roman" w:hAnsi="Times New Roman"/>
          <w:sz w:val="18"/>
          <w:szCs w:val="18"/>
          <w:color w:val="auto"/>
        </w:rPr>
        <w:t>This Amendment Four to the Development and Option Agreement (this "Amendment"), dated as of February 13, 2024 (the "Amendment Four Effective Date"), is made by and between CureVac SE, a German stock corporation with offices at Friedrich-Miescher-Strasse 15, 72076 Tübingen, Germany ("CureVac"), and Acuitas Therapeutics Inc., a British Columbia corporation with offices at 6190 Agronomy Road, Suite 405, Vancouver, British Columbia, V6T 1Z3, Canada ("Acuitas") and amends the Development and Option Agreement dated April 29, 2016, as amended by Side Agreement and Amendment Number One dated December 1, 2016, Amendment Two to the Development and Option Agreement dated July 10, 2020, and Amendment Three dated December 24, 2020 by and between CureVac and Acuitas (collectively as amended, the “D&amp;O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CureVac and Acuitas may be referred to herein as a "Party" or together as the "Parties."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left="20" w:hanging="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Acuitas and CureVac entered into the D&amp;O Agreement to provide for CureVac’s evaluation of, and option to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Acuitas LNP Technology for the research, development, manufacture and/or commercialization of products incorporating Acuitas LNP Technology and CureVac Technology;</w:t>
      </w:r>
    </w:p>
    <w:p>
      <w:pPr>
        <w:spacing w:after="0" w:line="171" w:lineRule="exact"/>
        <w:rPr>
          <w:sz w:val="20"/>
          <w:szCs w:val="20"/>
          <w:color w:val="auto"/>
        </w:rPr>
      </w:pPr>
    </w:p>
    <w:p>
      <w:pPr>
        <w:jc w:val="both"/>
        <w:ind w:left="20" w:hanging="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Acuitas and CureVac desire to amend the D&amp;O Agreement to provide for CureVac’s evaluation of, and option to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Acuitas LNP Technology for Personalized Cancer Vaccine (PCV) Products (as defined below).</w:t>
      </w:r>
    </w:p>
    <w:p>
      <w:pPr>
        <w:spacing w:after="0" w:line="155" w:lineRule="exact"/>
        <w:rPr>
          <w:sz w:val="20"/>
          <w:szCs w:val="20"/>
          <w:color w:val="auto"/>
        </w:rPr>
      </w:pPr>
    </w:p>
    <w:p>
      <w:pPr>
        <w:jc w:val="both"/>
        <w:ind w:left="20" w:hanging="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representations contained herein,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amount and sufficiency of which are hereby acknowledged, the Parties hereby agree as follows:</w:t>
      </w:r>
    </w:p>
    <w:p>
      <w:pPr>
        <w:spacing w:after="0" w:line="155" w:lineRule="exact"/>
        <w:rPr>
          <w:sz w:val="20"/>
          <w:szCs w:val="20"/>
          <w:color w:val="auto"/>
        </w:rPr>
      </w:pP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Defined Terms</w:t>
      </w:r>
      <w:r>
        <w:rPr>
          <w:rFonts w:ascii="Times New Roman" w:cs="Times New Roman" w:eastAsia="Times New Roman" w:hAnsi="Times New Roman"/>
          <w:sz w:val="18"/>
          <w:szCs w:val="18"/>
          <w:color w:val="auto"/>
        </w:rPr>
        <w:t>. Capitalized terms not otherwise defined herein will have the definitions set forth in the D&amp;O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Defined Terms. </w:t>
      </w:r>
      <w:r>
        <w:rPr>
          <w:rFonts w:ascii="Times New Roman" w:cs="Times New Roman" w:eastAsia="Times New Roman" w:hAnsi="Times New Roman"/>
          <w:sz w:val="18"/>
          <w:szCs w:val="18"/>
          <w:color w:val="auto"/>
        </w:rPr>
        <w:t>The following defined terms will be added to the D&amp;O Agreement and Exhibit 1.54 (Form of Non-Exclusive License) of the D&amp;O Agreement.</w:t>
      </w:r>
    </w:p>
    <w:p>
      <w:pPr>
        <w:spacing w:after="0" w:line="154"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“Licensed Service” </w:t>
      </w:r>
      <w:r>
        <w:rPr>
          <w:rFonts w:ascii="Times New Roman" w:cs="Times New Roman" w:eastAsia="Times New Roman" w:hAnsi="Times New Roman"/>
          <w:sz w:val="18"/>
          <w:szCs w:val="18"/>
          <w:color w:val="auto"/>
        </w:rPr>
        <w:t>means a service, pursuant to which a Personalized Cancer Vaccine (PCV) Product is prepared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specific Third Party to whom CureVac, its Affiliates and its Sublicensees sells such Personalized Cancer Vaccine (PCV) Product for such Third Party’s use in the Field of Use.</w:t>
      </w:r>
    </w:p>
    <w:p>
      <w:pPr>
        <w:spacing w:after="0" w:line="170" w:lineRule="exact"/>
        <w:rPr>
          <w:rFonts w:ascii="Times New Roman" w:cs="Times New Roman" w:eastAsia="Times New Roman" w:hAnsi="Times New Roman"/>
          <w:sz w:val="18"/>
          <w:szCs w:val="18"/>
          <w:color w:val="auto"/>
        </w:rPr>
      </w:pPr>
    </w:p>
    <w:p>
      <w:pPr>
        <w:jc w:val="both"/>
        <w:ind w:left="1300" w:hanging="320"/>
        <w:spacing w:after="0" w:line="259" w:lineRule="auto"/>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“Personalized Cancer Vaccine (PCV) Product” </w:t>
      </w:r>
      <w:r>
        <w:rPr>
          <w:rFonts w:ascii="Times New Roman" w:cs="Times New Roman" w:eastAsia="Times New Roman" w:hAnsi="Times New Roman"/>
          <w:sz w:val="18"/>
          <w:szCs w:val="18"/>
          <w:color w:val="auto"/>
        </w:rPr>
        <w:t>means any product manufactured on a patient-by-patient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comprising Lipid Nanoparticles (LNP(s)) containing [*****] mRNA Constructs encoding at least [*****] PTA, where such a product utilizes or incorporates any Acuitas LNP Technology. For clarity, (i) any additional strengths, pharmaceutical forms, administration routes, presentations, indications or variations/extensions for or to a Personalized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607695</wp:posOffset>
            </wp:positionV>
            <wp:extent cx="629221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46" w:name="page347"/>
    <w:bookmarkEnd w:id="346"/>
    <w:p>
      <w:pPr>
        <w:jc w:val="both"/>
        <w:ind w:left="968" w:firstLine="11"/>
        <w:spacing w:after="0" w:line="258" w:lineRule="auto"/>
        <w:rPr>
          <w:sz w:val="20"/>
          <w:szCs w:val="20"/>
          <w:color w:val="auto"/>
        </w:rPr>
      </w:pPr>
      <w:r>
        <w:rPr>
          <w:rFonts w:ascii="Times New Roman" w:cs="Times New Roman" w:eastAsia="Times New Roman" w:hAnsi="Times New Roman"/>
          <w:sz w:val="18"/>
          <w:szCs w:val="18"/>
          <w:color w:val="auto"/>
        </w:rPr>
        <w:t>Vaccine (PCV) Product under clinical development or subject to a regulatory approval shall be considered as being the same Personalized Cancer Vaccine (PCV) Product; and (ii) different products manufactured on a patient-by-patient basis encoding different PTAs according to the same process and directly resulting from a Personalized Cancer Vaccine (PCV) Product, which are under the same regulatory approval in the relevant jurisdiction, shall be considered the same Personalized Cancer Vaccine (PCV) Product.</w:t>
      </w:r>
    </w:p>
    <w:p>
      <w:pPr>
        <w:spacing w:after="0" w:line="179" w:lineRule="exact"/>
        <w:rPr>
          <w:sz w:val="20"/>
          <w:szCs w:val="20"/>
          <w:color w:val="auto"/>
        </w:rPr>
      </w:pPr>
    </w:p>
    <w:p>
      <w:pPr>
        <w:ind w:left="968" w:right="20" w:hanging="320"/>
        <w:spacing w:after="0" w:line="286" w:lineRule="auto"/>
        <w:tabs>
          <w:tab w:leader="none" w:pos="96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“Personalized Tumor Antigen (PTA)” </w:t>
      </w:r>
      <w:r>
        <w:rPr>
          <w:rFonts w:ascii="Times New Roman" w:cs="Times New Roman" w:eastAsia="Times New Roman" w:hAnsi="Times New Roman"/>
          <w:sz w:val="18"/>
          <w:szCs w:val="18"/>
          <w:color w:val="auto"/>
        </w:rPr>
        <w:t>means any polypeptide(s) that are expressed in a tumor cell in an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of D&amp;O Agreement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Licensed Product in the D&amp;O Agreement is hereby removed and replaced with this text:</w:t>
      </w:r>
    </w:p>
    <w:p>
      <w:pPr>
        <w:spacing w:after="0" w:line="221" w:lineRule="exact"/>
        <w:rPr>
          <w:rFonts w:ascii="Times New Roman" w:cs="Times New Roman" w:eastAsia="Times New Roman" w:hAnsi="Times New Roman"/>
          <w:sz w:val="18"/>
          <w:szCs w:val="18"/>
          <w:color w:val="auto"/>
        </w:rPr>
      </w:pPr>
    </w:p>
    <w:p>
      <w:pPr>
        <w:jc w:val="both"/>
        <w:ind w:left="968" w:hanging="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“Licensed Product” </w:t>
      </w:r>
      <w:r>
        <w:rPr>
          <w:rFonts w:ascii="Times New Roman" w:cs="Times New Roman" w:eastAsia="Times New Roman" w:hAnsi="Times New Roman"/>
          <w:sz w:val="18"/>
          <w:szCs w:val="18"/>
          <w:color w:val="auto"/>
        </w:rPr>
        <w:t>means (i) [*****] product comprised of Lipid Nanoparticles (LNP) containing [*****] mRNA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Constructs intended [*****] Target where the Target is selected from the Targets available to CureVac on the Reserved Target List and where such product is derived from, is based on, or utilizes any Acuitas LNP Technology; (ii) [*****] Licensed Vaccine Product; and/or (iii) [*****] Personalized Cancer Vaccine (PCV) Product. If a given protein, e.g. an antibody comprises separate amino acid chains, or a given Vaccine comprises multiple antigens or antibodies, which may be delivered as separate mRNA Constructs (combined in one LNP or delivered in separate LNPs), such product would be considered as one Licensed Product. For the avoidance of doubt, the term Licensed Product in respect of a given Target encompasses all variants of such Target, including wild types, naturally occurring variants, engineered variants wherein modifications to the native amino acid sequence have been made (for example, mutated versions, derivatives or fragments) and species homologs or orthologs thereof, provided, however, that any such naturally occurring variant, engineered variant or species homolog or ortholog possesses [*****] to such Target(s) (for example [*****]).</w:t>
      </w:r>
    </w:p>
    <w:p>
      <w:pPr>
        <w:spacing w:after="0" w:line="193"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Licensed Product in Exhibit 1.54 (Form of Non-Exclusive License) of the D&amp;O Agreement is hereby removed and replaced with this text:</w:t>
      </w:r>
    </w:p>
    <w:p>
      <w:pPr>
        <w:spacing w:after="0" w:line="157" w:lineRule="exact"/>
        <w:rPr>
          <w:rFonts w:ascii="Times New Roman" w:cs="Times New Roman" w:eastAsia="Times New Roman" w:hAnsi="Times New Roman"/>
          <w:sz w:val="18"/>
          <w:szCs w:val="18"/>
          <w:color w:val="auto"/>
        </w:rPr>
      </w:pPr>
    </w:p>
    <w:p>
      <w:pPr>
        <w:jc w:val="both"/>
        <w:ind w:left="968" w:hanging="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means: (i) [*****] product comprised of Lipid Nanoparticles (LNP) containing [*****] mRNA Constructs intended to express the Target and where such product is derived from, is based on, or utilizes any Acuitas LNP Technology; (ii) [*****] Licensed Vaccine Product; and/or (iii) [*****] Personalized Cancer Vaccine (PCV) Product. If a given protein, e.g., an antibody comprises separated amino acid-chains, or a given Vaccine comprises multiple antigens or antibodies, which might be delivered as separated mRNA Constructs (combined in one LNP or delivered in separated LNPs), such product would be considered as one Licensed Product For the avoidance of doubt, the term “Licensed Product”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610235</wp:posOffset>
            </wp:positionV>
            <wp:extent cx="629221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21" w:right="999" w:bottom="1440" w:gutter="0" w:footer="0" w:header="0"/>
        </w:sectPr>
      </w:pPr>
    </w:p>
    <w:bookmarkStart w:id="347" w:name="page348"/>
    <w:bookmarkEnd w:id="347"/>
    <w:p>
      <w:pPr>
        <w:jc w:val="both"/>
        <w:ind w:left="968" w:hanging="8"/>
        <w:spacing w:after="0" w:line="258" w:lineRule="auto"/>
        <w:rPr>
          <w:sz w:val="20"/>
          <w:szCs w:val="20"/>
          <w:color w:val="auto"/>
        </w:rPr>
      </w:pPr>
      <w:r>
        <w:rPr>
          <w:rFonts w:ascii="Times New Roman" w:cs="Times New Roman" w:eastAsia="Times New Roman" w:hAnsi="Times New Roman"/>
          <w:sz w:val="18"/>
          <w:szCs w:val="18"/>
          <w:color w:val="auto"/>
        </w:rPr>
        <w:t>respect of the Target encompasses all variants of such Target, including the wild types, naturally occurring variants, engineered variants wherein modifications to the native amino acid sequence have been made (for example, mutated versions, derivatives or fragments) and species homologs and orthologs thereof, provided however that any such naturally occurring variant, engineered variant or species homolog or ortholog possesses [*****] to such Target(s) (for example [*****]), in all cases in accordance with the definition of Target.</w:t>
      </w:r>
    </w:p>
    <w:p>
      <w:pPr>
        <w:spacing w:after="0" w:line="183" w:lineRule="exact"/>
        <w:rPr>
          <w:sz w:val="20"/>
          <w:szCs w:val="20"/>
          <w:color w:val="auto"/>
        </w:rPr>
      </w:pPr>
    </w:p>
    <w:p>
      <w:pPr>
        <w:ind w:left="968" w:hanging="320"/>
        <w:spacing w:after="0"/>
        <w:tabs>
          <w:tab w:leader="none" w:pos="96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of the D&amp;O Agreement is hereby removed and replaced in its entirety with the following amended Section</w:t>
      </w:r>
    </w:p>
    <w:p>
      <w:pPr>
        <w:spacing w:after="0" w:line="27" w:lineRule="exact"/>
        <w:rPr>
          <w:rFonts w:ascii="Times New Roman" w:cs="Times New Roman" w:eastAsia="Times New Roman" w:hAnsi="Times New Roman"/>
          <w:sz w:val="18"/>
          <w:szCs w:val="18"/>
          <w:color w:val="auto"/>
        </w:rPr>
      </w:pPr>
    </w:p>
    <w:p>
      <w:pPr>
        <w:ind w:left="9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02" w:lineRule="exact"/>
        <w:rPr>
          <w:rFonts w:ascii="Times New Roman" w:cs="Times New Roman" w:eastAsia="Times New Roman" w:hAnsi="Times New Roman"/>
          <w:sz w:val="18"/>
          <w:szCs w:val="18"/>
          <w:color w:val="auto"/>
        </w:rPr>
      </w:pPr>
    </w:p>
    <w:p>
      <w:pPr>
        <w:jc w:val="both"/>
        <w:ind w:left="96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CureVac will select the Targets that will be the subject of the work performed as part of the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Reserved Target List. CureVac shall have the right, but not the obligation, to reserve Targets (or replace a Reserved Target with a new Target) in accordance with this Article 4. In the case of Targets for Personalized Cancer Vaccine (PCV) Products, other than Section 4.2(d)(iv), none of the Target Reservation and Target pre-clearance mechanisms according to Sections 4.2 and 4.3 will be applicable.”</w:t>
      </w:r>
    </w:p>
    <w:p>
      <w:pPr>
        <w:spacing w:after="0" w:line="18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 (d) of the D&amp;O Agreement is hereby amended to add the following text:</w:t>
      </w:r>
    </w:p>
    <w:p>
      <w:pPr>
        <w:spacing w:after="0" w:line="225" w:lineRule="exact"/>
        <w:rPr>
          <w:rFonts w:ascii="Times New Roman" w:cs="Times New Roman" w:eastAsia="Times New Roman" w:hAnsi="Times New Roman"/>
          <w:sz w:val="18"/>
          <w:szCs w:val="18"/>
          <w:color w:val="auto"/>
        </w:rPr>
      </w:pPr>
    </w:p>
    <w:p>
      <w:pPr>
        <w:jc w:val="both"/>
        <w:ind w:left="96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Personalized Cancer Vaccine (PCV) Products</w:t>
      </w:r>
      <w:r>
        <w:rPr>
          <w:rFonts w:ascii="Times New Roman" w:cs="Times New Roman" w:eastAsia="Times New Roman" w:hAnsi="Times New Roman"/>
          <w:sz w:val="18"/>
          <w:szCs w:val="18"/>
          <w:color w:val="auto"/>
        </w:rPr>
        <w:t>. In the case of Targets for Personalized Cancer Vaccine (PCV) Products, all Targets of all such Personalized Cancer Vaccine (PCV) Products will count as [*****] Reserved Target on the Reserved Target List and will be treated as [*****] Reserved Target for the purposes of Sections 5.1 and 5.2.”</w:t>
      </w:r>
    </w:p>
    <w:p>
      <w:pPr>
        <w:spacing w:after="0" w:line="17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4.4 of the D&amp;O Agreement is hereby amended to add the following text:</w:t>
      </w:r>
    </w:p>
    <w:p>
      <w:pPr>
        <w:spacing w:after="0" w:line="221" w:lineRule="exact"/>
        <w:rPr>
          <w:rFonts w:ascii="Times New Roman" w:cs="Times New Roman" w:eastAsia="Times New Roman" w:hAnsi="Times New Roman"/>
          <w:sz w:val="18"/>
          <w:szCs w:val="18"/>
          <w:color w:val="auto"/>
        </w:rPr>
      </w:pPr>
    </w:p>
    <w:p>
      <w:pPr>
        <w:ind w:left="96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Personalized Cancer Vaccine (PCV) Products</w:t>
      </w:r>
      <w:r>
        <w:rPr>
          <w:rFonts w:ascii="Times New Roman" w:cs="Times New Roman" w:eastAsia="Times New Roman" w:hAnsi="Times New Roman"/>
          <w:sz w:val="18"/>
          <w:szCs w:val="18"/>
          <w:color w:val="auto"/>
        </w:rPr>
        <w:t>. In the case of Targets for Personalized Cancer Vaccine (PCV) Products, no Target Reservation or Target Reservation Maintenance Fees will be payable by CureVac to Acuitas.”</w:t>
      </w:r>
    </w:p>
    <w:p>
      <w:pPr>
        <w:spacing w:after="0" w:line="15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Amended Form of Non-Exclusive License Defined Term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the definition of “Net Sales” set forth on Exhibit 1.54 (Form of Non-Exclusive License) of the D&amp;O Agreement is hereby amended to read as set forth below:</w:t>
      </w:r>
    </w:p>
    <w:p>
      <w:pPr>
        <w:spacing w:after="0" w:line="157" w:lineRule="exact"/>
        <w:rPr>
          <w:rFonts w:ascii="Times New Roman" w:cs="Times New Roman" w:eastAsia="Times New Roman" w:hAnsi="Times New Roman"/>
          <w:sz w:val="18"/>
          <w:szCs w:val="18"/>
          <w:color w:val="auto"/>
        </w:rPr>
      </w:pPr>
    </w:p>
    <w:p>
      <w:pPr>
        <w:jc w:val="both"/>
        <w:ind w:left="968" w:hanging="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xml:space="preserve">" means, with respect to any Licensed Product or Licensed Service, the amount received by CureVac and its Affiliates and Sublicensees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sales of such Licensed Product or provision of such Licensed Service to a Third Party (other than Affiliates and Sublicensees, but including distributors for resale)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602615</wp:posOffset>
            </wp:positionV>
            <wp:extent cx="629221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21" w:right="999" w:bottom="1440" w:gutter="0" w:footer="0" w:header="0"/>
        </w:sectPr>
      </w:pPr>
    </w:p>
    <w:bookmarkStart w:id="348" w:name="page349"/>
    <w:bookmarkEnd w:id="348"/>
    <w:p>
      <w:pPr>
        <w:ind w:left="968" w:hanging="320"/>
        <w:spacing w:after="0" w:line="282" w:lineRule="auto"/>
        <w:tabs>
          <w:tab w:leader="none" w:pos="96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bullet points (b)-(d) of the definition of “Net Sales” set forth on Exhibit 1.54 (Form of Non-Exclusive License) of the D&amp;O Agreement are hereby amended to read as set forth below:</w:t>
      </w:r>
    </w:p>
    <w:p>
      <w:pPr>
        <w:spacing w:after="0" w:line="161" w:lineRule="exact"/>
        <w:rPr>
          <w:rFonts w:ascii="Times New Roman" w:cs="Times New Roman" w:eastAsia="Times New Roman" w:hAnsi="Times New Roman"/>
          <w:sz w:val="18"/>
          <w:szCs w:val="18"/>
          <w:color w:val="auto"/>
        </w:rPr>
      </w:pPr>
    </w:p>
    <w:p>
      <w:pPr>
        <w:jc w:val="both"/>
        <w:ind w:left="1388" w:hanging="429"/>
        <w:spacing w:after="0" w:line="266" w:lineRule="auto"/>
        <w:tabs>
          <w:tab w:leader="none" w:pos="1388"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credits or allowances actually granted upon claims, damaged goods, rejections or returns of, and for uncollectable amounts on, such Licensed Product or Licensed Service, including such Licensed Product or Licensed Service returned in connection with recalls or withdrawals;</w:t>
      </w:r>
    </w:p>
    <w:p>
      <w:pPr>
        <w:spacing w:after="0" w:line="175" w:lineRule="exact"/>
        <w:rPr>
          <w:rFonts w:ascii="Times New Roman" w:cs="Times New Roman" w:eastAsia="Times New Roman" w:hAnsi="Times New Roman"/>
          <w:sz w:val="18"/>
          <w:szCs w:val="18"/>
          <w:color w:val="auto"/>
        </w:rPr>
      </w:pPr>
    </w:p>
    <w:p>
      <w:pPr>
        <w:ind w:left="1388" w:hanging="429"/>
        <w:spacing w:after="0"/>
        <w:tabs>
          <w:tab w:leader="none" w:pos="1388"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out, postage, shipping and insurance charges for delivery of such</w:t>
      </w:r>
    </w:p>
    <w:p>
      <w:pPr>
        <w:spacing w:after="0" w:line="225"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Licensed Product or Licensed Service;</w:t>
      </w:r>
    </w:p>
    <w:p>
      <w:pPr>
        <w:spacing w:after="0" w:line="225" w:lineRule="exact"/>
        <w:rPr>
          <w:sz w:val="20"/>
          <w:szCs w:val="20"/>
          <w:color w:val="auto"/>
        </w:rPr>
      </w:pPr>
    </w:p>
    <w:p>
      <w:pPr>
        <w:jc w:val="both"/>
        <w:ind w:left="1388" w:hanging="429"/>
        <w:spacing w:after="0" w:line="266" w:lineRule="auto"/>
        <w:tabs>
          <w:tab w:leader="none" w:pos="1388"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or duties levied on, absorbed or otherwise imposed on the sale of such Licensed Product or Licensed Service, including value-added taxes, or other governmental charges otherwise imposed upon the billed amount, as adjusted for rebates and refunds;</w:t>
      </w:r>
    </w:p>
    <w:p>
      <w:pPr>
        <w:spacing w:after="0" w:line="171"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Other Amendment</w:t>
      </w:r>
      <w:r>
        <w:rPr>
          <w:rFonts w:ascii="Times New Roman" w:cs="Times New Roman" w:eastAsia="Times New Roman" w:hAnsi="Times New Roman"/>
          <w:sz w:val="18"/>
          <w:szCs w:val="18"/>
          <w:color w:val="auto"/>
        </w:rPr>
        <w:t>. Except as amended hereby, all other provisions of the Agreement shall remain unchanged and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 and effect in accordance with their terms.</w:t>
      </w:r>
    </w:p>
    <w:p>
      <w:pPr>
        <w:spacing w:after="0" w:line="154"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Conflict</w:t>
      </w:r>
      <w:r>
        <w:rPr>
          <w:rFonts w:ascii="Times New Roman" w:cs="Times New Roman" w:eastAsia="Times New Roman" w:hAnsi="Times New Roman"/>
          <w:sz w:val="18"/>
          <w:szCs w:val="18"/>
          <w:color w:val="auto"/>
        </w:rPr>
        <w:t>. In the event of a conflict between the terms and conditions of this Amendment Four and the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Agreement, the terms and conditions of this Amendment Four shall control.</w:t>
      </w:r>
    </w:p>
    <w:p>
      <w:pPr>
        <w:spacing w:after="0" w:line="154"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Amendment Four may be executed simultaneously in two or more counterparts, and by PDF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transmission, each of which counterparts shall be deemed an original, but all of which together shall constitute one and the same instrument, provided that all such counterparts, in the aggregate, shall contain the signatures of all parties hereto.</w:t>
      </w:r>
    </w:p>
    <w:p>
      <w:pPr>
        <w:spacing w:after="0" w:line="17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634365</wp:posOffset>
            </wp:positionV>
            <wp:extent cx="629221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21" w:right="99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duly executed this Amendment Four as of the Amendment Four Effective Date.</w:t>
      </w:r>
    </w:p>
    <w:p>
      <w:pPr>
        <w:spacing w:after="0" w:line="2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Acuitas Therapeutics Inc.</w:t>
      </w:r>
    </w:p>
    <w:p>
      <w:pPr>
        <w:spacing w:after="0" w:line="148"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28289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28289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CureVac SE</w:t>
      </w:r>
    </w:p>
    <w:p>
      <w:pPr>
        <w:spacing w:after="0" w:line="31"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5715</wp:posOffset>
            </wp:positionV>
            <wp:extent cx="28289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28289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28289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14605</wp:posOffset>
            </wp:positionV>
            <wp:extent cx="282892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3469005</wp:posOffset>
            </wp:positionH>
            <wp:positionV relativeFrom="paragraph">
              <wp:posOffset>14605</wp:posOffset>
            </wp:positionV>
            <wp:extent cx="28289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18"/>
          <w:szCs w:val="18"/>
          <w:b w:val="1"/>
          <w:bCs w:val="1"/>
          <w:color w:val="auto"/>
        </w:rPr>
        <w:t>Exhibit 4.54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REDACTED</w:t>
      </w:r>
    </w:p>
    <w:p>
      <w:pPr>
        <w:spacing w:after="0" w:line="225" w:lineRule="exact"/>
        <w:rPr>
          <w:sz w:val="20"/>
          <w:szCs w:val="20"/>
          <w:color w:val="auto"/>
        </w:rPr>
      </w:pPr>
    </w:p>
    <w:p>
      <w:pPr>
        <w:jc w:val="center"/>
        <w:ind w:left="1000"/>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indicated by [*****], has been excluded from the exhibit because it is both (i) not material and (ii) the type that the registrant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SPONSORED RESEARCH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 Agreement No. 2019A009504</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This sixth amendment to Agreement (the “Sixth Amendment”), is effective as of June 29, 2023 (“Sixth Amendment Effective Date”), by and between The Schepens Eye Research Institute, Inc., a not-for-profit Massachusetts corporation, having a principal place of business at 20 Staniford Street, Boston, Massachusetts 02114 (“SERI”), and Massachusetts Eye and Ear Infirmary, having a principal place of business at 243 Charles Street, Boston, Massachusetts 02114 (“MEEI”) (collectively, SERI and MEEI shall be referred to herein as “Hospitals”), and CureVac SE, a European Company, having a principal place of business at Friedrich-Miescher-Straße 15, 72076 Tübingen, Germany (“Sponsor”), each herein referred to as a “Party” and collectively as the “Parties”. Capitalized terms that are not defined herein shall have the meaning ascribed to them in the Agreement (as defined below).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Hospitals and Sponsor are Parties to sponsored research agreement, MEE Agreement No. 2019A009504 (formerly, 2019-0112), effective as of March 15, 2019, as previously amended effective as of May 19, 2020, July 29, 2021, September 1, 2021, August 31, 2022 and January 1, 2023 (the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the Parties desire to extend the Term until December 31, 2023;</w:t>
      </w:r>
    </w:p>
    <w:p>
      <w:pPr>
        <w:spacing w:after="0" w:line="225" w:lineRule="exact"/>
        <w:rPr>
          <w:sz w:val="20"/>
          <w:szCs w:val="20"/>
          <w:color w:val="auto"/>
        </w:rPr>
      </w:pPr>
    </w:p>
    <w:p>
      <w:pPr>
        <w:ind w:left="120" w:firstLine="648"/>
        <w:spacing w:after="0" w:line="282" w:lineRule="auto"/>
        <w:rPr>
          <w:sz w:val="20"/>
          <w:szCs w:val="20"/>
          <w:color w:val="auto"/>
        </w:rPr>
      </w:pPr>
      <w:r>
        <w:rPr>
          <w:rFonts w:ascii="Times New Roman" w:cs="Times New Roman" w:eastAsia="Times New Roman" w:hAnsi="Times New Roman"/>
          <w:sz w:val="18"/>
          <w:szCs w:val="18"/>
          <w:color w:val="auto"/>
        </w:rPr>
        <w:t>WHEREAS, Sponsor and Hospital acknowledge that as of [*****], payments (a) through (m) described in Section 5.1 of the Agreement and totaling US [*****] have been paid in full; and</w:t>
      </w:r>
    </w:p>
    <w:p>
      <w:pPr>
        <w:spacing w:after="0" w:line="162" w:lineRule="exact"/>
        <w:rPr>
          <w:sz w:val="20"/>
          <w:szCs w:val="20"/>
          <w:color w:val="auto"/>
        </w:rPr>
      </w:pPr>
    </w:p>
    <w:p>
      <w:pPr>
        <w:ind w:left="120" w:right="320"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promises made herein, and for other good and valuable consideration, the receipt and sufficiency of which are hereby acknowledged, Hospital and Sponsor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AMENDMENT</w:t>
      </w:r>
    </w:p>
    <w:p>
      <w:pPr>
        <w:spacing w:after="0" w:line="229"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Agreement is hereby amended by deleting Section 2 in its entirety and inserting the following language in its place:</w:t>
      </w:r>
    </w:p>
    <w:p>
      <w:pPr>
        <w:spacing w:after="0" w:line="225" w:lineRule="exact"/>
        <w:rPr>
          <w:sz w:val="20"/>
          <w:szCs w:val="20"/>
          <w:color w:val="auto"/>
        </w:rPr>
      </w:pPr>
    </w:p>
    <w:p>
      <w:pPr>
        <w:jc w:val="both"/>
        <w:ind w:left="760" w:right="320"/>
        <w:spacing w:after="0" w:line="26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The term of this Agreement shall be from the Effective Date until December 31, 2023 (the “Term”), unless earlier terminated by either Party as set forth in Section 11 or extended in a writing signed by authorized representatives of both Parties.”</w:t>
      </w:r>
    </w:p>
    <w:p>
      <w:pPr>
        <w:spacing w:after="0" w:line="176" w:lineRule="exact"/>
        <w:rPr>
          <w:sz w:val="20"/>
          <w:szCs w:val="20"/>
          <w:color w:val="auto"/>
        </w:rPr>
      </w:pPr>
    </w:p>
    <w:p>
      <w:pPr>
        <w:jc w:val="both"/>
        <w:ind w:left="760" w:hanging="647"/>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Except as herein provided, the Agreement and all of its terms, covenants and conditions are hereby ratified and confirmed in all respects and remain in full force and effect. The Agreement shall, together with this Sixth Amendment, be read and construed as a single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51" w:name="page352"/>
    <w:bookmarkEnd w:id="351"/>
    <w:p>
      <w:pPr>
        <w:ind w:left="560" w:hanging="647"/>
        <w:spacing w:after="0" w:line="256" w:lineRule="auto"/>
        <w:tabs>
          <w:tab w:leader="none" w:pos="5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This Sixth Amendment may be executed in two or more counterparts, each of which will be deemed an original, but all of which together will constitute one and the same instrument. This Sixth Amendment may be executed electronically/digitally in compliance with the Massachusetts Uniform Electronic Transactions Act (MUETA) Mass. Gen. Laws ch. 110G and/or The Electronic Signatures In Global And National Commerce Act (ESIGN) 15 USC ch. 96. Persons signing this Sixth Amendment agree that, if used, electronic/digital signatures are intended to authenticate this writing and to have the same force and effect as the use of manual signatures.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1080" w:top="121" w:right="1079" w:bottom="1440" w:gutter="0" w:footer="0" w:header="0"/>
        </w:sectPr>
      </w:pPr>
    </w:p>
    <w:bookmarkStart w:id="352" w:name="page353"/>
    <w:bookmarkEnd w:id="35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Sixth Amendment to Agreement to be executed and delivered by their duly authorized representatives as of the Sixth Amendment Effective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CUREVAC SE</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SCHEPENS EYE RESEARCH INSTITUTE, INC.</w:t>
            </w:r>
          </w:p>
        </w:tc>
      </w:tr>
      <w:tr>
        <w:trPr>
          <w:trHeight w:val="64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w:t>
            </w:r>
          </w:p>
        </w:tc>
        <w:tc>
          <w:tcPr>
            <w:tcW w:w="4360" w:type="dxa"/>
            <w:vAlign w:val="bottom"/>
            <w:tcBorders>
              <w:top w:val="single" w:sz="8" w:color="auto"/>
              <w:bottom w:val="single" w:sz="8" w:color="auto"/>
            </w:tcBorders>
          </w:tcPr>
          <w:p>
            <w:pPr>
              <w:jc w:val="right"/>
              <w:ind w:right="3690"/>
              <w:spacing w:after="0"/>
              <w:rPr>
                <w:sz w:val="20"/>
                <w:szCs w:val="20"/>
                <w:color w:val="auto"/>
              </w:rPr>
            </w:pPr>
            <w:r>
              <w:rPr>
                <w:rFonts w:ascii="Times New Roman" w:cs="Times New Roman" w:eastAsia="Times New Roman" w:hAnsi="Times New Roman"/>
                <w:sz w:val="18"/>
                <w:szCs w:val="18"/>
                <w:color w:val="auto"/>
                <w:w w:val="98"/>
              </w:rPr>
              <w:t>[*****]</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Name:</w:t>
            </w:r>
          </w:p>
        </w:tc>
        <w:tc>
          <w:tcPr>
            <w:tcW w:w="4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bottom w:val="single" w:sz="8" w:color="auto"/>
            </w:tcBorders>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60" w:type="dxa"/>
            <w:vAlign w:val="bottom"/>
            <w:tcBorders>
              <w:bottom w:val="single" w:sz="8" w:color="auto"/>
            </w:tcBorders>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July 13, 2023</w:t>
            </w:r>
          </w:p>
        </w:tc>
      </w:tr>
      <w:tr>
        <w:trPr>
          <w:trHeight w:val="426"/>
        </w:trPr>
        <w:tc>
          <w:tcPr>
            <w:tcW w:w="5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MASSACHUSETTS EYE AND EAR INFIRMARY</w:t>
            </w:r>
          </w:p>
        </w:tc>
      </w:tr>
      <w:tr>
        <w:trPr>
          <w:trHeight w:val="64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w:t>
            </w:r>
          </w:p>
        </w:tc>
        <w:tc>
          <w:tcPr>
            <w:tcW w:w="4360" w:type="dxa"/>
            <w:vAlign w:val="bottom"/>
            <w:tcBorders>
              <w:top w:val="single" w:sz="8" w:color="auto"/>
              <w:bottom w:val="single" w:sz="8" w:color="auto"/>
            </w:tcBorders>
          </w:tcPr>
          <w:p>
            <w:pPr>
              <w:jc w:val="right"/>
              <w:ind w:right="3690"/>
              <w:spacing w:after="0"/>
              <w:rPr>
                <w:sz w:val="20"/>
                <w:szCs w:val="20"/>
                <w:color w:val="auto"/>
              </w:rPr>
            </w:pPr>
            <w:r>
              <w:rPr>
                <w:rFonts w:ascii="Times New Roman" w:cs="Times New Roman" w:eastAsia="Times New Roman" w:hAnsi="Times New Roman"/>
                <w:sz w:val="18"/>
                <w:szCs w:val="18"/>
                <w:color w:val="auto"/>
                <w:w w:val="98"/>
              </w:rPr>
              <w:t>[*****]</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Name:</w:t>
            </w:r>
          </w:p>
        </w:tc>
        <w:tc>
          <w:tcPr>
            <w:tcW w:w="4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bottom w:val="single" w:sz="8" w:color="auto"/>
            </w:tcBorders>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60" w:type="dxa"/>
            <w:vAlign w:val="bottom"/>
            <w:tcBorders>
              <w:bottom w:val="single" w:sz="8" w:color="auto"/>
            </w:tcBorders>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Date:</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July 13, 2023</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have read the terms of the foregoing Sixth Amendment and agree with Hospital (but without incurring any personal liability to Sponsor) to comply with the obligations of the Hospital Principal Investigator stated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2864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Hospital Principal Investigator)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17145</wp:posOffset>
            </wp:positionV>
            <wp:extent cx="276034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5">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14605</wp:posOffset>
            </wp:positionV>
            <wp:extent cx="276034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6">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636905</wp:posOffset>
            </wp:positionV>
            <wp:extent cx="629221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18"/>
          <w:szCs w:val="18"/>
          <w:b w:val="1"/>
          <w:bCs w:val="1"/>
          <w:color w:val="auto"/>
        </w:rPr>
        <w:t>Exhibit 4.55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REDACTED</w:t>
      </w:r>
    </w:p>
    <w:p>
      <w:pPr>
        <w:spacing w:after="0" w:line="225" w:lineRule="exact"/>
        <w:rPr>
          <w:sz w:val="20"/>
          <w:szCs w:val="20"/>
          <w:color w:val="auto"/>
        </w:rPr>
      </w:pPr>
    </w:p>
    <w:p>
      <w:pPr>
        <w:jc w:val="center"/>
        <w:ind w:left="1000"/>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indicated by [*****], has been excluded from the exhibit because it is both (i) not material and (ii) the type that the registrant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SEVENTH AMENDMENT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SPONSORED RESEARCH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 Agreement No. 2019A009504</w:t>
      </w:r>
    </w:p>
    <w:p>
      <w:pPr>
        <w:spacing w:after="0" w:line="225"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color w:val="auto"/>
        </w:rPr>
        <w:t>This seventh amendment to Agreement (the “Seventh Amendment”), is effective as of February 23, 2024 (“Seventh Amendment Effective Date”), by and between The Schepens Eye Research Institute, Inc., a not-for-profit Massachusetts corporation, having a principal place of business at 20 Staniford Street, Boston, Massachusetts 02114 (“SERI”), and Massachusetts Eye and Ear Infirmary, having a principal place of business at 243 Charles Street, Boston, Massachusetts 02114 (“MEEI”) (collectively, SERI and MEEI shall be referred to herein as “Hospitals”), and CureVac SE, a European Company, having a principal place of business at Friedrich-Miescher-Straße 15, 72076 Tübingen, Germany (“Sponsor”), each herein referred to as a “Party” and collectively as the “Parties”. Capitalized terms that are not defined herein shall have the meaning ascribed to them in the Agreement (as defined below).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Hospitals and Sponsor are Parties to sponsored research agreement, MEE Agreement No. 2019A009504 (formerly, 2019-0112), effective as of March 15, 2019, as previously amended effective as of May 19, 2020, July 29, 2021, September 1, 2021, August 31, 2022, January 1, 2023, and June 29, 2023 (the "Agreement");</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Sponsor and Hospital acknowledge that as of the Seventh Amendment Effective Date the Agreement is expired and the Parties desire to reinstate the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WHEREAS, the Parties desire to extend the Term until June 30, 2024;</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WHEREAS, the Parties desire to amend the plan of research;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Sponsor desires to provide [*****] additional funding to Hospital; and</w:t>
      </w:r>
    </w:p>
    <w:p>
      <w:pPr>
        <w:spacing w:after="0" w:line="225" w:lineRule="exact"/>
        <w:rPr>
          <w:sz w:val="20"/>
          <w:szCs w:val="20"/>
          <w:color w:val="auto"/>
        </w:rPr>
      </w:pPr>
    </w:p>
    <w:p>
      <w:pPr>
        <w:ind w:left="20" w:firstLine="639"/>
        <w:spacing w:after="0" w:line="282" w:lineRule="auto"/>
        <w:rPr>
          <w:sz w:val="20"/>
          <w:szCs w:val="20"/>
          <w:color w:val="auto"/>
        </w:rPr>
      </w:pPr>
      <w:r>
        <w:rPr>
          <w:rFonts w:ascii="Times New Roman" w:cs="Times New Roman" w:eastAsia="Times New Roman" w:hAnsi="Times New Roman"/>
          <w:sz w:val="18"/>
          <w:szCs w:val="18"/>
          <w:color w:val="auto"/>
        </w:rPr>
        <w:t>WHEREAS, Sponsor and Hospital acknowledge that as of [*****] payments (a) through (m) described in Section 5.1 of the Agreement and totaling [*****] have been paid in full.</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promises made herein, and for other good and valuable consideration, the receipt and sufficiency of which are hereby acknowledged, Hospital and Sponsor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AMENDMENT</w:t>
      </w:r>
    </w:p>
    <w:p>
      <w:pPr>
        <w:spacing w:after="0" w:line="229" w:lineRule="exact"/>
        <w:rPr>
          <w:sz w:val="20"/>
          <w:szCs w:val="20"/>
          <w:color w:val="auto"/>
        </w:rPr>
      </w:pPr>
    </w:p>
    <w:p>
      <w:pPr>
        <w:ind w:left="660" w:right="260" w:hanging="647"/>
        <w:spacing w:after="0" w:line="289"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IRB</w:t>
      </w:r>
      <w:r>
        <w:rPr>
          <w:rFonts w:ascii="Times New Roman" w:cs="Times New Roman" w:eastAsia="Times New Roman" w:hAnsi="Times New Roman"/>
          <w:sz w:val="17"/>
          <w:szCs w:val="17"/>
          <w:color w:val="auto"/>
        </w:rPr>
        <w:t>. The Parties agree and acknowledge that as of the Seventh Amendment Effective Date Hospital has not obtained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requisite IRB review or approval, as applicable for Sponsor’s use of Hospital Human Materials to perform Goal 1 Task 3 and Goal 1 Task 4 of the Research Plan under Appendix A2 attached hereto as Exhibit I. The Parties agree that Hospital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454660</wp:posOffset>
            </wp:positionV>
            <wp:extent cx="629221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54" w:name="page355"/>
    <w:bookmarkEnd w:id="354"/>
    <w:p>
      <w:pPr>
        <w:ind w:left="660"/>
        <w:spacing w:after="0"/>
        <w:rPr>
          <w:sz w:val="20"/>
          <w:szCs w:val="20"/>
          <w:color w:val="auto"/>
        </w:rPr>
      </w:pPr>
      <w:r>
        <w:rPr>
          <w:rFonts w:ascii="Times New Roman" w:cs="Times New Roman" w:eastAsia="Times New Roman" w:hAnsi="Times New Roman"/>
          <w:sz w:val="18"/>
          <w:szCs w:val="18"/>
          <w:color w:val="auto"/>
        </w:rPr>
        <w:t>to obtain such IRB review prior to Hospital transferring the Hospital Human Materials for Sponsor’s use.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The Agreement is hereby amended by deleting Section 2 in its entirety and inserting the following language in its place:</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"2. Term. The term of this Agreement shall be from the Effective Date until June 30, 2024 (the "Term"), unless earlier terminated by either Party as set forth in Section 11 or extended in a writing signed by authorized representatives of both Parties."</w:t>
      </w:r>
    </w:p>
    <w:p>
      <w:pPr>
        <w:spacing w:after="0" w:line="176" w:lineRule="exact"/>
        <w:rPr>
          <w:sz w:val="20"/>
          <w:szCs w:val="20"/>
          <w:color w:val="auto"/>
        </w:rPr>
      </w:pPr>
    </w:p>
    <w:p>
      <w:pPr>
        <w:ind w:left="660" w:right="2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Agreement is hereby amended by deleting “two million seventy-four thousand two hundred forty in United States dollars (US $2,074,240)” in the first sentence of Section 5 and replacing it with the following: “two million three hundred seven thousand five hundred fifty-two in United States dollars (US $2,307, 552)”.</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The Agreement is hereby amended by inserting the following payments [*****] immediately following payment [*****] in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 [*****]</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The Agreement is hereby amended by inserting the following Section 6.2, immediately following Section 6.1.</w:t>
      </w:r>
    </w:p>
    <w:p>
      <w:pPr>
        <w:spacing w:after="0" w:line="225"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Hospital Human Materials</w:t>
      </w:r>
    </w:p>
    <w:p>
      <w:pPr>
        <w:spacing w:after="0" w:line="225" w:lineRule="exact"/>
        <w:rPr>
          <w:sz w:val="20"/>
          <w:szCs w:val="20"/>
          <w:color w:val="auto"/>
        </w:rPr>
      </w:pPr>
    </w:p>
    <w:p>
      <w:pPr>
        <w:ind w:left="660" w:right="40" w:hanging="8"/>
        <w:spacing w:after="0" w:line="254" w:lineRule="auto"/>
        <w:rPr>
          <w:sz w:val="20"/>
          <w:szCs w:val="20"/>
          <w:color w:val="auto"/>
        </w:rPr>
      </w:pPr>
      <w:r>
        <w:rPr>
          <w:rFonts w:ascii="Times New Roman" w:cs="Times New Roman" w:eastAsia="Times New Roman" w:hAnsi="Times New Roman"/>
          <w:sz w:val="18"/>
          <w:szCs w:val="18"/>
          <w:color w:val="auto"/>
        </w:rPr>
        <w:t>6.2.1 Hospital shall provide to Sponsor and/or preapproved subcontractors of Sponsor the following materials: [****] which together with any derivatives thereof shall hereinafter be referred to as the “Hospital Human Materials”, solely to perform the Sponsor responsibilities to be carried out under the direction of Sponsor Principal Investigator as set forth in the Research Plan. Sponsor warrants that it will not (a) use the Hospital Human Materials for any purpose other than Sponsored Research or (b) transfer the Hospital Human Materials to a third party without prior written permission from Hospital. Hospital acknowledges and agrees that [*****] is a preapproved subcontractor. Sponsor warrants that it will comply with all federal, state and local laws and regulations concerning the storage, labeling, handling, testing, use and disposal of Hospital Human Materials and shall not use the Hospital Human Materials in human subjects, in clinical trials, or for diagnostic purposes involving human subjects. Sponsor shall not derive whole genome or exome data from the Hospital Human Materials.</w:t>
      </w:r>
    </w:p>
    <w:p>
      <w:pPr>
        <w:spacing w:after="0" w:line="188" w:lineRule="exact"/>
        <w:rPr>
          <w:sz w:val="20"/>
          <w:szCs w:val="20"/>
          <w:color w:val="auto"/>
        </w:rPr>
      </w:pPr>
    </w:p>
    <w:p>
      <w:pPr>
        <w:ind w:left="660" w:right="40" w:hanging="8"/>
        <w:spacing w:after="0" w:line="266" w:lineRule="auto"/>
        <w:rPr>
          <w:sz w:val="20"/>
          <w:szCs w:val="20"/>
          <w:color w:val="auto"/>
        </w:rPr>
      </w:pPr>
      <w:r>
        <w:rPr>
          <w:rFonts w:ascii="Times New Roman" w:cs="Times New Roman" w:eastAsia="Times New Roman" w:hAnsi="Times New Roman"/>
          <w:sz w:val="18"/>
          <w:szCs w:val="18"/>
          <w:color w:val="auto"/>
        </w:rPr>
        <w:t>6.2.2 Notwithstanding anything express or implied to the contrary herein, all rights, title and interest in and to the Hospital Human Materials shall be owned by Hospital. Sponsor agrees that nothing herein shall create or imply any license in such rights except to use the Hospital Human Materials solely in accordance with Section 6.2.</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6.2.3 For clarity, Sponsor shall not have access to any patient or clinical information relating to the Hospital Human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5" w:name="page356"/>
    <w:bookmarkEnd w:id="355"/>
    <w:p>
      <w:pPr>
        <w:ind w:left="660" w:hanging="8"/>
        <w:spacing w:after="0" w:line="253" w:lineRule="auto"/>
        <w:rPr>
          <w:sz w:val="20"/>
          <w:szCs w:val="20"/>
          <w:color w:val="auto"/>
        </w:rPr>
      </w:pPr>
      <w:r>
        <w:rPr>
          <w:rFonts w:ascii="Times New Roman" w:cs="Times New Roman" w:eastAsia="Times New Roman" w:hAnsi="Times New Roman"/>
          <w:sz w:val="18"/>
          <w:szCs w:val="18"/>
          <w:color w:val="auto"/>
        </w:rPr>
        <w:t>6.2.4 Sponsor agrees to use the Hospital Human Materials in a safe manner and shall treat the Hospital Human Materials as infectious, biomedical and biohazardous. THE HOSPITAL HUMAN MATERIALS ARE PROVIDED “AS IS” AND WITHOUT ANY REPRESENTATIONS OR WARRANTIES, EXPRESS OR IMPLIED, INCLUDING ANY WARRANTY OF MERCHANTABILITY OR FITNESS FOR A PARTICULAR PURPOSE OR ANY OTHER WARRANTY INCLUDING SAFETY OR THAT THE USE OF THE MATERIAL WILL NOT INFRINGE OR VIOLATE ANY PATENT OR OTHER INTELLECTUAL PROPERTY RIGHTS. THE HOSPITAL HUMAN MATERIALS HAVE NOT BEEN ANALYZED OR TESTED BY HOSPITAL AND MAY, THEREFORE, CONTAIN VIRUSES, BACTERIA OR OTHER POTENTIALLY DANGEROUS COMPONENTS AND MAY CARRY TRANSMITABLE INFECTIOUS AGENTS. SPONSOR ACKNOWLEDGES AND ACCEPTS THE RISKS OF SUCH VIRUSES, BACTERIA OR OTHER POTENTIALLY DANGEROUS COMPONENTS.</w:t>
      </w:r>
    </w:p>
    <w:p>
      <w:pPr>
        <w:spacing w:after="0" w:line="194" w:lineRule="exact"/>
        <w:rPr>
          <w:sz w:val="20"/>
          <w:szCs w:val="20"/>
          <w:color w:val="auto"/>
        </w:rPr>
      </w:pPr>
    </w:p>
    <w:p>
      <w:pPr>
        <w:ind w:left="660" w:right="100" w:hanging="8"/>
        <w:spacing w:after="0" w:line="282" w:lineRule="auto"/>
        <w:rPr>
          <w:sz w:val="20"/>
          <w:szCs w:val="20"/>
          <w:color w:val="auto"/>
        </w:rPr>
      </w:pPr>
      <w:r>
        <w:rPr>
          <w:rFonts w:ascii="Times New Roman" w:cs="Times New Roman" w:eastAsia="Times New Roman" w:hAnsi="Times New Roman"/>
          <w:sz w:val="18"/>
          <w:szCs w:val="18"/>
          <w:color w:val="auto"/>
        </w:rPr>
        <w:t>6.2.5 Upon termination or expiration of this Agreement, Sponsor shall discontinue all use of the Hospital Human Materials and return all remaining Hospital Human Materials to</w:t>
      </w:r>
    </w:p>
    <w:p>
      <w:pPr>
        <w:spacing w:after="0" w:line="162" w:lineRule="exact"/>
        <w:rPr>
          <w:sz w:val="20"/>
          <w:szCs w:val="20"/>
          <w:color w:val="auto"/>
        </w:rPr>
      </w:pPr>
    </w:p>
    <w:p>
      <w:pPr>
        <w:ind w:left="660" w:right="460" w:hanging="8"/>
        <w:spacing w:after="0" w:line="282" w:lineRule="auto"/>
        <w:rPr>
          <w:sz w:val="20"/>
          <w:szCs w:val="20"/>
          <w:color w:val="auto"/>
        </w:rPr>
      </w:pPr>
      <w:r>
        <w:rPr>
          <w:rFonts w:ascii="Times New Roman" w:cs="Times New Roman" w:eastAsia="Times New Roman" w:hAnsi="Times New Roman"/>
          <w:sz w:val="18"/>
          <w:szCs w:val="18"/>
          <w:color w:val="auto"/>
        </w:rPr>
        <w:t>Hospital or, at Hospital’s election, lawfully dispose of the remaining Hospital Human Materials and provide Hospital with certification of same.”</w:t>
      </w:r>
    </w:p>
    <w:p>
      <w:pPr>
        <w:spacing w:after="0" w:line="162" w:lineRule="exact"/>
        <w:rPr>
          <w:sz w:val="20"/>
          <w:szCs w:val="20"/>
          <w:color w:val="auto"/>
        </w:rPr>
      </w:pPr>
    </w:p>
    <w:p>
      <w:pPr>
        <w:ind w:left="660" w:right="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The Agreement is hereby amended by deleting Section 12, paragraph (b) in its entirety and inserting the following paragraph in its place.</w:t>
      </w:r>
    </w:p>
    <w:p>
      <w:pPr>
        <w:spacing w:after="0" w:line="162" w:lineRule="exact"/>
        <w:rPr>
          <w:sz w:val="20"/>
          <w:szCs w:val="20"/>
          <w:color w:val="auto"/>
        </w:rPr>
      </w:pPr>
    </w:p>
    <w:p>
      <w:pPr>
        <w:ind w:left="660" w:right="20" w:hanging="8"/>
        <w:spacing w:after="0" w:line="254" w:lineRule="auto"/>
        <w:rPr>
          <w:sz w:val="20"/>
          <w:szCs w:val="20"/>
          <w:color w:val="auto"/>
        </w:rPr>
      </w:pPr>
      <w:r>
        <w:rPr>
          <w:rFonts w:ascii="Times New Roman" w:cs="Times New Roman" w:eastAsia="Times New Roman" w:hAnsi="Times New Roman"/>
          <w:sz w:val="18"/>
          <w:szCs w:val="18"/>
          <w:color w:val="auto"/>
        </w:rPr>
        <w:t>"(b) Sponsor shall further defend, indemnify and hold harmless Institute and its trustees, directors, officers, medical and professional staff, employees and agents ("Institute Indemnitees") against any and all third party actions, suits, claims, investigations, inquiries, demands, judgments and/or prosecutions that may be brough or instituted against Institute and Institute Indemnitees based on or arising out of, any use by Sponsor, its Affiliates or licensees or subcontractors of any Invention, Research Information (and/or material or thing embodying such Invention or Research Information), Institute material, Project Material, or Hospital Human Material, including but not limited to any such use in the manufacture, use, sale importation or other distribution of any product or process by Sponsor, its Affiliates, licensees or subcontractors, excepting to the extent Sponsor can demonstrate by clear and convincing evidence that it is directly resulting from the gross negligence or intentional misconduct of Institute and/or Institute Indemnitees in the use of any such product or process."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The Agreement is hereby amended by deleting Section 13 in its entirety and replacing it with the following:</w:t>
      </w:r>
    </w:p>
    <w:p>
      <w:pPr>
        <w:spacing w:after="0" w:line="225" w:lineRule="exact"/>
        <w:rPr>
          <w:sz w:val="20"/>
          <w:szCs w:val="20"/>
          <w:color w:val="auto"/>
        </w:rPr>
      </w:pPr>
    </w:p>
    <w:p>
      <w:pPr>
        <w:ind w:left="660" w:right="60" w:hanging="8"/>
        <w:spacing w:after="0" w:line="256" w:lineRule="auto"/>
        <w:rPr>
          <w:sz w:val="20"/>
          <w:szCs w:val="20"/>
          <w:color w:val="auto"/>
        </w:rPr>
      </w:pPr>
      <w:r>
        <w:rPr>
          <w:rFonts w:ascii="Times New Roman" w:cs="Times New Roman" w:eastAsia="Times New Roman" w:hAnsi="Times New Roman"/>
          <w:sz w:val="18"/>
          <w:szCs w:val="18"/>
          <w:color w:val="auto"/>
        </w:rPr>
        <w:t>"13. DISCLAIMER OF WARRANTIES. NEITHER PARTY MAKES ANY REPRESENTATIONS OR WARRANTIES OF ANY KIND, EXPRESS OR IMPLIED, CONCERNING THE SPONSORED RESEARCH, PATENT RIGHTS, ANY OTHER INTELLECTUAL PROPERTY RIGHTS, INSTITUTE MATERIAL, PROJECT MATERIAL, HOSPITAL HUMAN MATERIAL OR ANY RESEARCH INFORMATION, INCLUDING, WITHOUT LIMITATION, WARRANTIES OF MERCHANTABILITY, FITNESS FOR A PARTICULAR PURPOSE, NONINFRINGEMENT, VALIDITY OF ANY PATENT RIGHTS CLAIMS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56" w:name="page357"/>
    <w:bookmarkEnd w:id="356"/>
    <w:p>
      <w:pPr>
        <w:ind w:left="660" w:hanging="8"/>
        <w:spacing w:after="0" w:line="270" w:lineRule="auto"/>
        <w:rPr>
          <w:sz w:val="20"/>
          <w:szCs w:val="20"/>
          <w:color w:val="auto"/>
        </w:rPr>
      </w:pPr>
      <w:r>
        <w:rPr>
          <w:rFonts w:ascii="Times New Roman" w:cs="Times New Roman" w:eastAsia="Times New Roman" w:hAnsi="Times New Roman"/>
          <w:sz w:val="17"/>
          <w:szCs w:val="17"/>
          <w:color w:val="auto"/>
        </w:rPr>
        <w:t>OTHER INTELLECTUAL PROPERTY RIGHTS, WHETHER ISSUED OR PENDING, AND THE ABSENCE OF LATENT OR OTHER DEFECTS, WHETHER OR NOT DISCOVERABLE, AND EXPRESSLY DISCLAIMS THE SAME. Specifically, and not to limit the foregoing, Institute makes no warranty or representation (i) regarding the validity or scope of the Sponsored Research, any Patent Rights or any intellectual property rights optioned or granted hereunder, whether issued or pending; and</w:t>
      </w:r>
    </w:p>
    <w:p>
      <w:pPr>
        <w:spacing w:after="0" w:line="3" w:lineRule="exact"/>
        <w:rPr>
          <w:sz w:val="20"/>
          <w:szCs w:val="20"/>
          <w:color w:val="auto"/>
        </w:rPr>
      </w:pPr>
    </w:p>
    <w:p>
      <w:pPr>
        <w:jc w:val="both"/>
        <w:ind w:left="660" w:right="260" w:hanging="8"/>
        <w:spacing w:after="0" w:line="255" w:lineRule="auto"/>
        <w:tabs>
          <w:tab w:leader="none" w:pos="92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exploitation of the Sponsored Research, the use of Institute material, Project Material, Hospital Human Material, Research Information, Patent Rights or any other intellectual property rights will not infringe any patents or other intellectual property rights of Institute or third party."</w:t>
      </w:r>
    </w:p>
    <w:p>
      <w:pPr>
        <w:spacing w:after="0" w:line="186" w:lineRule="exact"/>
        <w:rPr>
          <w:sz w:val="20"/>
          <w:szCs w:val="20"/>
          <w:color w:val="auto"/>
        </w:rPr>
      </w:pPr>
    </w:p>
    <w:p>
      <w:pPr>
        <w:ind w:left="660" w:right="5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Section 17.2 of the Agreement is hereby amended to provide that the notice and contact addresses for Hospital shall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114300</wp:posOffset>
            </wp:positionV>
            <wp:extent cx="2726055" cy="10026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1">
                      <a:extLst>
                        <a:ext uri="{28A0092B-C50C-407E-A947-70E740481C1C}"/>
                      </a:extLst>
                    </a:blip>
                    <a:srcRect/>
                    <a:stretch>
                      <a:fillRect/>
                    </a:stretch>
                  </pic:blipFill>
                  <pic:spPr bwMode="auto">
                    <a:xfrm>
                      <a:off x="0" y="0"/>
                      <a:ext cx="2726055" cy="1002665"/>
                    </a:xfrm>
                    <a:prstGeom prst="rect">
                      <a:avLst/>
                    </a:prstGeom>
                    <a:noFill/>
                  </pic:spPr>
                </pic:pic>
              </a:graphicData>
            </a:graphic>
          </wp:anchor>
        </w:drawing>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Hospital Contacts for Notices</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Chief Innovation Officer, Innovation</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Schepens Eye Research Institute,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MGB Innovation STE 999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399 Revolution Drive STE 999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Somerville, MA 02145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The Agreement is hereby amended by appending Appendix A of the Agreement with Appendix A2 attached hereto as Exhibit I.</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The Agreement is hereby amended by appending Appendix B of the Agreement with Appendix B2 attached hereto as Exhibit II.</w:t>
      </w:r>
    </w:p>
    <w:p>
      <w:pPr>
        <w:spacing w:after="0" w:line="225" w:lineRule="exact"/>
        <w:rPr>
          <w:sz w:val="20"/>
          <w:szCs w:val="20"/>
          <w:color w:val="auto"/>
        </w:rPr>
      </w:pPr>
    </w:p>
    <w:p>
      <w:pPr>
        <w:jc w:val="center"/>
        <w:ind w:right="80"/>
        <w:spacing w:after="0"/>
        <w:tabs>
          <w:tab w:leader="none" w:pos="3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Except as herein provided, the Agreement and all of its terms, covenants and conditions are hereby ratified and confirmed in all</w:t>
      </w:r>
    </w:p>
    <w:p>
      <w:pPr>
        <w:spacing w:after="0" w:line="27" w:lineRule="exact"/>
        <w:rPr>
          <w:sz w:val="20"/>
          <w:szCs w:val="20"/>
          <w:color w:val="auto"/>
        </w:rPr>
      </w:pPr>
    </w:p>
    <w:p>
      <w:pPr>
        <w:ind w:left="660" w:right="720"/>
        <w:spacing w:after="0" w:line="260" w:lineRule="auto"/>
        <w:rPr>
          <w:sz w:val="20"/>
          <w:szCs w:val="20"/>
          <w:color w:val="auto"/>
        </w:rPr>
      </w:pPr>
      <w:r>
        <w:rPr>
          <w:rFonts w:ascii="Times New Roman" w:cs="Times New Roman" w:eastAsia="Times New Roman" w:hAnsi="Times New Roman"/>
          <w:sz w:val="18"/>
          <w:szCs w:val="18"/>
          <w:color w:val="auto"/>
        </w:rPr>
        <w:t>respects and remain in full force and effect. The Agreement shall, together with this Seventh Amendment, be read and construed as a single agreement.</w:t>
      </w:r>
    </w:p>
    <w:p>
      <w:pPr>
        <w:spacing w:after="0" w:line="181" w:lineRule="exact"/>
        <w:rPr>
          <w:sz w:val="20"/>
          <w:szCs w:val="20"/>
          <w:color w:val="auto"/>
        </w:rPr>
      </w:pPr>
    </w:p>
    <w:p>
      <w:pPr>
        <w:ind w:left="660" w:right="10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This Seventh Amendment may be executed in two or more counterparts, each of which will be deemed an original, but all of which together will constitute one and the same instrument. This Seventh Amendment may be executed electronically/digitally in compliance with the Massachusetts Uniform Electronic Transactions Act (MUETA) Mass. Gen. Laws ch. 110G and/or The Electronic Signatures In Global And National Commerce Act (ESIGN) 15 USC ch. 96. Persons signing this Seventh Amendment agree that, if used, electronic/digital signatures are intended to authenticate this writing and to have the same force and effect as the use of manual signatures.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7" w:name="page358"/>
    <w:bookmarkEnd w:id="357"/>
    <w:p>
      <w:pPr>
        <w:ind w:left="20" w:right="20" w:firstLine="63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Seventh Amendment to Agreement to be executed and delivered by their duly authorized representatives as of the Seventh Amendment Effective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CUREVAC SE</w:t>
            </w:r>
          </w:p>
        </w:tc>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SCHEPENS EYE RESEARCH INSTITUTE, INC.</w:t>
            </w:r>
          </w:p>
        </w:tc>
      </w:tr>
      <w:tr>
        <w:trPr>
          <w:trHeight w:val="234"/>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Fabio Montrasio, Ph,D.</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VP, Area Head Molecular Therapy/Rare Diseases</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4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February 26, 2024</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3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February 23, 2024</w:t>
            </w:r>
          </w:p>
        </w:tc>
      </w:tr>
      <w:tr>
        <w:trPr>
          <w:trHeight w:val="394"/>
        </w:trPr>
        <w:tc>
          <w:tcPr>
            <w:tcW w:w="5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CUREVAC SE</w:t>
            </w:r>
          </w:p>
        </w:tc>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MASSACHUSETTS EYE AND EAR INFIRMARY</w:t>
            </w:r>
          </w:p>
        </w:tc>
      </w:tr>
      <w:tr>
        <w:trPr>
          <w:trHeight w:val="234"/>
        </w:trPr>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bottom w:val="single" w:sz="8" w:color="auto"/>
            </w:tcBorders>
          </w:tcPr>
          <w:p>
            <w:pPr>
              <w:spacing w:after="0"/>
              <w:rPr>
                <w:sz w:val="18"/>
                <w:szCs w:val="18"/>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Borders>
              <w:bottom w:val="single" w:sz="8" w:color="auto"/>
            </w:tcBorders>
          </w:tcPr>
          <w:p>
            <w:pPr>
              <w:spacing w:after="0"/>
              <w:rPr>
                <w:sz w:val="18"/>
                <w:szCs w:val="18"/>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4600" w:type="dxa"/>
            <w:vAlign w:val="bottom"/>
            <w:tcBorders>
              <w:bottom w:val="single" w:sz="8" w:color="auto"/>
            </w:tcBorders>
          </w:tcPr>
          <w:p>
            <w:pPr>
              <w:spacing w:after="0"/>
              <w:rPr>
                <w:sz w:val="18"/>
                <w:szCs w:val="18"/>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3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February 23, 2024</w:t>
            </w:r>
          </w:p>
        </w:tc>
      </w:tr>
    </w:tbl>
    <w:p>
      <w:pPr>
        <w:spacing w:after="0" w:line="200" w:lineRule="exact"/>
        <w:rPr>
          <w:sz w:val="20"/>
          <w:szCs w:val="20"/>
          <w:color w:val="auto"/>
        </w:rPr>
      </w:pPr>
    </w:p>
    <w:p>
      <w:pPr>
        <w:spacing w:after="0" w:line="21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 have read the terms of the foregoing Seventh Amendment and agree with Hospital (but without incurring any personal liability to Sponsor) to comply with the obligations of the Hospital Principal Investigator stated therein.</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(Signature of Hospital Principal Investigator)</w:t>
      </w:r>
    </w:p>
    <w:p>
      <w:pPr>
        <w:spacing w:after="0" w:line="23" w:lineRule="exact"/>
        <w:rPr>
          <w:sz w:val="20"/>
          <w:szCs w:val="20"/>
          <w:color w:val="auto"/>
        </w:rPr>
      </w:pPr>
    </w:p>
    <w:p>
      <w:pPr>
        <w:ind w:left="100"/>
        <w:spacing w:after="0"/>
        <w:tabs>
          <w:tab w:leader="none" w:pos="10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25114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100"/>
        <w:spacing w:after="0"/>
        <w:tabs>
          <w:tab w:leader="none" w:pos="1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5114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8" w:name="page359"/>
    <w:bookmarkEnd w:id="358"/>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Appendix A2</w:t>
      </w:r>
    </w:p>
    <w:p>
      <w:pPr>
        <w:spacing w:after="0" w:line="225" w:lineRule="exact"/>
        <w:rPr>
          <w:sz w:val="20"/>
          <w:szCs w:val="20"/>
          <w:color w:val="auto"/>
        </w:rPr>
      </w:pPr>
    </w:p>
    <w:p>
      <w:pPr>
        <w:jc w:val="right"/>
        <w:ind w:right="3739"/>
        <w:spacing w:after="0"/>
        <w:rPr>
          <w:sz w:val="20"/>
          <w:szCs w:val="20"/>
          <w:color w:val="auto"/>
        </w:rPr>
      </w:pPr>
      <w:r>
        <w:rPr>
          <w:rFonts w:ascii="Times New Roman" w:cs="Times New Roman" w:eastAsia="Times New Roman" w:hAnsi="Times New Roman"/>
          <w:sz w:val="18"/>
          <w:szCs w:val="18"/>
          <w:b w:val="1"/>
          <w:bCs w:val="1"/>
          <w:u w:val="single" w:color="auto"/>
          <w:color w:val="auto"/>
        </w:rPr>
        <w:t>RESEARCH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361" w:name="page362"/>
    <w:bookmarkEnd w:id="361"/>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2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Appendix A2</w:t>
      </w:r>
    </w:p>
    <w:p>
      <w:pPr>
        <w:spacing w:after="0" w:line="198" w:lineRule="exact"/>
        <w:rPr>
          <w:sz w:val="20"/>
          <w:szCs w:val="20"/>
          <w:color w:val="auto"/>
        </w:rPr>
      </w:pPr>
    </w:p>
    <w:p>
      <w:pPr>
        <w:jc w:val="right"/>
        <w:ind w:right="3519"/>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BUDGET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363" w:name="page364"/>
    <w:bookmarkEnd w:id="36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w w:val="99"/>
              </w:rPr>
              <w:t>Exhibit 8.1</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3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560" w:type="dxa"/>
            <w:vAlign w:val="bottom"/>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2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CureVac SE</w:t>
            </w:r>
          </w:p>
        </w:tc>
        <w:tc>
          <w:tcPr>
            <w:tcW w:w="2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Germany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CureVac Inc.</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CureVac Belgium SA</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Belgium</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CureVac Swiss AG</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Switzerland</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CureVac Corporate Services GmbH</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CureVac Netherlands BV</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Netherlands</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CureVac RNA Printer GmbH</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23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CureVac Manufacturing GmbH</w:t>
            </w:r>
          </w:p>
        </w:tc>
        <w:tc>
          <w:tcPr>
            <w:tcW w:w="2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776"/>
        </w:trPr>
        <w:tc>
          <w:tcPr>
            <w:tcW w:w="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364" w:name="page365"/>
    <w:bookmarkEnd w:id="364"/>
    <w:p>
      <w:pPr>
        <w:ind w:left="9000"/>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37"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 OF THE SARBANES-OXLEY ACT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Zehnder, certify that:</w:t>
      </w:r>
    </w:p>
    <w:p>
      <w:pPr>
        <w:spacing w:after="0" w:line="225" w:lineRule="exact"/>
        <w:rPr>
          <w:sz w:val="20"/>
          <w:szCs w:val="20"/>
          <w:color w:val="auto"/>
        </w:rPr>
      </w:pPr>
    </w:p>
    <w:p>
      <w:pPr>
        <w:ind w:left="660" w:hanging="274"/>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CureVac N.V.;</w:t>
      </w:r>
    </w:p>
    <w:p>
      <w:pPr>
        <w:spacing w:after="0" w:line="225" w:lineRule="exact"/>
        <w:rPr>
          <w:rFonts w:ascii="Times New Roman" w:cs="Times New Roman" w:eastAsia="Times New Roman" w:hAnsi="Times New Roman"/>
          <w:sz w:val="18"/>
          <w:szCs w:val="18"/>
          <w:color w:val="auto"/>
        </w:rPr>
      </w:pPr>
    </w:p>
    <w:p>
      <w:pPr>
        <w:ind w:left="660" w:right="200" w:hanging="274"/>
        <w:spacing w:after="0" w:line="266"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274"/>
        <w:spacing w:after="0" w:line="266"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274"/>
        <w:spacing w:after="0" w:line="266"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20" w:right="80" w:hanging="264"/>
        <w:spacing w:after="0" w:line="266" w:lineRule="auto"/>
        <w:tabs>
          <w:tab w:leader="none" w:pos="92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20" w:right="460" w:hanging="264"/>
        <w:spacing w:after="0" w:line="266" w:lineRule="auto"/>
        <w:tabs>
          <w:tab w:leader="none" w:pos="92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20" w:right="20" w:hanging="264"/>
        <w:spacing w:after="0" w:line="266" w:lineRule="auto"/>
        <w:tabs>
          <w:tab w:leader="none" w:pos="92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20" w:hanging="264"/>
        <w:spacing w:after="0" w:line="266" w:lineRule="auto"/>
        <w:tabs>
          <w:tab w:leader="none" w:pos="92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80" w:hanging="274"/>
        <w:spacing w:after="0" w:line="266"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20" w:right="260" w:hanging="264"/>
        <w:spacing w:after="0" w:line="266" w:lineRule="auto"/>
        <w:tabs>
          <w:tab w:leader="none" w:pos="92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20" w:right="640" w:hanging="264"/>
        <w:spacing w:after="0" w:line="282" w:lineRule="auto"/>
        <w:tabs>
          <w:tab w:leader="none" w:pos="92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Alexander Zehnder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861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Zehnder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5" w:name="page366"/>
    <w:bookmarkEnd w:id="365"/>
    <w:p>
      <w:pPr>
        <w:ind w:left="9000"/>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 OF THE SARBANES-OXLEY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Pierre Kemula, certify that:</w:t>
      </w:r>
    </w:p>
    <w:p>
      <w:pPr>
        <w:spacing w:after="0" w:line="225" w:lineRule="exact"/>
        <w:rPr>
          <w:sz w:val="20"/>
          <w:szCs w:val="20"/>
          <w:color w:val="auto"/>
        </w:rPr>
      </w:pPr>
    </w:p>
    <w:p>
      <w:pPr>
        <w:ind w:left="660" w:hanging="274"/>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CureVac N.V.;</w:t>
      </w:r>
    </w:p>
    <w:p>
      <w:pPr>
        <w:spacing w:after="0" w:line="225" w:lineRule="exact"/>
        <w:rPr>
          <w:rFonts w:ascii="Times New Roman" w:cs="Times New Roman" w:eastAsia="Times New Roman" w:hAnsi="Times New Roman"/>
          <w:sz w:val="18"/>
          <w:szCs w:val="18"/>
          <w:color w:val="auto"/>
        </w:rPr>
      </w:pPr>
    </w:p>
    <w:p>
      <w:pPr>
        <w:ind w:left="660" w:right="200" w:hanging="274"/>
        <w:spacing w:after="0" w:line="266"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274"/>
        <w:spacing w:after="0" w:line="266"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274"/>
        <w:spacing w:after="0" w:line="266"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20" w:right="80" w:hanging="264"/>
        <w:spacing w:after="0" w:line="266" w:lineRule="auto"/>
        <w:tabs>
          <w:tab w:leader="none" w:pos="92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20" w:right="460" w:hanging="264"/>
        <w:spacing w:after="0" w:line="266" w:lineRule="auto"/>
        <w:tabs>
          <w:tab w:leader="none" w:pos="92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20" w:right="20" w:hanging="264"/>
        <w:spacing w:after="0" w:line="266" w:lineRule="auto"/>
        <w:tabs>
          <w:tab w:leader="none" w:pos="92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20" w:hanging="264"/>
        <w:spacing w:after="0" w:line="266" w:lineRule="auto"/>
        <w:tabs>
          <w:tab w:leader="none" w:pos="92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80" w:hanging="274"/>
        <w:spacing w:after="0" w:line="266"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20" w:right="260" w:hanging="264"/>
        <w:spacing w:after="0" w:line="266" w:lineRule="auto"/>
        <w:tabs>
          <w:tab w:leader="none" w:pos="92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20" w:right="640" w:hanging="264"/>
        <w:spacing w:after="0" w:line="282" w:lineRule="auto"/>
        <w:tabs>
          <w:tab w:leader="none" w:pos="92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Pierre Kemula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429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4">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Pierre Kemula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6" w:name="page367"/>
    <w:bookmarkEnd w:id="366"/>
    <w:p>
      <w:pPr>
        <w:ind w:left="8880"/>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37" w:lineRule="exact"/>
        <w:rPr>
          <w:sz w:val="20"/>
          <w:szCs w:val="20"/>
          <w:color w:val="auto"/>
        </w:rPr>
      </w:pPr>
    </w:p>
    <w:p>
      <w:pPr>
        <w:ind w:left="2460" w:right="280" w:hanging="2283"/>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18 U.S.C. SECTION 1350, AS ADOPTED PURSUANT TO SECTION 906 OF THE SARBANES-OXLEY ACT OF 2002</w:t>
      </w:r>
    </w:p>
    <w:p>
      <w:pPr>
        <w:spacing w:after="0" w:line="172" w:lineRule="exact"/>
        <w:rPr>
          <w:sz w:val="20"/>
          <w:szCs w:val="20"/>
          <w:color w:val="auto"/>
        </w:rPr>
      </w:pPr>
    </w:p>
    <w:p>
      <w:pPr>
        <w:ind w:right="80" w:firstLine="544"/>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Annual Report on Form 20-F of CureVac N.V.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 Alexander Zehnder, the Chief Executive Officer of CureVac N.V., certify that, to the best of my knowledge:</w:t>
      </w:r>
    </w:p>
    <w:p>
      <w:pPr>
        <w:spacing w:after="0" w:line="225" w:lineRule="exact"/>
        <w:rPr>
          <w:sz w:val="20"/>
          <w:szCs w:val="20"/>
          <w:color w:val="auto"/>
        </w:rPr>
      </w:pPr>
    </w:p>
    <w:p>
      <w:pPr>
        <w:ind w:left="800" w:hanging="264"/>
        <w:spacing w:after="0"/>
        <w:tabs>
          <w:tab w:leader="none" w:pos="8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left="800" w:right="640" w:hanging="264"/>
        <w:spacing w:after="0" w:line="282" w:lineRule="auto"/>
        <w:tabs>
          <w:tab w:leader="none" w:pos="8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CureVac N.V.</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Alexander Zehnder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17145</wp:posOffset>
            </wp:positionV>
            <wp:extent cx="330898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 Alexander Zehnder</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485775</wp:posOffset>
            </wp:positionV>
            <wp:extent cx="629221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1100" w:top="117" w:right="999" w:bottom="1440" w:gutter="0" w:footer="0" w:header="0"/>
        </w:sectPr>
      </w:pPr>
    </w:p>
    <w:bookmarkStart w:id="367" w:name="page368"/>
    <w:bookmarkEnd w:id="367"/>
    <w:p>
      <w:pPr>
        <w:ind w:left="8880"/>
        <w:spacing w:after="0"/>
        <w:rPr>
          <w:sz w:val="20"/>
          <w:szCs w:val="20"/>
          <w:color w:val="auto"/>
        </w:rPr>
      </w:pPr>
      <w:r>
        <w:rPr>
          <w:rFonts w:ascii="Times New Roman" w:cs="Times New Roman" w:eastAsia="Times New Roman" w:hAnsi="Times New Roman"/>
          <w:sz w:val="17"/>
          <w:szCs w:val="17"/>
          <w:b w:val="1"/>
          <w:bCs w:val="1"/>
          <w:color w:val="auto"/>
        </w:rPr>
        <w:t>Exhibit 13.2</w:t>
      </w:r>
    </w:p>
    <w:p>
      <w:pPr>
        <w:spacing w:after="0" w:line="237" w:lineRule="exact"/>
        <w:rPr>
          <w:sz w:val="20"/>
          <w:szCs w:val="20"/>
          <w:color w:val="auto"/>
        </w:rPr>
      </w:pPr>
    </w:p>
    <w:p>
      <w:pPr>
        <w:ind w:left="2460" w:right="300" w:hanging="2258"/>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18 U.S.C. SECTION 1350, AS ADOPTED PURSUANT TO SECTION 906 OF THE SARBANES-OXLEY ACT OF 2002</w:t>
      </w:r>
    </w:p>
    <w:p>
      <w:pPr>
        <w:spacing w:after="0" w:line="172" w:lineRule="exact"/>
        <w:rPr>
          <w:sz w:val="20"/>
          <w:szCs w:val="20"/>
          <w:color w:val="auto"/>
        </w:rPr>
      </w:pPr>
    </w:p>
    <w:p>
      <w:pPr>
        <w:ind w:right="60" w:firstLine="545"/>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Annual Report on Form 20-F of CureVac N.V. (the “Report”) for the purpose of complying with Rule 13a-14(b) or Rule 15d-14(b) of the Securities Exchange Act of 1934 (the “Exchange Act”) and Section 1350 of Chapter 63 of Title 18 of the United States Code.</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 Pierre Kemula, the Chief Financial Officer of CureVac N.V., certify that, to the best of my knowledge:</w:t>
      </w:r>
    </w:p>
    <w:p>
      <w:pPr>
        <w:spacing w:after="0" w:line="225" w:lineRule="exact"/>
        <w:rPr>
          <w:sz w:val="20"/>
          <w:szCs w:val="20"/>
          <w:color w:val="auto"/>
        </w:rPr>
      </w:pPr>
    </w:p>
    <w:p>
      <w:pPr>
        <w:ind w:left="800" w:hanging="264"/>
        <w:spacing w:after="0"/>
        <w:tabs>
          <w:tab w:leader="none" w:pos="8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25" w:lineRule="exact"/>
        <w:rPr>
          <w:rFonts w:ascii="Times New Roman" w:cs="Times New Roman" w:eastAsia="Times New Roman" w:hAnsi="Times New Roman"/>
          <w:sz w:val="18"/>
          <w:szCs w:val="18"/>
          <w:color w:val="auto"/>
        </w:rPr>
      </w:pPr>
    </w:p>
    <w:p>
      <w:pPr>
        <w:ind w:left="800" w:right="640" w:hanging="264"/>
        <w:spacing w:after="0" w:line="282" w:lineRule="auto"/>
        <w:tabs>
          <w:tab w:leader="none" w:pos="8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CureVac N.V.</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Pierre Kemula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3178810</wp:posOffset>
            </wp:positionH>
            <wp:positionV relativeFrom="paragraph">
              <wp:posOffset>17145</wp:posOffset>
            </wp:positionV>
            <wp:extent cx="30429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Pierre Kemula</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485775</wp:posOffset>
            </wp:positionV>
            <wp:extent cx="629221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117" w:right="99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333-259613) on Form F-3 and (No. 333-246197) on Form S-8 of our reports dated April 24, 2024, with respect to the consolidated financial statements of CureVac N.V. and the effectiveness of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AG Wirtschaftsprüfungsgesellschaft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Mannheim,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F-3 No. 333-259613) of CureVac N.V., and</w:t>
      </w:r>
    </w:p>
    <w:p>
      <w:pPr>
        <w:spacing w:after="0" w:line="27" w:lineRule="exact"/>
        <w:rPr>
          <w:rFonts w:ascii="Times New Roman" w:cs="Times New Roman" w:eastAsia="Times New Roman" w:hAnsi="Times New Roman"/>
          <w:sz w:val="18"/>
          <w:szCs w:val="18"/>
          <w:color w:val="auto"/>
        </w:rPr>
      </w:pPr>
    </w:p>
    <w:p>
      <w:pPr>
        <w:ind w:right="100" w:firstLine="8"/>
        <w:spacing w:after="0" w:line="260" w:lineRule="auto"/>
        <w:tabs>
          <w:tab w:leader="none" w:pos="25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333-246197) as amended, pertaining to the CureVac N.V. Long-Term Incentive Plan, CureVac Virtual Share Plan, and Employment Agreement between CureVac AG and a Former Employee;</w:t>
      </w:r>
    </w:p>
    <w:p>
      <w:pPr>
        <w:spacing w:after="0" w:line="1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 our report dated April 25, 2023, with respect to the consolidated financial statements of CureVac N.V. included in this Annual Report (Form 20-F) of CureVac N.V. for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 GmbH &amp; Co. KG Wirtschaftsprüfungsgesellschaft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Stuttgart,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39"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31"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b w:val="1"/>
          <w:bCs w:val="1"/>
          <w:color w:val="auto"/>
        </w:rPr>
        <w:t>COMPENSATION RECOUPMENT POLICY</w:t>
      </w:r>
    </w:p>
    <w:p>
      <w:pPr>
        <w:spacing w:after="0" w:line="203" w:lineRule="exact"/>
        <w:rPr>
          <w:sz w:val="20"/>
          <w:szCs w:val="20"/>
          <w:color w:val="auto"/>
        </w:rPr>
      </w:pPr>
    </w:p>
    <w:p>
      <w:pPr>
        <w:ind w:left="2" w:right="60" w:firstLine="324"/>
        <w:spacing w:after="0" w:line="256" w:lineRule="auto"/>
        <w:rPr>
          <w:sz w:val="20"/>
          <w:szCs w:val="20"/>
          <w:color w:val="auto"/>
        </w:rPr>
      </w:pPr>
      <w:r>
        <w:rPr>
          <w:rFonts w:ascii="Times New Roman" w:cs="Times New Roman" w:eastAsia="Times New Roman" w:hAnsi="Times New Roman"/>
          <w:sz w:val="18"/>
          <w:szCs w:val="18"/>
          <w:color w:val="auto"/>
        </w:rPr>
        <w:t>This CureVac N.V. Compensation Recoupment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has been adopted by supervisory board (the “</w:t>
      </w:r>
      <w:r>
        <w:rPr>
          <w:rFonts w:ascii="Times New Roman" w:cs="Times New Roman" w:eastAsia="Times New Roman" w:hAnsi="Times New Roman"/>
          <w:sz w:val="18"/>
          <w:szCs w:val="18"/>
          <w:b w:val="1"/>
          <w:bCs w:val="1"/>
          <w:color w:val="auto"/>
        </w:rPr>
        <w:t>Supervisory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CureVac N.V.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This Policy provides for the recoupment of certain executive compensation in the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 (the “</w:t>
      </w:r>
      <w:r>
        <w:rPr>
          <w:rFonts w:ascii="Times New Roman" w:cs="Times New Roman" w:eastAsia="Times New Roman" w:hAnsi="Times New Roman"/>
          <w:sz w:val="18"/>
          <w:szCs w:val="18"/>
          <w:b w:val="1"/>
          <w:bCs w:val="1"/>
          <w:color w:val="auto"/>
        </w:rPr>
        <w:t>Listing Rule</w:t>
      </w:r>
      <w:r>
        <w:rPr>
          <w:rFonts w:ascii="Times New Roman" w:cs="Times New Roman" w:eastAsia="Times New Roman" w:hAnsi="Times New Roman"/>
          <w:sz w:val="18"/>
          <w:szCs w:val="18"/>
          <w:color w:val="auto"/>
        </w:rPr>
        <w:t>”). This Policy also reflects certain Dutch legal provisions relating to the recoupment and/or adjustment of a Bonus from members of the Company's management board under certain circumstances defined by Dutch law.</w:t>
      </w:r>
    </w:p>
    <w:p>
      <w:pPr>
        <w:spacing w:after="0" w:line="187" w:lineRule="exact"/>
        <w:rPr>
          <w:sz w:val="20"/>
          <w:szCs w:val="20"/>
          <w:color w:val="auto"/>
        </w:rPr>
      </w:pPr>
    </w:p>
    <w:p>
      <w:pPr>
        <w:ind w:left="642" w:hanging="642"/>
        <w:spacing w:after="0"/>
        <w:tabs>
          <w:tab w:leader="none" w:pos="64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Policy, the following terms shall have the meanings set forth below.</w:t>
      </w:r>
    </w:p>
    <w:p>
      <w:pPr>
        <w:spacing w:after="0" w:line="302" w:lineRule="exact"/>
        <w:rPr>
          <w:rFonts w:ascii="Times New Roman" w:cs="Times New Roman" w:eastAsia="Times New Roman" w:hAnsi="Times New Roman"/>
          <w:sz w:val="18"/>
          <w:szCs w:val="18"/>
          <w:color w:val="auto"/>
        </w:rPr>
      </w:pPr>
    </w:p>
    <w:p>
      <w:pPr>
        <w:ind w:left="2" w:firstLine="322"/>
        <w:spacing w:after="0" w:line="268" w:lineRule="auto"/>
        <w:tabs>
          <w:tab w:leader="none" w:pos="57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18"/>
          <w:szCs w:val="18"/>
          <w:color w:val="auto"/>
        </w:rPr>
        <w:t>” means any variable compensation of a member of the Company's management board that is partly or entirely conditional on the achievement of certain targets or the occurrence of certain events (e.g., signing bonuses, severance pay, cash bonuses, performance awards and contributions to pension funds).</w:t>
      </w:r>
    </w:p>
    <w:p>
      <w:pPr>
        <w:spacing w:after="0" w:line="170" w:lineRule="exact"/>
        <w:rPr>
          <w:rFonts w:ascii="Times New Roman" w:cs="Times New Roman" w:eastAsia="Times New Roman" w:hAnsi="Times New Roman"/>
          <w:sz w:val="18"/>
          <w:szCs w:val="18"/>
          <w:color w:val="auto"/>
        </w:rPr>
      </w:pPr>
    </w:p>
    <w:p>
      <w:pPr>
        <w:ind w:left="2" w:right="60" w:firstLine="322"/>
        <w:spacing w:after="0" w:line="286" w:lineRule="auto"/>
        <w:tabs>
          <w:tab w:leader="none" w:pos="58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Compensation</w:t>
      </w:r>
      <w:r>
        <w:rPr>
          <w:rFonts w:ascii="Times New Roman" w:cs="Times New Roman" w:eastAsia="Times New Roman" w:hAnsi="Times New Roman"/>
          <w:sz w:val="18"/>
          <w:szCs w:val="18"/>
          <w:color w:val="auto"/>
        </w:rPr>
        <w:t xml:space="preserve">” means any Incentive-based Compensation “received” by a Covered Executive during the applicable Recoupment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58" w:lineRule="exact"/>
        <w:rPr>
          <w:rFonts w:ascii="Times New Roman" w:cs="Times New Roman" w:eastAsia="Times New Roman" w:hAnsi="Times New Roman"/>
          <w:sz w:val="18"/>
          <w:szCs w:val="18"/>
          <w:color w:val="auto"/>
        </w:rPr>
      </w:pPr>
    </w:p>
    <w:p>
      <w:pPr>
        <w:jc w:val="both"/>
        <w:ind w:left="1022" w:right="60" w:hanging="383"/>
        <w:spacing w:after="0" w:line="266" w:lineRule="auto"/>
        <w:tabs>
          <w:tab w:leader="none" w:pos="1022"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w:t>
      </w:r>
    </w:p>
    <w:p>
      <w:pPr>
        <w:spacing w:after="0" w:line="175" w:lineRule="exact"/>
        <w:rPr>
          <w:rFonts w:ascii="Times New Roman" w:cs="Times New Roman" w:eastAsia="Times New Roman" w:hAnsi="Times New Roman"/>
          <w:sz w:val="18"/>
          <w:szCs w:val="18"/>
          <w:color w:val="auto"/>
        </w:rPr>
      </w:pPr>
    </w:p>
    <w:p>
      <w:pPr>
        <w:ind w:left="1022" w:right="380" w:hanging="383"/>
        <w:spacing w:after="0" w:line="282" w:lineRule="auto"/>
        <w:tabs>
          <w:tab w:leader="none" w:pos="1022"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Covered Executive served as an Executive Officer at any time during the performance period applicable to such Incentive-based Compensation.</w:t>
      </w:r>
    </w:p>
    <w:p>
      <w:pPr>
        <w:spacing w:after="0" w:line="158" w:lineRule="exact"/>
        <w:rPr>
          <w:sz w:val="20"/>
          <w:szCs w:val="20"/>
          <w:color w:val="auto"/>
        </w:rPr>
      </w:pPr>
    </w:p>
    <w:p>
      <w:pPr>
        <w:jc w:val="both"/>
        <w:ind w:left="2" w:right="160"/>
        <w:spacing w:after="0" w:line="268" w:lineRule="auto"/>
        <w:rPr>
          <w:sz w:val="20"/>
          <w:szCs w:val="20"/>
          <w:color w:val="auto"/>
        </w:rPr>
      </w:pPr>
      <w:r>
        <w:rPr>
          <w:rFonts w:ascii="Times New Roman" w:cs="Times New Roman" w:eastAsia="Times New Roman" w:hAnsi="Times New Roman"/>
          <w:sz w:val="18"/>
          <w:szCs w:val="18"/>
          <w:color w:val="auto"/>
        </w:rPr>
        <w:t>For purposes of this Policy, Incentive-based Compensation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184" w:lineRule="exact"/>
        <w:rPr>
          <w:sz w:val="20"/>
          <w:szCs w:val="20"/>
          <w:color w:val="auto"/>
        </w:rPr>
      </w:pPr>
    </w:p>
    <w:p>
      <w:pPr>
        <w:ind w:left="562" w:hanging="247"/>
        <w:spacing w:after="0"/>
        <w:tabs>
          <w:tab w:leader="none" w:pos="56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means any current or former Executive Officer.</w:t>
      </w:r>
    </w:p>
    <w:p>
      <w:pPr>
        <w:spacing w:after="0" w:line="225" w:lineRule="exact"/>
        <w:rPr>
          <w:rFonts w:ascii="Times New Roman" w:cs="Times New Roman" w:eastAsia="Times New Roman" w:hAnsi="Times New Roman"/>
          <w:sz w:val="18"/>
          <w:szCs w:val="18"/>
          <w:color w:val="auto"/>
        </w:rPr>
      </w:pPr>
    </w:p>
    <w:p>
      <w:pPr>
        <w:ind w:left="562" w:hanging="247"/>
        <w:spacing w:after="0"/>
        <w:tabs>
          <w:tab w:leader="none" w:pos="56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October 2, 2023.</w:t>
      </w:r>
    </w:p>
    <w:p>
      <w:pPr>
        <w:spacing w:after="0" w:line="225" w:lineRule="exact"/>
        <w:rPr>
          <w:rFonts w:ascii="Times New Roman" w:cs="Times New Roman" w:eastAsia="Times New Roman" w:hAnsi="Times New Roman"/>
          <w:sz w:val="18"/>
          <w:szCs w:val="18"/>
          <w:color w:val="auto"/>
        </w:rPr>
      </w:pPr>
    </w:p>
    <w:p>
      <w:pPr>
        <w:ind w:left="562" w:hanging="247"/>
        <w:spacing w:after="0"/>
        <w:tabs>
          <w:tab w:leader="none" w:pos="56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left="522" w:hanging="207"/>
        <w:spacing w:after="0"/>
        <w:tabs>
          <w:tab w:leader="none" w:pos="52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with respect to the Company, (i) its president, (ii) its principal financial officer,</w:t>
      </w:r>
    </w:p>
    <w:p>
      <w:pPr>
        <w:spacing w:after="0" w:line="31" w:lineRule="exact"/>
        <w:rPr>
          <w:rFonts w:ascii="Times New Roman" w:cs="Times New Roman" w:eastAsia="Times New Roman" w:hAnsi="Times New Roman"/>
          <w:sz w:val="18"/>
          <w:szCs w:val="18"/>
          <w:color w:val="auto"/>
        </w:rPr>
      </w:pPr>
    </w:p>
    <w:p>
      <w:pPr>
        <w:ind w:left="2" w:right="20" w:hanging="2"/>
        <w:spacing w:after="0" w:line="252" w:lineRule="auto"/>
        <w:tabs>
          <w:tab w:leader="none" w:pos="31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compensation committee of the Supervisory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or the Supervisory Board and such determination shall be final, conclusive and binding on such individual and all other interested persons.</w:t>
      </w:r>
    </w:p>
    <w:p>
      <w:pPr>
        <w:spacing w:after="0" w:line="184" w:lineRule="exact"/>
        <w:rPr>
          <w:rFonts w:ascii="Times New Roman" w:cs="Times New Roman" w:eastAsia="Times New Roman" w:hAnsi="Times New Roman"/>
          <w:sz w:val="18"/>
          <w:szCs w:val="18"/>
          <w:color w:val="auto"/>
        </w:rPr>
      </w:pPr>
    </w:p>
    <w:p>
      <w:pPr>
        <w:ind w:left="2" w:right="280" w:firstLine="322"/>
        <w:spacing w:after="0" w:line="263" w:lineRule="auto"/>
        <w:tabs>
          <w:tab w:leader="none" w:pos="58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any (i) measure that is determined and presented in accordance with the accounting principles used in preparing the Company’s financial statements, (ii) stock price measure or</w:t>
      </w:r>
    </w:p>
    <w:p>
      <w:pPr>
        <w:ind w:left="2" w:right="40" w:hanging="2"/>
        <w:spacing w:after="0" w:line="255" w:lineRule="auto"/>
        <w:tabs>
          <w:tab w:leader="none" w:pos="31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spacing w:after="0" w:line="181" w:lineRule="exact"/>
        <w:rPr>
          <w:rFonts w:ascii="Times New Roman" w:cs="Times New Roman" w:eastAsia="Times New Roman" w:hAnsi="Times New Roman"/>
          <w:sz w:val="18"/>
          <w:szCs w:val="18"/>
          <w:color w:val="auto"/>
        </w:rPr>
      </w:pPr>
    </w:p>
    <w:p>
      <w:pPr>
        <w:jc w:val="both"/>
        <w:ind w:left="2" w:right="780" w:firstLine="322"/>
        <w:spacing w:after="0" w:line="317" w:lineRule="auto"/>
        <w:tabs>
          <w:tab w:leader="none" w:pos="586"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Restatement</w:t>
      </w:r>
      <w:r>
        <w:rPr>
          <w:rFonts w:ascii="Times New Roman" w:cs="Times New Roman" w:eastAsia="Times New Roman" w:hAnsi="Times New Roman"/>
          <w:sz w:val="17"/>
          <w:szCs w:val="17"/>
          <w:color w:val="auto"/>
        </w:rPr>
        <w:t>” means a restatement of the Company’s financial statements due to the Company’s material noncompliance with any financial reporting requirement under U.S. federal securities laws that is required in order to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808990</wp:posOffset>
            </wp:positionV>
            <wp:extent cx="629221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2"/>
          </w:cols>
          <w:pgMar w:left="1078" w:top="117" w:right="999" w:bottom="1440" w:gutter="0" w:footer="0" w:header="0"/>
        </w:sectPr>
      </w:pPr>
    </w:p>
    <w:bookmarkStart w:id="371" w:name="page372"/>
    <w:bookmarkEnd w:id="371"/>
    <w:p>
      <w:pPr>
        <w:ind w:left="1031" w:hanging="383"/>
        <w:spacing w:after="0"/>
        <w:tabs>
          <w:tab w:leader="none" w:pos="103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in previously issued financial statements that is material to the previously issued financial statements; or</w:t>
      </w:r>
    </w:p>
    <w:p>
      <w:pPr>
        <w:spacing w:after="0" w:line="225" w:lineRule="exact"/>
        <w:rPr>
          <w:rFonts w:ascii="Times New Roman" w:cs="Times New Roman" w:eastAsia="Times New Roman" w:hAnsi="Times New Roman"/>
          <w:sz w:val="18"/>
          <w:szCs w:val="18"/>
          <w:color w:val="auto"/>
        </w:rPr>
      </w:pPr>
    </w:p>
    <w:p>
      <w:pPr>
        <w:ind w:left="1031" w:right="460" w:hanging="383"/>
        <w:spacing w:after="0" w:line="282" w:lineRule="auto"/>
        <w:tabs>
          <w:tab w:leader="none" w:pos="103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that would result in a material misstatement if the error were (A) corrected in the current period or (B) left uncorrected in the current period.</w:t>
      </w:r>
    </w:p>
    <w:p>
      <w:pPr>
        <w:spacing w:after="0" w:line="162" w:lineRule="exact"/>
        <w:rPr>
          <w:sz w:val="20"/>
          <w:szCs w:val="20"/>
          <w:color w:val="auto"/>
        </w:rPr>
      </w:pPr>
    </w:p>
    <w:p>
      <w:pPr>
        <w:ind w:left="11" w:right="40"/>
        <w:spacing w:after="0" w:line="272" w:lineRule="auto"/>
        <w:rPr>
          <w:sz w:val="20"/>
          <w:szCs w:val="20"/>
          <w:color w:val="auto"/>
        </w:rPr>
      </w:pPr>
      <w:r>
        <w:rPr>
          <w:rFonts w:ascii="Times New Roman" w:cs="Times New Roman" w:eastAsia="Times New Roman" w:hAnsi="Times New Roman"/>
          <w:sz w:val="17"/>
          <w:szCs w:val="17"/>
          <w:color w:val="auto"/>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w:t>
      </w:r>
    </w:p>
    <w:p>
      <w:pPr>
        <w:spacing w:after="0" w:line="2" w:lineRule="exact"/>
        <w:rPr>
          <w:sz w:val="20"/>
          <w:szCs w:val="20"/>
          <w:color w:val="auto"/>
        </w:rPr>
      </w:pPr>
    </w:p>
    <w:p>
      <w:pPr>
        <w:ind w:left="11" w:hanging="2"/>
        <w:spacing w:after="0" w:line="253" w:lineRule="auto"/>
        <w:tabs>
          <w:tab w:leader="none" w:pos="26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 to reportable segment information due to a change in the structure of the Company’s internal organization; (3) reclassification due to a discontinued operation; (4) application of a change in reporting entity, such as from a reorganization of entities under common control; (5) revision for stock splits, reverse stock splits, stock dividends or other changes in capital structure; or (6) adjustment to provisional amounts in connection with a prior business combination.</w:t>
      </w:r>
    </w:p>
    <w:p>
      <w:pPr>
        <w:spacing w:after="0" w:line="184" w:lineRule="exact"/>
        <w:rPr>
          <w:rFonts w:ascii="Times New Roman" w:cs="Times New Roman" w:eastAsia="Times New Roman" w:hAnsi="Times New Roman"/>
          <w:sz w:val="18"/>
          <w:szCs w:val="18"/>
          <w:color w:val="auto"/>
        </w:rPr>
      </w:pPr>
    </w:p>
    <w:p>
      <w:pPr>
        <w:ind w:left="11" w:right="20" w:firstLine="322"/>
        <w:spacing w:after="0" w:line="257" w:lineRule="auto"/>
        <w:tabs>
          <w:tab w:leader="none" w:pos="556"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xml:space="preserve">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 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82" w:lineRule="exact"/>
        <w:rPr>
          <w:rFonts w:ascii="Times New Roman" w:cs="Times New Roman" w:eastAsia="Times New Roman" w:hAnsi="Times New Roman"/>
          <w:sz w:val="18"/>
          <w:szCs w:val="18"/>
          <w:color w:val="auto"/>
        </w:rPr>
      </w:pPr>
    </w:p>
    <w:p>
      <w:pPr>
        <w:ind w:left="531" w:hanging="207"/>
        <w:spacing w:after="0"/>
        <w:tabs>
          <w:tab w:leader="none" w:pos="531"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 or any successor thereof.</w:t>
      </w:r>
    </w:p>
    <w:p>
      <w:pPr>
        <w:spacing w:after="0" w:line="225" w:lineRule="exact"/>
        <w:rPr>
          <w:rFonts w:ascii="Times New Roman" w:cs="Times New Roman" w:eastAsia="Times New Roman" w:hAnsi="Times New Roman"/>
          <w:sz w:val="18"/>
          <w:szCs w:val="18"/>
          <w:color w:val="auto"/>
        </w:rPr>
      </w:pPr>
    </w:p>
    <w:p>
      <w:pPr>
        <w:ind w:left="11" w:right="160" w:firstLine="322"/>
        <w:spacing w:after="0" w:line="259" w:lineRule="auto"/>
        <w:tabs>
          <w:tab w:leader="none" w:pos="595"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Recoupment Period</w:t>
      </w:r>
      <w:r>
        <w:rPr>
          <w:rFonts w:ascii="Times New Roman" w:cs="Times New Roman" w:eastAsia="Times New Roman" w:hAnsi="Times New Roman"/>
          <w:sz w:val="18"/>
          <w:szCs w:val="18"/>
          <w:color w:val="auto"/>
        </w:rPr>
        <w:t>” means the three (3)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(3)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192" w:lineRule="exact"/>
        <w:rPr>
          <w:rFonts w:ascii="Times New Roman" w:cs="Times New Roman" w:eastAsia="Times New Roman" w:hAnsi="Times New Roman"/>
          <w:sz w:val="18"/>
          <w:szCs w:val="18"/>
          <w:color w:val="auto"/>
        </w:rPr>
      </w:pPr>
    </w:p>
    <w:p>
      <w:pPr>
        <w:ind w:left="11" w:right="60" w:firstLine="322"/>
        <w:spacing w:after="0" w:line="262" w:lineRule="auto"/>
        <w:tabs>
          <w:tab w:leader="none" w:pos="556"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Recoupment Trigger Date</w:t>
      </w:r>
      <w:r>
        <w:rPr>
          <w:rFonts w:ascii="Times New Roman" w:cs="Times New Roman" w:eastAsia="Times New Roman" w:hAnsi="Times New Roman"/>
          <w:sz w:val="18"/>
          <w:szCs w:val="18"/>
          <w:color w:val="auto"/>
        </w:rPr>
        <w:t>” means the earlier of (i) the date that the Supervisory Board (or a committee thereof or the officer(s) of the Company authorized to take such action if Supervisory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180" w:lineRule="exact"/>
        <w:rPr>
          <w:rFonts w:ascii="Times New Roman" w:cs="Times New Roman" w:eastAsia="Times New Roman" w:hAnsi="Times New Roman"/>
          <w:sz w:val="18"/>
          <w:szCs w:val="18"/>
          <w:color w:val="auto"/>
        </w:rPr>
      </w:pPr>
    </w:p>
    <w:p>
      <w:pPr>
        <w:ind w:left="651" w:hanging="651"/>
        <w:spacing w:after="0"/>
        <w:tabs>
          <w:tab w:leader="none" w:pos="65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of Erroneously Awarded Compensation</w:t>
      </w:r>
      <w:r>
        <w:rPr>
          <w:rFonts w:ascii="Times New Roman" w:cs="Times New Roman" w:eastAsia="Times New Roman" w:hAnsi="Times New Roman"/>
          <w:sz w:val="18"/>
          <w:szCs w:val="18"/>
          <w:color w:val="auto"/>
        </w:rPr>
        <w:t>.</w:t>
      </w:r>
    </w:p>
    <w:p>
      <w:pPr>
        <w:spacing w:after="0" w:line="306" w:lineRule="exact"/>
        <w:rPr>
          <w:rFonts w:ascii="Times New Roman" w:cs="Times New Roman" w:eastAsia="Times New Roman" w:hAnsi="Times New Roman"/>
          <w:sz w:val="18"/>
          <w:szCs w:val="18"/>
          <w:color w:val="auto"/>
        </w:rPr>
      </w:pPr>
    </w:p>
    <w:p>
      <w:pPr>
        <w:ind w:left="591" w:hanging="258"/>
        <w:spacing w:after="0"/>
        <w:tabs>
          <w:tab w:leader="none" w:pos="591"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Financial Restatement, if the amount of any Covered Compensation received by a Covered Executive (the</w:t>
      </w:r>
    </w:p>
    <w:p>
      <w:pPr>
        <w:spacing w:after="0" w:line="27" w:lineRule="exact"/>
        <w:rPr>
          <w:sz w:val="20"/>
          <w:szCs w:val="20"/>
          <w:color w:val="auto"/>
        </w:rPr>
      </w:pPr>
    </w:p>
    <w:p>
      <w:pPr>
        <w:ind w:left="11" w:right="1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Awarded Compensation</w:t>
      </w:r>
      <w:r>
        <w:rPr>
          <w:rFonts w:ascii="Times New Roman" w:cs="Times New Roman" w:eastAsia="Times New Roman" w:hAnsi="Times New Roman"/>
          <w:sz w:val="18"/>
          <w:szCs w:val="18"/>
          <w:color w:val="auto"/>
        </w:rPr>
        <w:t>”) exceeds the amount of such Covered Compensation that would have otherwise been received by such Covered Executive if calculated based on the Financial Restatement (the “</w:t>
      </w:r>
      <w:r>
        <w:rPr>
          <w:rFonts w:ascii="Times New Roman" w:cs="Times New Roman" w:eastAsia="Times New Roman" w:hAnsi="Times New Roman"/>
          <w:sz w:val="18"/>
          <w:szCs w:val="18"/>
          <w:b w:val="1"/>
          <w:bCs w:val="1"/>
          <w:color w:val="auto"/>
        </w:rPr>
        <w:t>Adjusted Compensation</w:t>
      </w:r>
      <w:r>
        <w:rPr>
          <w:rFonts w:ascii="Times New Roman" w:cs="Times New Roman" w:eastAsia="Times New Roman" w:hAnsi="Times New Roman"/>
          <w:sz w:val="18"/>
          <w:szCs w:val="18"/>
          <w:color w:val="auto"/>
        </w:rPr>
        <w:t>”), the Company shall reasonably promptly recover from such Covered Executive an amount equal to the excess of the Awarded Compensation over the Adjusted Compensation, each calculated on a pre-tax basis (such excess amount, the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1" w:right="20" w:firstLine="322"/>
        <w:spacing w:after="0" w:line="256" w:lineRule="auto"/>
        <w:tabs>
          <w:tab w:leader="none" w:pos="59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 tax basis) based on the Company’s reasonable estimate of the effect of the Financial Restatement on the Company’s stock price or total shareholder return (or the derivative measure thereof) upon which such Covered Compensation was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360045</wp:posOffset>
            </wp:positionV>
            <wp:extent cx="629221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31"/>
          </w:cols>
          <w:pgMar w:left="1069" w:top="486" w:right="1099" w:bottom="1440" w:gutter="0" w:footer="0" w:header="0"/>
        </w:sectPr>
      </w:pPr>
    </w:p>
    <w:bookmarkStart w:id="372" w:name="page373"/>
    <w:bookmarkEnd w:id="372"/>
    <w:p>
      <w:pPr>
        <w:ind w:left="2" w:right="40" w:firstLine="322"/>
        <w:spacing w:after="0" w:line="266" w:lineRule="auto"/>
        <w:tabs>
          <w:tab w:leader="none" w:pos="577"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w:t>
      </w:r>
    </w:p>
    <w:p>
      <w:pPr>
        <w:spacing w:after="0" w:line="175" w:lineRule="exact"/>
        <w:rPr>
          <w:rFonts w:ascii="Times New Roman" w:cs="Times New Roman" w:eastAsia="Times New Roman" w:hAnsi="Times New Roman"/>
          <w:sz w:val="18"/>
          <w:szCs w:val="18"/>
          <w:color w:val="auto"/>
        </w:rPr>
      </w:pPr>
    </w:p>
    <w:p>
      <w:pPr>
        <w:ind w:left="2" w:right="60" w:firstLine="322"/>
        <w:spacing w:after="0" w:line="258" w:lineRule="auto"/>
        <w:tabs>
          <w:tab w:leader="none" w:pos="58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Sections 2(a) through (c) hereof, the Company shall not be required to recover any Erroneously Awarded Compensation if both (x) the conditions set forth in either of the following clauses (i), (ii), or (iii) are satisfied and (y) the Supervisory Board’s committee of independent supervisory directors responsible for executive compensation decisions (or, in the absence of such a committee, a majority of the independent supervisory directors serving on the Supervisory Board) has determined that recovery of the Erroneously Awarded Compensation would be impracticable:</w:t>
      </w:r>
    </w:p>
    <w:p>
      <w:pPr>
        <w:spacing w:after="0" w:line="183" w:lineRule="exact"/>
        <w:rPr>
          <w:rFonts w:ascii="Times New Roman" w:cs="Times New Roman" w:eastAsia="Times New Roman" w:hAnsi="Times New Roman"/>
          <w:sz w:val="18"/>
          <w:szCs w:val="18"/>
          <w:color w:val="auto"/>
        </w:rPr>
      </w:pPr>
    </w:p>
    <w:p>
      <w:pPr>
        <w:ind w:left="1022" w:right="60" w:hanging="383"/>
        <w:spacing w:after="0" w:line="256" w:lineRule="auto"/>
        <w:tabs>
          <w:tab w:leader="none" w:pos="1022"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Nasdaq;</w:t>
      </w:r>
    </w:p>
    <w:p>
      <w:pPr>
        <w:spacing w:after="0" w:line="187" w:lineRule="exact"/>
        <w:rPr>
          <w:rFonts w:ascii="Times New Roman" w:cs="Times New Roman" w:eastAsia="Times New Roman" w:hAnsi="Times New Roman"/>
          <w:sz w:val="18"/>
          <w:szCs w:val="18"/>
          <w:color w:val="auto"/>
        </w:rPr>
      </w:pPr>
    </w:p>
    <w:p>
      <w:pPr>
        <w:ind w:left="1022" w:hanging="383"/>
        <w:spacing w:after="0" w:line="258" w:lineRule="auto"/>
        <w:tabs>
          <w:tab w:leader="none" w:pos="1022"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the Erroneously Awarded Compensation would violate the laws of the Netherlands to the extent such law was adopted prior to November 28, 2022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concluding that it would be impracticable to recover any amount of Erroneously Awarded Compensation pursuant to this Section 2(d)), the Company shall have first obtained an opinion of home country counsel authorized to practice in the Netherlands that is acceptable to the Nasdaq, that recovery would result in such a violation, and the Company must provide such opinion to the Nasdaq; or</w:t>
      </w:r>
    </w:p>
    <w:p>
      <w:pPr>
        <w:spacing w:after="0" w:line="183" w:lineRule="exact"/>
        <w:rPr>
          <w:rFonts w:ascii="Times New Roman" w:cs="Times New Roman" w:eastAsia="Times New Roman" w:hAnsi="Times New Roman"/>
          <w:sz w:val="18"/>
          <w:szCs w:val="18"/>
          <w:color w:val="auto"/>
        </w:rPr>
      </w:pPr>
    </w:p>
    <w:p>
      <w:pPr>
        <w:ind w:left="1022" w:right="20" w:hanging="383"/>
        <w:spacing w:after="0" w:line="266" w:lineRule="auto"/>
        <w:tabs>
          <w:tab w:leader="none" w:pos="1022"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the Erroneously Awarded Compensation would likely cause an otherwise tax-qualified retirement plan, under which benefits are broadly available to employees of the Company, to fail to meet the requirements of Sections 401(a) (13) or 411(a)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 w:right="260" w:firstLine="322"/>
        <w:spacing w:after="0" w:line="266" w:lineRule="auto"/>
        <w:tabs>
          <w:tab w:leader="none" w:pos="577"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75" w:lineRule="exact"/>
        <w:rPr>
          <w:rFonts w:ascii="Times New Roman" w:cs="Times New Roman" w:eastAsia="Times New Roman" w:hAnsi="Times New Roman"/>
          <w:sz w:val="18"/>
          <w:szCs w:val="18"/>
          <w:color w:val="auto"/>
        </w:rPr>
      </w:pPr>
    </w:p>
    <w:p>
      <w:pPr>
        <w:ind w:left="2" w:right="20" w:firstLine="322"/>
        <w:spacing w:after="0" w:line="253" w:lineRule="auto"/>
        <w:tabs>
          <w:tab w:leader="none" w:pos="55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207" w:lineRule="exact"/>
        <w:rPr>
          <w:rFonts w:ascii="Times New Roman" w:cs="Times New Roman" w:eastAsia="Times New Roman" w:hAnsi="Times New Roman"/>
          <w:sz w:val="18"/>
          <w:szCs w:val="18"/>
          <w:color w:val="auto"/>
        </w:rPr>
      </w:pPr>
    </w:p>
    <w:p>
      <w:pPr>
        <w:ind w:left="2" w:right="40" w:hanging="2"/>
        <w:spacing w:after="0" w:line="257" w:lineRule="auto"/>
        <w:tabs>
          <w:tab w:leader="none" w:pos="65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This Policy shall be administered by the Committee. All decisions of the Committee shall be final, conclusive and binding upon the Company and the Covered Executives, their beneficiaries, heirs, executors, administrators and any other legal representative. The Committee shall have full power and authority to</w:t>
      </w:r>
    </w:p>
    <w:p>
      <w:pPr>
        <w:spacing w:after="0" w:line="1" w:lineRule="exact"/>
        <w:rPr>
          <w:rFonts w:ascii="Times New Roman" w:cs="Times New Roman" w:eastAsia="Times New Roman" w:hAnsi="Times New Roman"/>
          <w:sz w:val="18"/>
          <w:szCs w:val="18"/>
          <w:color w:val="auto"/>
        </w:rPr>
      </w:pPr>
    </w:p>
    <w:p>
      <w:pPr>
        <w:ind w:left="2"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the Listing Rule,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360045</wp:posOffset>
            </wp:positionV>
            <wp:extent cx="629221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2"/>
          </w:cols>
          <w:pgMar w:left="1078" w:top="486" w:right="1039" w:bottom="1440" w:gutter="0" w:footer="0" w:header="0"/>
        </w:sectPr>
      </w:pPr>
    </w:p>
    <w:bookmarkStart w:id="373" w:name="page374"/>
    <w:bookmarkEnd w:id="373"/>
    <w:p>
      <w:pPr>
        <w:ind w:left="20" w:right="480"/>
        <w:spacing w:after="0" w:line="282" w:lineRule="auto"/>
        <w:rPr>
          <w:sz w:val="20"/>
          <w:szCs w:val="20"/>
          <w:color w:val="auto"/>
        </w:rPr>
      </w:pPr>
      <w:r>
        <w:rPr>
          <w:rFonts w:ascii="Times New Roman" w:cs="Times New Roman" w:eastAsia="Times New Roman" w:hAnsi="Times New Roman"/>
          <w:sz w:val="18"/>
          <w:szCs w:val="18"/>
          <w:color w:val="auto"/>
        </w:rPr>
        <w:t>Supervisory Board may, in its sole discretion, at any time and from time to time, administer this Policy in the same manner as the Committee.</w:t>
      </w:r>
    </w:p>
    <w:p>
      <w:pPr>
        <w:spacing w:after="0" w:line="162" w:lineRule="exact"/>
        <w:rPr>
          <w:sz w:val="20"/>
          <w:szCs w:val="20"/>
          <w:color w:val="auto"/>
        </w:rPr>
      </w:pPr>
    </w:p>
    <w:p>
      <w:pPr>
        <w:ind w:left="20" w:hanging="2"/>
        <w:spacing w:after="0" w:line="255" w:lineRule="auto"/>
        <w:tabs>
          <w:tab w:leader="none" w:pos="66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Amendment/Termination</w:t>
      </w:r>
      <w:r>
        <w:rPr>
          <w:rFonts w:ascii="Times New Roman" w:cs="Times New Roman" w:eastAsia="Times New Roman" w:hAnsi="Times New Roman"/>
          <w:sz w:val="18"/>
          <w:szCs w:val="18"/>
          <w:color w:val="auto"/>
        </w:rPr>
        <w:t>. Subject to Section 10D of the Exchange Act and the Listing Rule,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188" w:lineRule="exact"/>
        <w:rPr>
          <w:rFonts w:ascii="Times New Roman" w:cs="Times New Roman" w:eastAsia="Times New Roman" w:hAnsi="Times New Roman"/>
          <w:sz w:val="18"/>
          <w:szCs w:val="18"/>
          <w:color w:val="auto"/>
        </w:rPr>
      </w:pPr>
    </w:p>
    <w:p>
      <w:pPr>
        <w:ind w:left="20" w:hanging="2"/>
        <w:spacing w:after="0" w:line="258" w:lineRule="auto"/>
        <w:tabs>
          <w:tab w:leader="none" w:pos="66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183"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Clawback/Recoupment Rights</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20" w:right="140" w:hanging="2"/>
        <w:spacing w:after="0" w:line="270" w:lineRule="auto"/>
        <w:tabs>
          <w:tab w:leader="none" w:pos="271"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w:t>
      </w:r>
    </w:p>
    <w:p>
      <w:pPr>
        <w:spacing w:after="0" w:line="3" w:lineRule="exact"/>
        <w:rPr>
          <w:sz w:val="20"/>
          <w:szCs w:val="20"/>
          <w:color w:val="auto"/>
        </w:rPr>
      </w:pPr>
    </w:p>
    <w:p>
      <w:pPr>
        <w:jc w:val="both"/>
        <w:ind w:left="20" w:right="300"/>
        <w:spacing w:after="0" w:line="253" w:lineRule="auto"/>
        <w:rPr>
          <w:sz w:val="20"/>
          <w:szCs w:val="20"/>
          <w:color w:val="auto"/>
        </w:rPr>
      </w:pPr>
      <w:r>
        <w:rPr>
          <w:rFonts w:ascii="Times New Roman" w:cs="Times New Roman" w:eastAsia="Times New Roman" w:hAnsi="Times New Roman"/>
          <w:sz w:val="18"/>
          <w:szCs w:val="18"/>
          <w:color w:val="auto"/>
        </w:rPr>
        <w:t xml:space="preserve">available to the Company, as well as applicable law, stock market or exchange rules, listing standards or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amounts recouped or clawed back under any other policy that would be recoupable under this Policy shall 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toward any required clawback or recoupment under this Policy and vice versa. To the extent that any other recoupment or clawback policy of the Company (or any of its affiliates) conflict with this Policy, the terms of this Policy shall control.</w:t>
      </w:r>
    </w:p>
    <w:p>
      <w:pPr>
        <w:spacing w:after="0" w:line="202" w:lineRule="exact"/>
        <w:rPr>
          <w:sz w:val="20"/>
          <w:szCs w:val="20"/>
          <w:color w:val="auto"/>
        </w:rPr>
      </w:pPr>
    </w:p>
    <w:p>
      <w:pPr>
        <w:ind w:left="20" w:right="20" w:hanging="2"/>
        <w:spacing w:after="0" w:line="254" w:lineRule="auto"/>
        <w:tabs>
          <w:tab w:leader="none" w:pos="2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foregoing provisions of this Policy, the Company may and, if so directed by the Supervisory Board at the recommendation of the Committee shall, recoup all or part of a Bonus that has already been paid to a member of the Company's management board, to the extent payment of such Bonus was based on inaccurate information as to the achievement of targets or the occurrence of events on which the Bonus was based (as determined by the Supervisory Board acting in good faith at the recommendation of the Committee). The claim for recoupment of a Bonus will expire after a period of five years has elapsed after the Company became aware that the Bonus was based on inaccurate information. In addition, the Supervisory Board may (but is not required to) adjust an entitlement of a member of the Company's management board to a Bonus that has not yet been paid to an appropriate amount, if payment of the (unadjusted) Bonus would be unacceptable according to standards of reasonableness and fairness (as determined by the Supervisory Board acting in good faith at the recommendation of the Committee).</w:t>
      </w:r>
    </w:p>
    <w:p>
      <w:pPr>
        <w:spacing w:after="0" w:line="188" w:lineRule="exact"/>
        <w:rPr>
          <w:sz w:val="20"/>
          <w:szCs w:val="20"/>
          <w:color w:val="auto"/>
        </w:rPr>
      </w:pPr>
    </w:p>
    <w:p>
      <w:pPr>
        <w:ind w:left="20" w:right="20" w:hanging="2"/>
        <w:spacing w:after="0" w:line="256" w:lineRule="auto"/>
        <w:tabs>
          <w:tab w:leader="none" w:pos="66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 Compensation</w:t>
      </w:r>
      <w:r>
        <w:rPr>
          <w:rFonts w:ascii="Times New Roman" w:cs="Times New Roman" w:eastAsia="Times New Roman" w:hAnsi="Times New Roman"/>
          <w:sz w:val="18"/>
          <w:szCs w:val="18"/>
          <w:color w:val="auto"/>
        </w:rPr>
        <w:t xml:space="preserve">. Notwithstanding anything to the contrary herein, the Company has no obligation under this Policy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Supervisory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amounts are in no way contingent on, and were not in any way granted on the basis of, the achievement of any Financial Reporting Measure performance goal.</w:t>
      </w:r>
    </w:p>
    <w:p>
      <w:pPr>
        <w:spacing w:after="0" w:line="187"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306" w:lineRule="exact"/>
        <w:rPr>
          <w:rFonts w:ascii="Times New Roman" w:cs="Times New Roman" w:eastAsia="Times New Roman" w:hAnsi="Times New Roman"/>
          <w:sz w:val="18"/>
          <w:szCs w:val="18"/>
          <w:color w:val="auto"/>
        </w:rPr>
      </w:pPr>
    </w:p>
    <w:p>
      <w:pPr>
        <w:ind w:left="20" w:right="60" w:firstLine="322"/>
        <w:spacing w:after="0" w:line="266" w:lineRule="auto"/>
        <w:tabs>
          <w:tab w:leader="none" w:pos="595"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360045</wp:posOffset>
            </wp:positionV>
            <wp:extent cx="629221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1060" w:top="486" w:right="1039" w:bottom="1440" w:gutter="0" w:footer="0" w:header="0"/>
        </w:sectPr>
      </w:pPr>
    </w:p>
    <w:bookmarkStart w:id="374" w:name="page375"/>
    <w:bookmarkEnd w:id="374"/>
    <w:p>
      <w:pPr>
        <w:ind w:right="100"/>
        <w:spacing w:after="0" w:line="289" w:lineRule="auto"/>
        <w:rPr>
          <w:sz w:val="20"/>
          <w:szCs w:val="20"/>
          <w:color w:val="auto"/>
        </w:rPr>
      </w:pPr>
      <w:r>
        <w:rPr>
          <w:rFonts w:ascii="Times New Roman" w:cs="Times New Roman" w:eastAsia="Times New Roman" w:hAnsi="Times New Roman"/>
          <w:sz w:val="17"/>
          <w:szCs w:val="17"/>
          <w:color w:val="auto"/>
        </w:rPr>
        <w:t>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Company’s Long- Term Incentive Plan and any successor plan thereto.</w:t>
      </w:r>
    </w:p>
    <w:p>
      <w:pPr>
        <w:spacing w:after="0" w:line="158" w:lineRule="exact"/>
        <w:rPr>
          <w:sz w:val="20"/>
          <w:szCs w:val="20"/>
          <w:color w:val="auto"/>
        </w:rPr>
      </w:pPr>
    </w:p>
    <w:p>
      <w:pPr>
        <w:ind w:right="800" w:firstLine="322"/>
        <w:spacing w:after="0" w:line="282" w:lineRule="auto"/>
        <w:tabs>
          <w:tab w:leader="none" w:pos="58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161" w:lineRule="exact"/>
        <w:rPr>
          <w:rFonts w:ascii="Times New Roman" w:cs="Times New Roman" w:eastAsia="Times New Roman" w:hAnsi="Times New Roman"/>
          <w:sz w:val="18"/>
          <w:szCs w:val="18"/>
          <w:color w:val="auto"/>
        </w:rPr>
      </w:pPr>
    </w:p>
    <w:p>
      <w:pPr>
        <w:ind w:right="80" w:firstLine="322"/>
        <w:spacing w:after="0" w:line="282" w:lineRule="auto"/>
        <w:tabs>
          <w:tab w:leader="none" w:pos="57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shall be governed by and shall be construed in accordance with the laws of the Netherlands. Any dispute arising in connection with this Policy shall be submitted to the exclusive jurisdiction of the competent court in Amsterdam, the Netherlands.</w:t>
      </w:r>
    </w:p>
    <w:p>
      <w:pPr>
        <w:spacing w:after="0" w:line="161" w:lineRule="exact"/>
        <w:rPr>
          <w:rFonts w:ascii="Times New Roman" w:cs="Times New Roman" w:eastAsia="Times New Roman" w:hAnsi="Times New Roman"/>
          <w:sz w:val="18"/>
          <w:szCs w:val="18"/>
          <w:color w:val="auto"/>
        </w:rPr>
      </w:pPr>
    </w:p>
    <w:p>
      <w:pPr>
        <w:ind w:firstLine="322"/>
        <w:spacing w:after="0" w:line="266" w:lineRule="auto"/>
        <w:tabs>
          <w:tab w:leader="none" w:pos="58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760"/>
      </w:cols>
      <w:pgMar w:left="1080" w:top="486"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
      <w:numFmt w:val="bullet"/>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
      <w:numFmt w:val="bullet"/>
      <w:start w:val="1"/>
    </w:lvl>
  </w:abstractNum>
  <w:abstractNum w:abstractNumId="5">
    <w:nsid w:val="6C80EC70"/>
    <w:multiLevelType w:val="hybridMultilevel"/>
    <w:lvl w:ilvl="0">
      <w:lvlJc w:val="left"/>
      <w:lvlText w:val="☐"/>
      <w:numFmt w:val="bullet"/>
      <w:start w:val="1"/>
    </w:lvl>
  </w:abstractNum>
  <w:abstractNum w:abstractNumId="6">
    <w:nsid w:val="379E21B5"/>
    <w:multiLevelType w:val="hybridMultilevel"/>
    <w:lvl w:ilvl="0">
      <w:lvlJc w:val="left"/>
      <w:lvlText w:val="☒"/>
      <w:numFmt w:val="bullet"/>
      <w:start w:val="1"/>
    </w:lvl>
  </w:abstractNum>
  <w:abstractNum w:abstractNumId="7">
    <w:nsid w:val="69E373"/>
    <w:multiLevelType w:val="hybridMultilevel"/>
    <w:lvl w:ilvl="0">
      <w:lvlJc w:val="left"/>
      <w:lvlText w:val="☐"/>
      <w:numFmt w:val="bullet"/>
      <w:start w:val="1"/>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
      <w:numFmt w:val="bullet"/>
      <w:start w:val="1"/>
    </w:lvl>
  </w:abstractNum>
  <w:abstractNum w:abstractNumId="10">
    <w:nsid w:val="6AA7B75C"/>
    <w:multiLevelType w:val="hybridMultilevel"/>
    <w:lvl w:ilvl="0">
      <w:lvlJc w:val="left"/>
      <w:lvlText w:val="%1."/>
      <w:numFmt w:val="upperLetter"/>
      <w:start w:val="1"/>
    </w:lvl>
  </w:abstractNum>
  <w:abstractNum w:abstractNumId="11">
    <w:nsid w:val="1DF029D3"/>
    <w:multiLevelType w:val="hybridMultilevel"/>
    <w:lvl w:ilvl="0">
      <w:lvlJc w:val="left"/>
      <w:lvlText w:val="●"/>
      <w:numFmt w:val="bullet"/>
      <w:start w:val="1"/>
    </w:lvl>
  </w:abstractNum>
  <w:abstractNum w:abstractNumId="12">
    <w:nsid w:val="5675FF36"/>
    <w:multiLevelType w:val="hybridMultilevel"/>
    <w:lvl w:ilvl="0">
      <w:lvlJc w:val="left"/>
      <w:lvlText w:val="●"/>
      <w:numFmt w:val="bullet"/>
      <w:start w:val="1"/>
    </w:lvl>
  </w:abstractNum>
  <w:abstractNum w:abstractNumId="13">
    <w:nsid w:val="3DD15094"/>
    <w:multiLevelType w:val="hybridMultilevel"/>
    <w:lvl w:ilvl="0">
      <w:lvlJc w:val="left"/>
      <w:lvlText w:val="●"/>
      <w:numFmt w:val="bullet"/>
      <w:start w:val="1"/>
    </w:lvl>
  </w:abstractNum>
  <w:abstractNum w:abstractNumId="14">
    <w:nsid w:val="3DB012B3"/>
    <w:multiLevelType w:val="hybridMultilevel"/>
    <w:lvl w:ilvl="0">
      <w:lvlJc w:val="left"/>
      <w:lvlText w:val="●"/>
      <w:numFmt w:val="bullet"/>
      <w:start w:val="1"/>
    </w:lvl>
  </w:abstractNum>
  <w:abstractNum w:abstractNumId="15">
    <w:nsid w:val="2708C9AF"/>
    <w:multiLevelType w:val="hybridMultilevel"/>
    <w:lvl w:ilvl="0">
      <w:lvlJc w:val="left"/>
      <w:lvlText w:val="●"/>
      <w:numFmt w:val="bullet"/>
      <w:start w:val="1"/>
    </w:lvl>
  </w:abstractNum>
  <w:abstractNum w:abstractNumId="16">
    <w:nsid w:val="5B25ACE2"/>
    <w:multiLevelType w:val="hybridMultilevel"/>
    <w:lvl w:ilvl="0">
      <w:lvlJc w:val="left"/>
      <w:lvlText w:val="●"/>
      <w:numFmt w:val="bullet"/>
      <w:start w:val="1"/>
    </w:lvl>
  </w:abstractNum>
  <w:abstractNum w:abstractNumId="17">
    <w:nsid w:val="175DFCF0"/>
    <w:multiLevelType w:val="hybridMultilevel"/>
    <w:lvl w:ilvl="0">
      <w:lvlJc w:val="left"/>
      <w:lvlText w:val="●"/>
      <w:numFmt w:val="bullet"/>
      <w:start w:val="1"/>
    </w:lvl>
  </w:abstractNum>
  <w:abstractNum w:abstractNumId="18">
    <w:nsid w:val="4F97E3E4"/>
    <w:multiLevelType w:val="hybridMultilevel"/>
    <w:lvl w:ilvl="0">
      <w:lvlJc w:val="left"/>
      <w:lvlText w:val="●"/>
      <w:numFmt w:val="bullet"/>
      <w:start w:val="1"/>
    </w:lvl>
  </w:abstractNum>
  <w:abstractNum w:abstractNumId="19">
    <w:nsid w:val="53B0A9E"/>
    <w:multiLevelType w:val="hybridMultilevel"/>
    <w:lvl w:ilvl="0">
      <w:lvlJc w:val="left"/>
      <w:lvlText w:val="●"/>
      <w:numFmt w:val="bullet"/>
      <w:start w:val="1"/>
    </w:lvl>
  </w:abstractNum>
  <w:abstractNum w:abstractNumId="20">
    <w:nsid w:val="34FD6B4F"/>
    <w:multiLevelType w:val="hybridMultilevel"/>
    <w:lvl w:ilvl="0">
      <w:lvlJc w:val="left"/>
      <w:lvlText w:val="●"/>
      <w:numFmt w:val="bullet"/>
      <w:start w:val="1"/>
    </w:lvl>
  </w:abstractNum>
  <w:abstractNum w:abstractNumId="21">
    <w:nsid w:val="5915FF32"/>
    <w:multiLevelType w:val="hybridMultilevel"/>
    <w:lvl w:ilvl="0">
      <w:lvlJc w:val="left"/>
      <w:lvlText w:val="●"/>
      <w:numFmt w:val="bullet"/>
      <w:start w:val="1"/>
    </w:lvl>
  </w:abstractNum>
  <w:abstractNum w:abstractNumId="22">
    <w:nsid w:val="56438D15"/>
    <w:multiLevelType w:val="hybridMultilevel"/>
    <w:lvl w:ilvl="0">
      <w:lvlJc w:val="left"/>
      <w:lvlText w:val="●"/>
      <w:numFmt w:val="bullet"/>
      <w:start w:val="1"/>
    </w:lvl>
  </w:abstractNum>
  <w:abstractNum w:abstractNumId="23">
    <w:nsid w:val="519E3149"/>
    <w:multiLevelType w:val="hybridMultilevel"/>
    <w:lvl w:ilvl="0">
      <w:lvlJc w:val="left"/>
      <w:lvlText w:val="●"/>
      <w:numFmt w:val="bullet"/>
      <w:start w:val="1"/>
    </w:lvl>
  </w:abstractNum>
  <w:abstractNum w:abstractNumId="24">
    <w:nsid w:val="2C6E4AFD"/>
    <w:multiLevelType w:val="hybridMultilevel"/>
    <w:lvl w:ilvl="0">
      <w:lvlJc w:val="left"/>
      <w:lvlText w:val="●"/>
      <w:numFmt w:val="bullet"/>
      <w:start w:val="1"/>
    </w:lvl>
  </w:abstractNum>
  <w:abstractNum w:abstractNumId="25">
    <w:nsid w:val="17A1B582"/>
    <w:multiLevelType w:val="hybridMultilevel"/>
    <w:lvl w:ilvl="0">
      <w:lvlJc w:val="left"/>
      <w:lvlText w:val="●"/>
      <w:numFmt w:val="bullet"/>
      <w:start w:val="1"/>
    </w:lvl>
  </w:abstractNum>
  <w:abstractNum w:abstractNumId="26">
    <w:nsid w:val="4DF72E4E"/>
    <w:multiLevelType w:val="hybridMultilevel"/>
    <w:lvl w:ilvl="0">
      <w:lvlJc w:val="left"/>
      <w:lvlText w:val="●"/>
      <w:numFmt w:val="bullet"/>
      <w:start w:val="1"/>
    </w:lvl>
  </w:abstractNum>
  <w:abstractNum w:abstractNumId="27">
    <w:nsid w:val="5046B5A9"/>
    <w:multiLevelType w:val="hybridMultilevel"/>
    <w:lvl w:ilvl="0">
      <w:lvlJc w:val="left"/>
      <w:lvlText w:val="●"/>
      <w:numFmt w:val="bullet"/>
      <w:start w:val="1"/>
    </w:lvl>
  </w:abstractNum>
  <w:abstractNum w:abstractNumId="28">
    <w:nsid w:val="5D888A08"/>
    <w:multiLevelType w:val="hybridMultilevel"/>
    <w:lvl w:ilvl="0">
      <w:lvlJc w:val="left"/>
      <w:lvlText w:val="●"/>
      <w:numFmt w:val="bullet"/>
      <w:start w:val="1"/>
    </w:lvl>
  </w:abstractNum>
  <w:abstractNum w:abstractNumId="29">
    <w:nsid w:val="2A082C70"/>
    <w:multiLevelType w:val="hybridMultilevel"/>
    <w:lvl w:ilvl="0">
      <w:lvlJc w:val="left"/>
      <w:lvlText w:val="●"/>
      <w:numFmt w:val="bullet"/>
      <w:start w:val="1"/>
    </w:lvl>
  </w:abstractNum>
  <w:abstractNum w:abstractNumId="30">
    <w:nsid w:val="5EC6AFD4"/>
    <w:multiLevelType w:val="hybridMultilevel"/>
    <w:lvl w:ilvl="0">
      <w:lvlJc w:val="left"/>
      <w:lvlText w:val="●"/>
      <w:numFmt w:val="bullet"/>
      <w:start w:val="1"/>
    </w:lvl>
  </w:abstractNum>
  <w:abstractNum w:abstractNumId="31">
    <w:nsid w:val="19E21BB2"/>
    <w:multiLevelType w:val="hybridMultilevel"/>
    <w:lvl w:ilvl="0">
      <w:lvlJc w:val="left"/>
      <w:lvlText w:val="●"/>
      <w:numFmt w:val="bullet"/>
      <w:start w:val="1"/>
    </w:lvl>
  </w:abstractNum>
  <w:abstractNum w:abstractNumId="32">
    <w:nsid w:val="75E0858A"/>
    <w:multiLevelType w:val="hybridMultilevel"/>
    <w:lvl w:ilvl="0">
      <w:lvlJc w:val="left"/>
      <w:lvlText w:val="●"/>
      <w:numFmt w:val="bullet"/>
      <w:start w:val="1"/>
    </w:lvl>
  </w:abstractNum>
  <w:abstractNum w:abstractNumId="33">
    <w:nsid w:val="57A61A29"/>
    <w:multiLevelType w:val="hybridMultilevel"/>
    <w:lvl w:ilvl="0">
      <w:lvlJc w:val="left"/>
      <w:lvlText w:val="●"/>
      <w:numFmt w:val="bullet"/>
      <w:start w:val="1"/>
    </w:lvl>
  </w:abstractNum>
  <w:abstractNum w:abstractNumId="34">
    <w:nsid w:val="5399C654"/>
    <w:multiLevelType w:val="hybridMultilevel"/>
    <w:lvl w:ilvl="0">
      <w:lvlJc w:val="left"/>
      <w:lvlText w:val="●"/>
      <w:numFmt w:val="bullet"/>
      <w:start w:val="1"/>
    </w:lvl>
  </w:abstractNum>
  <w:abstractNum w:abstractNumId="35">
    <w:nsid w:val="20EE1348"/>
    <w:multiLevelType w:val="hybridMultilevel"/>
    <w:lvl w:ilvl="0">
      <w:lvlJc w:val="left"/>
      <w:lvlText w:val="●"/>
      <w:numFmt w:val="bullet"/>
      <w:start w:val="1"/>
    </w:lvl>
  </w:abstractNum>
  <w:abstractNum w:abstractNumId="36">
    <w:nsid w:val="4427069A"/>
    <w:multiLevelType w:val="hybridMultilevel"/>
    <w:lvl w:ilvl="0">
      <w:lvlJc w:val="left"/>
      <w:lvlText w:val="●"/>
      <w:numFmt w:val="bullet"/>
      <w:start w:val="1"/>
    </w:lvl>
  </w:abstractNum>
  <w:abstractNum w:abstractNumId="37">
    <w:nsid w:val="B37E80A"/>
    <w:multiLevelType w:val="hybridMultilevel"/>
    <w:lvl w:ilvl="0">
      <w:lvlJc w:val="left"/>
      <w:lvlText w:val="●"/>
      <w:numFmt w:val="bullet"/>
      <w:start w:val="1"/>
    </w:lvl>
  </w:abstractNum>
  <w:abstractNum w:abstractNumId="38">
    <w:nsid w:val="2157F6BC"/>
    <w:multiLevelType w:val="hybridMultilevel"/>
    <w:lvl w:ilvl="0">
      <w:lvlJc w:val="left"/>
      <w:lvlText w:val="●"/>
      <w:numFmt w:val="bullet"/>
      <w:start w:val="1"/>
    </w:lvl>
  </w:abstractNum>
  <w:abstractNum w:abstractNumId="39">
    <w:nsid w:val="704E1DD5"/>
    <w:multiLevelType w:val="hybridMultilevel"/>
    <w:lvl w:ilvl="0">
      <w:lvlJc w:val="left"/>
      <w:lvlText w:val="●"/>
      <w:numFmt w:val="bullet"/>
      <w:start w:val="1"/>
    </w:lvl>
  </w:abstractNum>
  <w:abstractNum w:abstractNumId="40">
    <w:nsid w:val="57D2F10E"/>
    <w:multiLevelType w:val="hybridMultilevel"/>
    <w:lvl w:ilvl="0">
      <w:lvlJc w:val="left"/>
      <w:lvlText w:val="●"/>
      <w:numFmt w:val="bullet"/>
      <w:start w:val="1"/>
    </w:lvl>
  </w:abstractNum>
  <w:abstractNum w:abstractNumId="41">
    <w:nsid w:val="BFFAE18"/>
    <w:multiLevelType w:val="hybridMultilevel"/>
    <w:lvl w:ilvl="0">
      <w:lvlJc w:val="left"/>
      <w:lvlText w:val="●"/>
      <w:numFmt w:val="bullet"/>
      <w:start w:val="1"/>
    </w:lvl>
  </w:abstractNum>
  <w:abstractNum w:abstractNumId="42">
    <w:nsid w:val="E3E47A8"/>
    <w:multiLevelType w:val="hybridMultilevel"/>
    <w:lvl w:ilvl="0">
      <w:lvlJc w:val="left"/>
      <w:lvlText w:val="●"/>
      <w:numFmt w:val="bullet"/>
      <w:start w:val="1"/>
    </w:lvl>
  </w:abstractNum>
  <w:abstractNum w:abstractNumId="43">
    <w:nsid w:val="2E48F044"/>
    <w:multiLevelType w:val="hybridMultilevel"/>
    <w:lvl w:ilvl="0">
      <w:lvlJc w:val="left"/>
      <w:lvlText w:val="%1."/>
      <w:numFmt w:val="upperLetter"/>
      <w:start w:val="35"/>
    </w:lvl>
  </w:abstractNum>
  <w:abstractNum w:abstractNumId="44">
    <w:nsid w:val="49D0FEAC"/>
    <w:multiLevelType w:val="hybridMultilevel"/>
    <w:lvl w:ilvl="0">
      <w:lvlJc w:val="left"/>
      <w:lvlText w:val="%1"/>
      <w:numFmt w:val="upperLetter"/>
      <w:start w:val="35"/>
    </w:lvl>
  </w:abstractNum>
  <w:abstractNum w:abstractNumId="45">
    <w:nsid w:val="4BEE5A5B"/>
    <w:multiLevelType w:val="hybridMultilevel"/>
    <w:lvl w:ilvl="0">
      <w:lvlJc w:val="left"/>
      <w:lvlText w:val="●"/>
      <w:numFmt w:val="bullet"/>
      <w:start w:val="1"/>
    </w:lvl>
  </w:abstractNum>
  <w:abstractNum w:abstractNumId="46">
    <w:nsid w:val="5551B9F3"/>
    <w:multiLevelType w:val="hybridMultilevel"/>
    <w:lvl w:ilvl="0">
      <w:lvlJc w:val="left"/>
      <w:lvlText w:val="●"/>
      <w:numFmt w:val="bullet"/>
      <w:start w:val="1"/>
    </w:lvl>
  </w:abstractNum>
  <w:abstractNum w:abstractNumId="47">
    <w:nsid w:val="24F6AB8E"/>
    <w:multiLevelType w:val="hybridMultilevel"/>
    <w:lvl w:ilvl="0">
      <w:lvlJc w:val="left"/>
      <w:lvlText w:val="●"/>
      <w:numFmt w:val="bullet"/>
      <w:start w:val="1"/>
    </w:lvl>
  </w:abstractNum>
  <w:abstractNum w:abstractNumId="48">
    <w:nsid w:val="634C574C"/>
    <w:multiLevelType w:val="hybridMultilevel"/>
    <w:lvl w:ilvl="0">
      <w:lvlJc w:val="left"/>
      <w:lvlText w:val="●"/>
      <w:numFmt w:val="bullet"/>
      <w:start w:val="1"/>
    </w:lvl>
  </w:abstractNum>
  <w:abstractNum w:abstractNumId="49">
    <w:nsid w:val="24E99DD7"/>
    <w:multiLevelType w:val="hybridMultilevel"/>
    <w:lvl w:ilvl="0">
      <w:lvlJc w:val="left"/>
      <w:lvlText w:val="●"/>
      <w:numFmt w:val="bullet"/>
      <w:start w:val="1"/>
    </w:lvl>
  </w:abstractNum>
  <w:abstractNum w:abstractNumId="50">
    <w:nsid w:val="2A31B62D"/>
    <w:multiLevelType w:val="hybridMultilevel"/>
    <w:lvl w:ilvl="0">
      <w:lvlJc w:val="left"/>
      <w:lvlText w:val="●"/>
      <w:numFmt w:val="bullet"/>
      <w:start w:val="1"/>
    </w:lvl>
  </w:abstractNum>
  <w:abstractNum w:abstractNumId="51">
    <w:nsid w:val="1849C29B"/>
    <w:multiLevelType w:val="hybridMultilevel"/>
    <w:lvl w:ilvl="0">
      <w:lvlJc w:val="left"/>
      <w:lvlText w:val="%1."/>
      <w:numFmt w:val="decimal"/>
      <w:start w:val="15"/>
    </w:lvl>
  </w:abstractNum>
  <w:abstractNum w:abstractNumId="52">
    <w:nsid w:val="7DFF9D09"/>
    <w:multiLevelType w:val="hybridMultilevel"/>
    <w:lvl w:ilvl="0">
      <w:lvlJc w:val="left"/>
      <w:lvlText w:val="%1."/>
      <w:numFmt w:val="upperLetter"/>
      <w:start w:val="2"/>
    </w:lvl>
  </w:abstractNum>
  <w:abstractNum w:abstractNumId="53">
    <w:nsid w:val="754342"/>
    <w:multiLevelType w:val="hybridMultilevel"/>
    <w:lvl w:ilvl="0">
      <w:lvlJc w:val="left"/>
      <w:lvlText w:val="●"/>
      <w:numFmt w:val="bullet"/>
      <w:start w:val="1"/>
    </w:lvl>
  </w:abstractNum>
  <w:abstractNum w:abstractNumId="54">
    <w:nsid w:val="69E7F3E5"/>
    <w:multiLevelType w:val="hybridMultilevel"/>
    <w:lvl w:ilvl="0">
      <w:lvlJc w:val="left"/>
      <w:lvlText w:val="●"/>
      <w:numFmt w:val="bullet"/>
      <w:start w:val="1"/>
    </w:lvl>
  </w:abstractNum>
  <w:abstractNum w:abstractNumId="55">
    <w:nsid w:val="2A6DE806"/>
    <w:multiLevelType w:val="hybridMultilevel"/>
    <w:lvl w:ilvl="0">
      <w:lvlJc w:val="left"/>
      <w:lvlText w:val="●"/>
      <w:numFmt w:val="bullet"/>
      <w:start w:val="1"/>
    </w:lvl>
  </w:abstractNum>
  <w:abstractNum w:abstractNumId="56">
    <w:nsid w:val="1816F8C4"/>
    <w:multiLevelType w:val="hybridMultilevel"/>
    <w:lvl w:ilvl="0">
      <w:lvlJc w:val="left"/>
      <w:lvlText w:val="*"/>
      <w:numFmt w:val="bullet"/>
      <w:start w:val="1"/>
    </w:lvl>
  </w:abstractNum>
  <w:abstractNum w:abstractNumId="57">
    <w:nsid w:val="37DF2233"/>
    <w:multiLevelType w:val="hybridMultilevel"/>
    <w:lvl w:ilvl="0">
      <w:lvlJc w:val="left"/>
      <w:lvlText w:val="**"/>
      <w:numFmt w:val="bullet"/>
      <w:start w:val="1"/>
    </w:lvl>
  </w:abstractNum>
  <w:abstractNum w:abstractNumId="58">
    <w:nsid w:val="7AB49DAF"/>
    <w:multiLevelType w:val="hybridMultilevel"/>
    <w:lvl w:ilvl="0">
      <w:lvlJc w:val="left"/>
      <w:lvlText w:val="●"/>
      <w:numFmt w:val="bullet"/>
      <w:start w:val="1"/>
    </w:lvl>
  </w:abstractNum>
  <w:abstractNum w:abstractNumId="59">
    <w:nsid w:val="759F82CD"/>
    <w:multiLevelType w:val="hybridMultilevel"/>
    <w:lvl w:ilvl="0">
      <w:lvlJc w:val="left"/>
      <w:lvlText w:val="●"/>
      <w:numFmt w:val="bullet"/>
      <w:start w:val="1"/>
    </w:lvl>
  </w:abstractNum>
  <w:abstractNum w:abstractNumId="60">
    <w:nsid w:val="61E74EA3"/>
    <w:multiLevelType w:val="hybridMultilevel"/>
    <w:lvl w:ilvl="0">
      <w:lvlJc w:val="left"/>
      <w:lvlText w:val="●"/>
      <w:numFmt w:val="bullet"/>
      <w:start w:val="1"/>
    </w:lvl>
  </w:abstractNum>
  <w:abstractNum w:abstractNumId="61">
    <w:nsid w:val="597B4D84"/>
    <w:multiLevelType w:val="hybridMultilevel"/>
    <w:lvl w:ilvl="0">
      <w:lvlJc w:val="left"/>
      <w:lvlText w:val="●"/>
      <w:numFmt w:val="bullet"/>
      <w:start w:val="1"/>
    </w:lvl>
  </w:abstractNum>
  <w:abstractNum w:abstractNumId="62">
    <w:nsid w:val="F819E7F"/>
    <w:multiLevelType w:val="hybridMultilevel"/>
    <w:lvl w:ilvl="0">
      <w:lvlJc w:val="left"/>
      <w:lvlText w:val="●"/>
      <w:numFmt w:val="bullet"/>
      <w:start w:val="1"/>
    </w:lvl>
  </w:abstractNum>
  <w:abstractNum w:abstractNumId="63">
    <w:nsid w:val="57C7D42D"/>
    <w:multiLevelType w:val="hybridMultilevel"/>
    <w:lvl w:ilvl="0">
      <w:lvlJc w:val="left"/>
      <w:lvlText w:val="●"/>
      <w:numFmt w:val="bullet"/>
      <w:start w:val="1"/>
    </w:lvl>
  </w:abstractNum>
  <w:abstractNum w:abstractNumId="64">
    <w:nsid w:val="312167AD"/>
    <w:multiLevelType w:val="hybridMultilevel"/>
    <w:lvl w:ilvl="0">
      <w:lvlJc w:val="left"/>
      <w:lvlText w:val="●"/>
      <w:numFmt w:val="bullet"/>
      <w:start w:val="1"/>
    </w:lvl>
  </w:abstractNum>
  <w:abstractNum w:abstractNumId="65">
    <w:nsid w:val="631B64D4"/>
    <w:multiLevelType w:val="hybridMultilevel"/>
    <w:lvl w:ilvl="0">
      <w:lvlJc w:val="left"/>
      <w:lvlText w:val="●"/>
      <w:numFmt w:val="bullet"/>
      <w:start w:val="1"/>
    </w:lvl>
  </w:abstractNum>
  <w:abstractNum w:abstractNumId="66">
    <w:nsid w:val="78B5E776"/>
    <w:multiLevelType w:val="hybridMultilevel"/>
    <w:lvl w:ilvl="0">
      <w:lvlJc w:val="left"/>
      <w:lvlText w:val="●"/>
      <w:numFmt w:val="bullet"/>
      <w:start w:val="1"/>
    </w:lvl>
  </w:abstractNum>
  <w:abstractNum w:abstractNumId="67">
    <w:nsid w:val="75486E47"/>
    <w:multiLevelType w:val="hybridMultilevel"/>
    <w:lvl w:ilvl="0">
      <w:lvlJc w:val="left"/>
      <w:lvlText w:val="●"/>
      <w:numFmt w:val="bullet"/>
      <w:start w:val="1"/>
    </w:lvl>
  </w:abstractNum>
  <w:abstractNum w:abstractNumId="68">
    <w:nsid w:val="6E534CDE"/>
    <w:multiLevelType w:val="hybridMultilevel"/>
    <w:lvl w:ilvl="0">
      <w:lvlJc w:val="left"/>
      <w:lvlText w:val="●"/>
      <w:numFmt w:val="bullet"/>
      <w:start w:val="1"/>
    </w:lvl>
  </w:abstractNum>
  <w:abstractNum w:abstractNumId="69">
    <w:nsid w:val="1A0DDE32"/>
    <w:multiLevelType w:val="hybridMultilevel"/>
    <w:lvl w:ilvl="0">
      <w:lvlJc w:val="left"/>
      <w:lvlText w:val="●"/>
      <w:numFmt w:val="bullet"/>
      <w:start w:val="1"/>
    </w:lvl>
  </w:abstractNum>
  <w:abstractNum w:abstractNumId="70">
    <w:nsid w:val="65968C1C"/>
    <w:multiLevelType w:val="hybridMultilevel"/>
    <w:lvl w:ilvl="0">
      <w:lvlJc w:val="left"/>
      <w:lvlText w:val="●"/>
      <w:numFmt w:val="bullet"/>
      <w:start w:val="1"/>
    </w:lvl>
  </w:abstractNum>
  <w:abstractNum w:abstractNumId="71">
    <w:nsid w:val="46263DEC"/>
    <w:multiLevelType w:val="hybridMultilevel"/>
    <w:lvl w:ilvl="0">
      <w:lvlJc w:val="left"/>
      <w:lvlText w:val="●"/>
      <w:numFmt w:val="bullet"/>
      <w:start w:val="1"/>
    </w:lvl>
  </w:abstractNum>
  <w:abstractNum w:abstractNumId="72">
    <w:nsid w:val="260D8C4A"/>
    <w:multiLevelType w:val="hybridMultilevel"/>
    <w:lvl w:ilvl="0">
      <w:lvlJc w:val="left"/>
      <w:lvlText w:val="●"/>
      <w:numFmt w:val="bullet"/>
      <w:start w:val="1"/>
    </w:lvl>
  </w:abstractNum>
  <w:abstractNum w:abstractNumId="73">
    <w:nsid w:val="73D4D3C4"/>
    <w:multiLevelType w:val="hybridMultilevel"/>
    <w:lvl w:ilvl="0">
      <w:lvlJc w:val="left"/>
      <w:lvlText w:val="●"/>
      <w:numFmt w:val="bullet"/>
      <w:start w:val="1"/>
    </w:lvl>
  </w:abstractNum>
  <w:abstractNum w:abstractNumId="74">
    <w:nsid w:val="746F2E30"/>
    <w:multiLevelType w:val="hybridMultilevel"/>
    <w:lvl w:ilvl="0">
      <w:lvlJc w:val="left"/>
      <w:lvlText w:val="●"/>
      <w:numFmt w:val="bullet"/>
      <w:start w:val="1"/>
    </w:lvl>
  </w:abstractNum>
  <w:abstractNum w:abstractNumId="75">
    <w:nsid w:val="6FDE8AF6"/>
    <w:multiLevelType w:val="hybridMultilevel"/>
    <w:lvl w:ilvl="0">
      <w:lvlJc w:val="left"/>
      <w:lvlText w:val="●"/>
      <w:numFmt w:val="bullet"/>
      <w:start w:val="1"/>
    </w:lvl>
  </w:abstractNum>
  <w:abstractNum w:abstractNumId="76">
    <w:nsid w:val="3FC32E20"/>
    <w:multiLevelType w:val="hybridMultilevel"/>
    <w:lvl w:ilvl="0">
      <w:lvlJc w:val="left"/>
      <w:lvlText w:val="●"/>
      <w:numFmt w:val="bullet"/>
      <w:start w:val="1"/>
    </w:lvl>
  </w:abstractNum>
  <w:abstractNum w:abstractNumId="77">
    <w:nsid w:val="49C0E823"/>
    <w:multiLevelType w:val="hybridMultilevel"/>
    <w:lvl w:ilvl="0">
      <w:lvlJc w:val="left"/>
      <w:lvlText w:val="●"/>
      <w:numFmt w:val="bullet"/>
      <w:start w:val="1"/>
    </w:lvl>
  </w:abstractNum>
  <w:abstractNum w:abstractNumId="78">
    <w:nsid w:val="14D53685"/>
    <w:multiLevelType w:val="hybridMultilevel"/>
    <w:lvl w:ilvl="0">
      <w:lvlJc w:val="left"/>
      <w:lvlText w:val="●"/>
      <w:numFmt w:val="bullet"/>
      <w:start w:val="1"/>
    </w:lvl>
  </w:abstractNum>
  <w:abstractNum w:abstractNumId="79">
    <w:nsid w:val="230F856C"/>
    <w:multiLevelType w:val="hybridMultilevel"/>
    <w:lvl w:ilvl="0">
      <w:lvlJc w:val="left"/>
      <w:lvlText w:val="%1)"/>
      <w:numFmt w:val="decimal"/>
      <w:start w:val="1"/>
    </w:lvl>
  </w:abstractNum>
  <w:abstractNum w:abstractNumId="80">
    <w:nsid w:val="6EAA85FB"/>
    <w:multiLevelType w:val="hybridMultilevel"/>
    <w:lvl w:ilvl="0">
      <w:lvlJc w:val="left"/>
      <w:lvlText w:val="%1)"/>
      <w:numFmt w:val="decimal"/>
      <w:start w:val="1"/>
    </w:lvl>
  </w:abstractNum>
  <w:abstractNum w:abstractNumId="81">
    <w:nsid w:val="3F06ECB2"/>
    <w:multiLevelType w:val="hybridMultilevel"/>
    <w:lvl w:ilvl="0">
      <w:lvlJc w:val="left"/>
      <w:lvlText w:val="(%1)"/>
      <w:numFmt w:val="upperLetter"/>
      <w:start w:val="2"/>
    </w:lvl>
  </w:abstractNum>
  <w:abstractNum w:abstractNumId="82">
    <w:nsid w:val="3B594807"/>
    <w:multiLevelType w:val="hybridMultilevel"/>
    <w:lvl w:ilvl="0">
      <w:lvlJc w:val="left"/>
      <w:lvlText w:val="(%1)"/>
      <w:numFmt w:val="upperLetter"/>
      <w:start w:val="6"/>
    </w:lvl>
  </w:abstractNum>
  <w:abstractNum w:abstractNumId="83">
    <w:nsid w:val="6CAA2304"/>
    <w:multiLevelType w:val="hybridMultilevel"/>
    <w:lvl w:ilvl="0">
      <w:lvlJc w:val="left"/>
      <w:lvlText w:val="●"/>
      <w:numFmt w:val="bullet"/>
      <w:start w:val="1"/>
    </w:lvl>
  </w:abstractNum>
  <w:abstractNum w:abstractNumId="84">
    <w:nsid w:val="3F7C2FF4"/>
    <w:multiLevelType w:val="hybridMultilevel"/>
    <w:lvl w:ilvl="0">
      <w:lvlJc w:val="left"/>
      <w:lvlText w:val="(%1)"/>
      <w:numFmt w:val="lowerRoman"/>
      <w:start w:val="2"/>
    </w:lvl>
  </w:abstractNum>
  <w:abstractNum w:abstractNumId="85">
    <w:nsid w:val="25413BEC"/>
    <w:multiLevelType w:val="hybridMultilevel"/>
    <w:lvl w:ilvl="0">
      <w:lvlJc w:val="left"/>
      <w:lvlText w:val="●"/>
      <w:numFmt w:val="bullet"/>
      <w:start w:val="1"/>
    </w:lvl>
  </w:abstractNum>
  <w:abstractNum w:abstractNumId="86">
    <w:nsid w:val="17180B0B"/>
    <w:multiLevelType w:val="hybridMultilevel"/>
    <w:lvl w:ilvl="0">
      <w:lvlJc w:val="left"/>
      <w:lvlText w:val="●"/>
      <w:numFmt w:val="bullet"/>
      <w:start w:val="1"/>
    </w:lvl>
  </w:abstractNum>
  <w:abstractNum w:abstractNumId="87">
    <w:nsid w:val="579328B9"/>
    <w:multiLevelType w:val="hybridMultilevel"/>
    <w:lvl w:ilvl="0">
      <w:lvlJc w:val="left"/>
      <w:lvlText w:val="●"/>
      <w:numFmt w:val="bullet"/>
      <w:start w:val="1"/>
    </w:lvl>
  </w:abstractNum>
  <w:abstractNum w:abstractNumId="88">
    <w:nsid w:val="5D205E20"/>
    <w:multiLevelType w:val="hybridMultilevel"/>
    <w:lvl w:ilvl="0">
      <w:lvlJc w:val="left"/>
      <w:lvlText w:val="●"/>
      <w:numFmt w:val="bullet"/>
      <w:start w:val="1"/>
    </w:lvl>
  </w:abstractNum>
  <w:abstractNum w:abstractNumId="89">
    <w:nsid w:val="11CCA8BA"/>
    <w:multiLevelType w:val="hybridMultilevel"/>
    <w:lvl w:ilvl="0">
      <w:lvlJc w:val="left"/>
      <w:lvlText w:val="●"/>
      <w:numFmt w:val="bullet"/>
      <w:start w:val="1"/>
    </w:lvl>
  </w:abstractNum>
  <w:abstractNum w:abstractNumId="90">
    <w:nsid w:val="4D32AB86"/>
    <w:multiLevelType w:val="hybridMultilevel"/>
    <w:lvl w:ilvl="0">
      <w:lvlJc w:val="left"/>
      <w:lvlText w:val="●"/>
      <w:numFmt w:val="bullet"/>
      <w:start w:val="1"/>
    </w:lvl>
  </w:abstractNum>
  <w:abstractNum w:abstractNumId="91">
    <w:nsid w:val="3F07ACC3"/>
    <w:multiLevelType w:val="hybridMultilevel"/>
    <w:lvl w:ilvl="0">
      <w:lvlJc w:val="left"/>
      <w:lvlText w:val="(%1)"/>
      <w:numFmt w:val="lowerRoman"/>
      <w:start w:val="3"/>
    </w:lvl>
  </w:abstractNum>
  <w:abstractNum w:abstractNumId="92">
    <w:nsid w:val="6B47F63E"/>
    <w:multiLevelType w:val="hybridMultilevel"/>
    <w:lvl w:ilvl="0">
      <w:lvlJc w:val="left"/>
      <w:lvlText w:val="%1."/>
      <w:numFmt w:val="upperLetter"/>
      <w:start w:val="4"/>
    </w:lvl>
  </w:abstractNum>
  <w:abstractNum w:abstractNumId="93">
    <w:nsid w:val="5CB44A05"/>
    <w:multiLevelType w:val="hybridMultilevel"/>
    <w:lvl w:ilvl="0">
      <w:lvlJc w:val="left"/>
      <w:lvlText w:val="(%1)"/>
      <w:numFmt w:val="decimal"/>
      <w:start w:val="1"/>
    </w:lvl>
  </w:abstractNum>
  <w:abstractNum w:abstractNumId="94">
    <w:nsid w:val="16CF80F1"/>
    <w:multiLevelType w:val="hybridMultilevel"/>
    <w:lvl w:ilvl="0">
      <w:lvlJc w:val="left"/>
      <w:lvlText w:val="●"/>
      <w:numFmt w:val="bullet"/>
      <w:start w:val="1"/>
    </w:lvl>
  </w:abstractNum>
  <w:abstractNum w:abstractNumId="95">
    <w:nsid w:val="1C695DEC"/>
    <w:multiLevelType w:val="hybridMultilevel"/>
    <w:lvl w:ilvl="0">
      <w:lvlJc w:val="left"/>
      <w:lvlText w:val="●"/>
      <w:numFmt w:val="bullet"/>
      <w:start w:val="1"/>
    </w:lvl>
  </w:abstractNum>
  <w:abstractNum w:abstractNumId="96">
    <w:nsid w:val="3FCFAED9"/>
    <w:multiLevelType w:val="hybridMultilevel"/>
    <w:lvl w:ilvl="0">
      <w:lvlJc w:val="left"/>
      <w:lvlText w:val="(%1)"/>
      <w:numFmt w:val="decimal"/>
      <w:start w:val="1"/>
    </w:lvl>
  </w:abstractNum>
  <w:abstractNum w:abstractNumId="97">
    <w:nsid w:val="F856867"/>
    <w:multiLevelType w:val="hybridMultilevel"/>
    <w:lvl w:ilvl="0">
      <w:lvlJc w:val="left"/>
      <w:lvlText w:val="●"/>
      <w:numFmt w:val="bullet"/>
      <w:start w:val="1"/>
    </w:lvl>
    <w:lvl w:ilvl="1">
      <w:lvlJc w:val="left"/>
      <w:lvlText w:val="●"/>
      <w:numFmt w:val="bullet"/>
      <w:start w:val="1"/>
    </w:lvl>
  </w:abstractNum>
  <w:abstractNum w:abstractNumId="98">
    <w:nsid w:val="11B1CC33"/>
    <w:multiLevelType w:val="hybridMultilevel"/>
    <w:lvl w:ilvl="0">
      <w:lvlJc w:val="left"/>
      <w:lvlText w:val="%1."/>
      <w:numFmt w:val="upperLetter"/>
      <w:start w:val="2"/>
    </w:lvl>
  </w:abstractNum>
  <w:abstractNum w:abstractNumId="99">
    <w:nsid w:val="2E22FBB7"/>
    <w:multiLevelType w:val="hybridMultilevel"/>
    <w:lvl w:ilvl="0">
      <w:lvlJc w:val="left"/>
      <w:lvlText w:val="%1."/>
      <w:numFmt w:val="upperLetter"/>
      <w:start w:val="4"/>
    </w:lvl>
  </w:abstractNum>
  <w:abstractNum w:abstractNumId="100">
    <w:nsid w:val="29934699"/>
    <w:multiLevelType w:val="hybridMultilevel"/>
    <w:lvl w:ilvl="0">
      <w:lvlJc w:val="left"/>
      <w:lvlText w:val="%1."/>
      <w:numFmt w:val="upperLetter"/>
      <w:start w:val="1"/>
    </w:lvl>
  </w:abstractNum>
  <w:abstractNum w:abstractNumId="101">
    <w:nsid w:val="77485850"/>
    <w:multiLevelType w:val="hybridMultilevel"/>
    <w:lvl w:ilvl="0">
      <w:lvlJc w:val="left"/>
      <w:lvlText w:val="(%1)"/>
      <w:numFmt w:val="decimal"/>
      <w:start w:val="1"/>
    </w:lvl>
  </w:abstractNum>
  <w:abstractNum w:abstractNumId="102">
    <w:nsid w:val="744939A3"/>
    <w:multiLevelType w:val="hybridMultilevel"/>
    <w:lvl w:ilvl="0">
      <w:lvlJc w:val="left"/>
      <w:lvlText w:val="●"/>
      <w:numFmt w:val="bullet"/>
      <w:start w:val="1"/>
    </w:lvl>
  </w:abstractNum>
  <w:abstractNum w:abstractNumId="103">
    <w:nsid w:val="4FA0D2E3"/>
    <w:multiLevelType w:val="hybridMultilevel"/>
    <w:lvl w:ilvl="0">
      <w:lvlJc w:val="left"/>
      <w:lvlText w:val="(%1)"/>
      <w:numFmt w:val="decimal"/>
      <w:start w:val="1"/>
    </w:lvl>
  </w:abstractNum>
  <w:abstractNum w:abstractNumId="104">
    <w:nsid w:val="6B1D2C14"/>
    <w:multiLevelType w:val="hybridMultilevel"/>
    <w:lvl w:ilvl="0">
      <w:lvlJc w:val="left"/>
      <w:lvlText w:val="(%1)"/>
      <w:numFmt w:val="decimal"/>
      <w:start w:val="1"/>
    </w:lvl>
  </w:abstractNum>
  <w:abstractNum w:abstractNumId="105">
    <w:nsid w:val="68B867D3"/>
    <w:multiLevelType w:val="hybridMultilevel"/>
    <w:lvl w:ilvl="0">
      <w:lvlJc w:val="left"/>
      <w:lvlText w:val="(%1)"/>
      <w:numFmt w:val="decimal"/>
      <w:start w:val="6"/>
    </w:lvl>
  </w:abstractNum>
  <w:abstractNum w:abstractNumId="106">
    <w:nsid w:val="3F7F5DD9"/>
    <w:multiLevelType w:val="hybridMultilevel"/>
    <w:lvl w:ilvl="0">
      <w:lvlJc w:val="left"/>
      <w:lvlText w:val="%1."/>
      <w:numFmt w:val="upperLetter"/>
      <w:start w:val="3"/>
    </w:lvl>
  </w:abstractNum>
  <w:abstractNum w:abstractNumId="107">
    <w:nsid w:val="2AE05A34"/>
    <w:multiLevelType w:val="hybridMultilevel"/>
    <w:lvl w:ilvl="0">
      <w:lvlJc w:val="left"/>
      <w:lvlText w:val="%1."/>
      <w:numFmt w:val="upperLetter"/>
      <w:start w:val="5"/>
    </w:lvl>
  </w:abstractNum>
  <w:abstractNum w:abstractNumId="108">
    <w:nsid w:val="32794FF7"/>
    <w:multiLevelType w:val="hybridMultilevel"/>
    <w:lvl w:ilvl="0">
      <w:lvlJc w:val="left"/>
      <w:lvlText w:val="(%1)"/>
      <w:numFmt w:val="decimal"/>
      <w:start w:val="1"/>
    </w:lvl>
  </w:abstractNum>
  <w:abstractNum w:abstractNumId="109">
    <w:nsid w:val="5454945E"/>
    <w:multiLevelType w:val="hybridMultilevel"/>
    <w:lvl w:ilvl="0">
      <w:lvlJc w:val="left"/>
      <w:lvlText w:val="(%1)"/>
      <w:numFmt w:val="decimal"/>
      <w:start w:val="1"/>
    </w:lvl>
  </w:abstractNum>
  <w:abstractNum w:abstractNumId="110">
    <w:nsid w:val="4DEFDFA0"/>
    <w:multiLevelType w:val="hybridMultilevel"/>
    <w:lvl w:ilvl="0">
      <w:lvlJc w:val="left"/>
      <w:lvlText w:val="(%1)"/>
      <w:numFmt w:val="decimal"/>
      <w:start w:val="1"/>
    </w:lvl>
  </w:abstractNum>
  <w:abstractNum w:abstractNumId="111">
    <w:nsid w:val="2123D5F2"/>
    <w:multiLevelType w:val="hybridMultilevel"/>
    <w:lvl w:ilvl="0">
      <w:lvlJc w:val="left"/>
      <w:lvlText w:val="%1."/>
      <w:numFmt w:val="upperLetter"/>
      <w:start w:val="6"/>
    </w:lvl>
  </w:abstractNum>
  <w:abstractNum w:abstractNumId="112">
    <w:nsid w:val="135B8110"/>
    <w:multiLevelType w:val="hybridMultilevel"/>
    <w:lvl w:ilvl="0">
      <w:lvlJc w:val="left"/>
      <w:lvlText w:val="%1."/>
      <w:numFmt w:val="upperLetter"/>
      <w:start w:val="1"/>
    </w:lvl>
    <w:lvl w:ilvl="1">
      <w:lvlJc w:val="left"/>
      <w:lvlText w:val="●"/>
      <w:numFmt w:val="bullet"/>
      <w:start w:val="1"/>
    </w:lvl>
  </w:abstractNum>
  <w:abstractNum w:abstractNumId="113">
    <w:nsid w:val="94927A8"/>
    <w:multiLevelType w:val="hybridMultilevel"/>
    <w:lvl w:ilvl="0">
      <w:lvlJc w:val="left"/>
      <w:lvlText w:val="(%1)"/>
      <w:numFmt w:val="decimal"/>
      <w:start w:val="1"/>
    </w:lvl>
  </w:abstractNum>
  <w:abstractNum w:abstractNumId="114">
    <w:nsid w:val="DCDF8F6"/>
    <w:multiLevelType w:val="hybridMultilevel"/>
    <w:lvl w:ilvl="0">
      <w:lvlJc w:val="left"/>
      <w:lvlText w:val="(%1)"/>
      <w:numFmt w:val="decimal"/>
      <w:start w:val="4"/>
    </w:lvl>
  </w:abstractNum>
  <w:abstractNum w:abstractNumId="115">
    <w:nsid w:val="52D7B105"/>
    <w:multiLevelType w:val="hybridMultilevel"/>
    <w:lvl w:ilvl="0">
      <w:lvlJc w:val="left"/>
      <w:lvlText w:val="●"/>
      <w:numFmt w:val="bullet"/>
      <w:start w:val="1"/>
    </w:lvl>
  </w:abstractNum>
  <w:abstractNum w:abstractNumId="116">
    <w:nsid w:val="2E8A6394"/>
    <w:multiLevelType w:val="hybridMultilevel"/>
    <w:lvl w:ilvl="0">
      <w:lvlJc w:val="left"/>
      <w:lvlText w:val="●"/>
      <w:numFmt w:val="bullet"/>
      <w:start w:val="1"/>
    </w:lvl>
  </w:abstractNum>
  <w:abstractNum w:abstractNumId="117">
    <w:nsid w:val="24E60401"/>
    <w:multiLevelType w:val="hybridMultilevel"/>
    <w:lvl w:ilvl="0">
      <w:lvlJc w:val="left"/>
      <w:lvlText w:val="%1."/>
      <w:numFmt w:val="upperLetter"/>
      <w:start w:val="1"/>
    </w:lvl>
  </w:abstractNum>
  <w:abstractNum w:abstractNumId="118">
    <w:nsid w:val="2A6AD9BE"/>
    <w:multiLevelType w:val="hybridMultilevel"/>
    <w:lvl w:ilvl="0">
      <w:lvlJc w:val="left"/>
      <w:lvlText w:val="%1."/>
      <w:numFmt w:val="upperLetter"/>
      <w:start w:val="1"/>
    </w:lvl>
  </w:abstractNum>
  <w:abstractNum w:abstractNumId="119">
    <w:nsid w:val="BAAC1B4"/>
    <w:multiLevelType w:val="hybridMultilevel"/>
    <w:lvl w:ilvl="0">
      <w:lvlJc w:val="left"/>
      <w:lvlText w:val="%1."/>
      <w:numFmt w:val="upperLetter"/>
      <w:start w:val="1"/>
    </w:lvl>
  </w:abstractNum>
  <w:abstractNum w:abstractNumId="120">
    <w:nsid w:val="36B2ACBC"/>
    <w:multiLevelType w:val="hybridMultilevel"/>
    <w:lvl w:ilvl="0">
      <w:lvlJc w:val="left"/>
      <w:lvlText w:val="%1."/>
      <w:numFmt w:val="upperLetter"/>
      <w:start w:val="3"/>
    </w:lvl>
  </w:abstractNum>
  <w:abstractNum w:abstractNumId="121">
    <w:nsid w:val="779D8544"/>
    <w:multiLevelType w:val="hybridMultilevel"/>
    <w:lvl w:ilvl="0">
      <w:lvlJc w:val="left"/>
      <w:lvlText w:val="(%1)"/>
      <w:numFmt w:val="lowerRoman"/>
      <w:start w:val="1"/>
    </w:lvl>
  </w:abstractNum>
  <w:abstractNum w:abstractNumId="122">
    <w:nsid w:val="4AB26E78"/>
    <w:multiLevelType w:val="hybridMultilevel"/>
    <w:lvl w:ilvl="0">
      <w:lvlJc w:val="left"/>
      <w:lvlText w:val="●"/>
      <w:numFmt w:val="bullet"/>
      <w:start w:val="1"/>
    </w:lvl>
  </w:abstractNum>
  <w:abstractNum w:abstractNumId="123">
    <w:nsid w:val="21FAA2FA"/>
    <w:multiLevelType w:val="hybridMultilevel"/>
    <w:lvl w:ilvl="0">
      <w:lvlJc w:val="left"/>
      <w:lvlText w:val="●"/>
      <w:numFmt w:val="bullet"/>
      <w:start w:val="1"/>
    </w:lvl>
  </w:abstractNum>
  <w:abstractNum w:abstractNumId="124">
    <w:nsid w:val="5451CF49"/>
    <w:multiLevelType w:val="hybridMultilevel"/>
    <w:lvl w:ilvl="0">
      <w:lvlJc w:val="left"/>
      <w:lvlText w:val="(%1)"/>
      <w:numFmt w:val="lowerRoman"/>
      <w:start w:val="1"/>
    </w:lvl>
  </w:abstractNum>
  <w:abstractNum w:abstractNumId="125">
    <w:nsid w:val="6181EF69"/>
    <w:multiLevelType w:val="hybridMultilevel"/>
    <w:lvl w:ilvl="0">
      <w:lvlJc w:val="left"/>
      <w:lvlText w:val="(%1)"/>
      <w:numFmt w:val="lowerRoman"/>
      <w:start w:val="5"/>
    </w:lvl>
  </w:abstractNum>
  <w:abstractNum w:abstractNumId="126">
    <w:nsid w:val="3E6400E6"/>
    <w:multiLevelType w:val="hybridMultilevel"/>
    <w:lvl w:ilvl="0">
      <w:lvlJc w:val="left"/>
      <w:lvlText w:val="(%1)"/>
      <w:numFmt w:val="lowerRoman"/>
      <w:start w:val="1"/>
    </w:lvl>
  </w:abstractNum>
  <w:abstractNum w:abstractNumId="127">
    <w:nsid w:val="14217E23"/>
    <w:multiLevelType w:val="hybridMultilevel"/>
    <w:lvl w:ilvl="0">
      <w:lvlJc w:val="left"/>
      <w:lvlText w:val="(%1)"/>
      <w:numFmt w:val="lowerRoman"/>
      <w:start w:val="1"/>
    </w:lvl>
  </w:abstractNum>
  <w:abstractNum w:abstractNumId="128">
    <w:nsid w:val="710757D0"/>
    <w:multiLevelType w:val="hybridMultilevel"/>
    <w:lvl w:ilvl="0">
      <w:lvlJc w:val="left"/>
      <w:lvlText w:val="(%1)"/>
      <w:numFmt w:val="lowerRoman"/>
      <w:start w:val="1"/>
    </w:lvl>
  </w:abstractNum>
  <w:abstractNum w:abstractNumId="129">
    <w:nsid w:val="5015CD1A"/>
    <w:multiLevelType w:val="hybridMultilevel"/>
    <w:lvl w:ilvl="0">
      <w:lvlJc w:val="left"/>
      <w:lvlText w:val="(%1)"/>
      <w:numFmt w:val="lowerRoman"/>
      <w:start w:val="1"/>
    </w:lvl>
  </w:abstractNum>
  <w:abstractNum w:abstractNumId="130">
    <w:nsid w:val="424479DA"/>
    <w:multiLevelType w:val="hybridMultilevel"/>
    <w:lvl w:ilvl="0">
      <w:lvlJc w:val="left"/>
      <w:lvlText w:val="●"/>
      <w:numFmt w:val="bullet"/>
      <w:start w:val="1"/>
    </w:lvl>
  </w:abstractNum>
  <w:abstractNum w:abstractNumId="131">
    <w:nsid w:val="1A9A9E69"/>
    <w:multiLevelType w:val="hybridMultilevel"/>
    <w:lvl w:ilvl="0">
      <w:lvlJc w:val="left"/>
      <w:lvlText w:val="●"/>
      <w:numFmt w:val="bullet"/>
      <w:start w:val="1"/>
    </w:lvl>
  </w:abstractNum>
  <w:abstractNum w:abstractNumId="132">
    <w:nsid w:val="475E256A"/>
    <w:multiLevelType w:val="hybridMultilevel"/>
    <w:lvl w:ilvl="0">
      <w:lvlJc w:val="left"/>
      <w:lvlText w:val="%1."/>
      <w:numFmt w:val="upperLetter"/>
      <w:start w:val="6"/>
    </w:lvl>
  </w:abstractNum>
  <w:abstractNum w:abstractNumId="133">
    <w:nsid w:val="368DB37E"/>
    <w:multiLevelType w:val="hybridMultilevel"/>
    <w:lvl w:ilvl="0">
      <w:lvlJc w:val="left"/>
      <w:lvlText w:val="%1."/>
      <w:numFmt w:val="upperLetter"/>
      <w:start w:val="9"/>
    </w:lvl>
  </w:abstractNum>
  <w:abstractNum w:abstractNumId="134">
    <w:nsid w:val="6A3B714C"/>
    <w:multiLevelType w:val="hybridMultilevel"/>
    <w:lvl w:ilvl="0">
      <w:lvlJc w:val="left"/>
      <w:lvlText w:val="%1."/>
      <w:numFmt w:val="upperLetter"/>
      <w:start w:val="1"/>
    </w:lvl>
  </w:abstractNum>
  <w:abstractNum w:abstractNumId="135">
    <w:nsid w:val="327B517E"/>
    <w:multiLevelType w:val="hybridMultilevel"/>
    <w:lvl w:ilvl="0">
      <w:lvlJc w:val="left"/>
      <w:lvlText w:val="%1."/>
      <w:numFmt w:val="upperLetter"/>
      <w:start w:val="1"/>
    </w:lvl>
  </w:abstractNum>
  <w:abstractNum w:abstractNumId="136">
    <w:nsid w:val="1F461B51"/>
    <w:multiLevelType w:val="hybridMultilevel"/>
    <w:lvl w:ilvl="0">
      <w:lvlJc w:val="left"/>
      <w:lvlText w:val="%1."/>
      <w:numFmt w:val="upperLetter"/>
      <w:start w:val="1"/>
    </w:lvl>
  </w:abstractNum>
  <w:abstractNum w:abstractNumId="137">
    <w:nsid w:val="29BACF25"/>
    <w:multiLevelType w:val="hybridMultilevel"/>
    <w:lvl w:ilvl="0">
      <w:lvlJc w:val="left"/>
      <w:lvlText w:val="●"/>
      <w:numFmt w:val="bullet"/>
      <w:start w:val="1"/>
    </w:lvl>
  </w:abstractNum>
  <w:abstractNum w:abstractNumId="138">
    <w:nsid w:val="5D5BABB3"/>
    <w:multiLevelType w:val="hybridMultilevel"/>
    <w:lvl w:ilvl="0">
      <w:lvlJc w:val="left"/>
      <w:lvlText w:val="●"/>
      <w:numFmt w:val="bullet"/>
      <w:start w:val="1"/>
    </w:lvl>
  </w:abstractNum>
  <w:abstractNum w:abstractNumId="139">
    <w:nsid w:val="51BF6B48"/>
    <w:multiLevelType w:val="hybridMultilevel"/>
    <w:lvl w:ilvl="0">
      <w:lvlJc w:val="left"/>
      <w:lvlText w:val="●"/>
      <w:numFmt w:val="bullet"/>
      <w:start w:val="1"/>
    </w:lvl>
  </w:abstractNum>
  <w:abstractNum w:abstractNumId="140">
    <w:nsid w:val="7E0F6384"/>
    <w:multiLevelType w:val="hybridMultilevel"/>
    <w:lvl w:ilvl="0">
      <w:lvlJc w:val="left"/>
      <w:lvlText w:val="●"/>
      <w:numFmt w:val="bullet"/>
      <w:start w:val="1"/>
    </w:lvl>
  </w:abstractNum>
  <w:abstractNum w:abstractNumId="141">
    <w:nsid w:val="2B4B8B53"/>
    <w:multiLevelType w:val="hybridMultilevel"/>
    <w:lvl w:ilvl="0">
      <w:lvlJc w:val="left"/>
      <w:lvlText w:val="●"/>
      <w:numFmt w:val="bullet"/>
      <w:start w:val="1"/>
    </w:lvl>
    <w:lvl w:ilvl="1">
      <w:lvlJc w:val="left"/>
      <w:lvlText w:val="●"/>
      <w:numFmt w:val="bullet"/>
      <w:start w:val="1"/>
    </w:lvl>
  </w:abstractNum>
  <w:abstractNum w:abstractNumId="142">
    <w:nsid w:val="72E3413A"/>
    <w:multiLevelType w:val="hybridMultilevel"/>
    <w:lvl w:ilvl="0">
      <w:lvlJc w:val="left"/>
      <w:lvlText w:val="●"/>
      <w:numFmt w:val="bullet"/>
      <w:start w:val="1"/>
    </w:lvl>
  </w:abstractNum>
  <w:abstractNum w:abstractNumId="143">
    <w:nsid w:val="116AE494"/>
    <w:multiLevelType w:val="hybridMultilevel"/>
    <w:lvl w:ilvl="0">
      <w:lvlJc w:val="left"/>
      <w:lvlText w:val="(%1)"/>
      <w:numFmt w:val="lowerRoman"/>
      <w:start w:val="3"/>
    </w:lvl>
  </w:abstractNum>
  <w:abstractNum w:abstractNumId="144">
    <w:nsid w:val="3494B2FB"/>
    <w:multiLevelType w:val="hybridMultilevel"/>
    <w:lvl w:ilvl="0">
      <w:lvlJc w:val="left"/>
      <w:lvlText w:val="●"/>
      <w:numFmt w:val="bullet"/>
      <w:start w:val="1"/>
    </w:lvl>
  </w:abstractNum>
  <w:abstractNum w:abstractNumId="145">
    <w:nsid w:val="B13A31"/>
    <w:multiLevelType w:val="hybridMultilevel"/>
    <w:lvl w:ilvl="0">
      <w:lvlJc w:val="left"/>
      <w:lvlText w:val="●"/>
      <w:numFmt w:val="bullet"/>
      <w:start w:val="1"/>
    </w:lvl>
  </w:abstractNum>
  <w:abstractNum w:abstractNumId="146">
    <w:nsid w:val="64429599"/>
    <w:multiLevelType w:val="hybridMultilevel"/>
    <w:lvl w:ilvl="0">
      <w:lvlJc w:val="left"/>
      <w:lvlText w:val="●"/>
      <w:numFmt w:val="bullet"/>
      <w:start w:val="1"/>
    </w:lvl>
  </w:abstractNum>
  <w:abstractNum w:abstractNumId="147">
    <w:nsid w:val="631F1690"/>
    <w:multiLevelType w:val="hybridMultilevel"/>
    <w:lvl w:ilvl="0">
      <w:lvlJc w:val="left"/>
      <w:lvlText w:val="●"/>
      <w:numFmt w:val="bullet"/>
      <w:start w:val="1"/>
    </w:lvl>
  </w:abstractNum>
  <w:abstractNum w:abstractNumId="148">
    <w:nsid w:val="25973E32"/>
    <w:multiLevelType w:val="hybridMultilevel"/>
    <w:lvl w:ilvl="0">
      <w:lvlJc w:val="left"/>
      <w:lvlText w:val="●"/>
      <w:numFmt w:val="bullet"/>
      <w:start w:val="1"/>
    </w:lvl>
  </w:abstractNum>
  <w:abstractNum w:abstractNumId="149">
    <w:nsid w:val="EAD6F57"/>
    <w:multiLevelType w:val="hybridMultilevel"/>
    <w:lvl w:ilvl="0">
      <w:lvlJc w:val="left"/>
      <w:lvlText w:val="●"/>
      <w:numFmt w:val="bullet"/>
      <w:start w:val="1"/>
    </w:lvl>
  </w:abstractNum>
  <w:abstractNum w:abstractNumId="150">
    <w:nsid w:val="6EC9D844"/>
    <w:multiLevelType w:val="hybridMultilevel"/>
    <w:lvl w:ilvl="0">
      <w:lvlJc w:val="left"/>
      <w:lvlText w:val="●"/>
      <w:numFmt w:val="bullet"/>
      <w:start w:val="1"/>
    </w:lvl>
  </w:abstractNum>
  <w:abstractNum w:abstractNumId="151">
    <w:nsid w:val="5C49EAEE"/>
    <w:multiLevelType w:val="hybridMultilevel"/>
    <w:lvl w:ilvl="0">
      <w:lvlJc w:val="left"/>
      <w:lvlText w:val="●"/>
      <w:numFmt w:val="bullet"/>
      <w:start w:val="1"/>
    </w:lvl>
  </w:abstractNum>
  <w:abstractNum w:abstractNumId="152">
    <w:nsid w:val="64AF49B"/>
    <w:multiLevelType w:val="hybridMultilevel"/>
    <w:lvl w:ilvl="0">
      <w:lvlJc w:val="left"/>
      <w:lvlText w:val="(%1)"/>
      <w:numFmt w:val="lowerRoman"/>
      <w:start w:val="3"/>
    </w:lvl>
  </w:abstractNum>
  <w:abstractNum w:abstractNumId="153">
    <w:nsid w:val="397C46BC"/>
    <w:multiLevelType w:val="hybridMultilevel"/>
    <w:lvl w:ilvl="0">
      <w:lvlJc w:val="left"/>
      <w:lvlText w:val="†"/>
      <w:numFmt w:val="bullet"/>
      <w:start w:val="1"/>
    </w:lvl>
  </w:abstractNum>
  <w:abstractNum w:abstractNumId="154">
    <w:nsid w:val="7E448DE9"/>
    <w:multiLevelType w:val="hybridMultilevel"/>
    <w:lvl w:ilvl="0">
      <w:lvlJc w:val="left"/>
      <w:lvlText w:val="*"/>
      <w:numFmt w:val="bullet"/>
      <w:start w:val="1"/>
    </w:lvl>
  </w:abstractNum>
  <w:abstractNum w:abstractNumId="155">
    <w:nsid w:val="5A9CC3E5"/>
    <w:multiLevelType w:val="hybridMultilevel"/>
    <w:lvl w:ilvl="0">
      <w:lvlJc w:val="left"/>
      <w:lvlText w:val="**"/>
      <w:numFmt w:val="bullet"/>
      <w:start w:val="1"/>
    </w:lvl>
  </w:abstractNum>
  <w:abstractNum w:abstractNumId="156">
    <w:nsid w:val="1AFE3625"/>
    <w:multiLevelType w:val="hybridMultilevel"/>
    <w:lvl w:ilvl="0">
      <w:lvlJc w:val="left"/>
      <w:lvlText w:val="%1."/>
      <w:numFmt w:val="decimal"/>
      <w:start w:val="2"/>
    </w:lvl>
  </w:abstractNum>
  <w:abstractNum w:abstractNumId="157">
    <w:nsid w:val="3CA88ECF"/>
    <w:multiLevelType w:val="hybridMultilevel"/>
    <w:lvl w:ilvl="0">
      <w:lvlJc w:val="left"/>
      <w:lvlText w:val="●"/>
      <w:numFmt w:val="bullet"/>
      <w:start w:val="1"/>
    </w:lvl>
  </w:abstractNum>
  <w:abstractNum w:abstractNumId="158">
    <w:nsid w:val="6EBE4208"/>
    <w:multiLevelType w:val="hybridMultilevel"/>
    <w:lvl w:ilvl="0">
      <w:lvlJc w:val="left"/>
      <w:lvlText w:val="●"/>
      <w:numFmt w:val="bullet"/>
      <w:start w:val="1"/>
    </w:lvl>
  </w:abstractNum>
  <w:abstractNum w:abstractNumId="159">
    <w:nsid w:val="C058DF5"/>
    <w:multiLevelType w:val="hybridMultilevel"/>
    <w:lvl w:ilvl="0">
      <w:lvlJc w:val="left"/>
      <w:lvlText w:val="●"/>
      <w:numFmt w:val="bullet"/>
      <w:start w:val="1"/>
    </w:lvl>
  </w:abstractNum>
  <w:abstractNum w:abstractNumId="160">
    <w:nsid w:val="CBE5BE9"/>
    <w:multiLevelType w:val="hybridMultilevel"/>
    <w:lvl w:ilvl="0">
      <w:lvlJc w:val="left"/>
      <w:lvlText w:val="●"/>
      <w:numFmt w:val="bullet"/>
      <w:start w:val="1"/>
    </w:lvl>
  </w:abstractNum>
  <w:abstractNum w:abstractNumId="161">
    <w:nsid w:val="3102BBE2"/>
    <w:multiLevelType w:val="hybridMultilevel"/>
    <w:lvl w:ilvl="0">
      <w:lvlJc w:val="left"/>
      <w:lvlText w:val="●"/>
      <w:numFmt w:val="bullet"/>
      <w:start w:val="1"/>
    </w:lvl>
  </w:abstractNum>
  <w:abstractNum w:abstractNumId="162">
    <w:nsid w:val="26A02C5E"/>
    <w:multiLevelType w:val="hybridMultilevel"/>
    <w:lvl w:ilvl="0">
      <w:lvlJc w:val="left"/>
      <w:lvlText w:val="●"/>
      <w:numFmt w:val="bullet"/>
      <w:start w:val="1"/>
    </w:lvl>
  </w:abstractNum>
  <w:abstractNum w:abstractNumId="163">
    <w:nsid w:val="541C8153"/>
    <w:multiLevelType w:val="hybridMultilevel"/>
    <w:lvl w:ilvl="0">
      <w:lvlJc w:val="left"/>
      <w:lvlText w:val="•"/>
      <w:numFmt w:val="bullet"/>
      <w:start w:val="1"/>
    </w:lvl>
  </w:abstractNum>
  <w:abstractNum w:abstractNumId="164">
    <w:nsid w:val="67906F60"/>
    <w:multiLevelType w:val="hybridMultilevel"/>
    <w:lvl w:ilvl="0">
      <w:lvlJc w:val="left"/>
      <w:lvlText w:val="•"/>
      <w:numFmt w:val="bullet"/>
      <w:start w:val="1"/>
    </w:lvl>
  </w:abstractNum>
  <w:abstractNum w:abstractNumId="165">
    <w:nsid w:val="10DB9DAA"/>
    <w:multiLevelType w:val="hybridMultilevel"/>
    <w:lvl w:ilvl="0">
      <w:lvlJc w:val="left"/>
      <w:lvlText w:val="●"/>
      <w:numFmt w:val="bullet"/>
      <w:start w:val="1"/>
    </w:lvl>
  </w:abstractNum>
  <w:abstractNum w:abstractNumId="166">
    <w:nsid w:val="697D2D2"/>
    <w:multiLevelType w:val="hybridMultilevel"/>
    <w:lvl w:ilvl="0">
      <w:lvlJc w:val="left"/>
      <w:lvlText w:val="%1."/>
      <w:numFmt w:val="decimal"/>
      <w:start w:val="9"/>
    </w:lvl>
  </w:abstractNum>
  <w:abstractNum w:abstractNumId="167">
    <w:nsid w:val="6D68AB2"/>
    <w:multiLevelType w:val="hybridMultilevel"/>
    <w:lvl w:ilvl="0">
      <w:lvlJc w:val="left"/>
      <w:lvlText w:val="●"/>
      <w:numFmt w:val="bullet"/>
      <w:start w:val="1"/>
    </w:lvl>
  </w:abstractNum>
  <w:abstractNum w:abstractNumId="168">
    <w:nsid w:val="3A966CD0"/>
    <w:multiLevelType w:val="hybridMultilevel"/>
    <w:lvl w:ilvl="0">
      <w:lvlJc w:val="left"/>
      <w:lvlText w:val="●"/>
      <w:numFmt w:val="bullet"/>
      <w:start w:val="1"/>
    </w:lvl>
  </w:abstractNum>
  <w:abstractNum w:abstractNumId="169">
    <w:nsid w:val="63F37E85"/>
    <w:multiLevelType w:val="hybridMultilevel"/>
    <w:lvl w:ilvl="0">
      <w:lvlJc w:val="left"/>
      <w:lvlText w:val="●"/>
      <w:numFmt w:val="bullet"/>
      <w:start w:val="1"/>
    </w:lvl>
  </w:abstractNum>
  <w:abstractNum w:abstractNumId="170">
    <w:nsid w:val="5895F5FA"/>
    <w:multiLevelType w:val="hybridMultilevel"/>
    <w:lvl w:ilvl="0">
      <w:lvlJc w:val="left"/>
      <w:lvlText w:val="●"/>
      <w:numFmt w:val="bullet"/>
      <w:start w:val="1"/>
    </w:lvl>
  </w:abstractNum>
  <w:abstractNum w:abstractNumId="171">
    <w:nsid w:val="38A5D054"/>
    <w:multiLevelType w:val="hybridMultilevel"/>
    <w:lvl w:ilvl="0">
      <w:lvlJc w:val="left"/>
      <w:lvlText w:val="%1."/>
      <w:numFmt w:val="lowerLetter"/>
      <w:start w:val="1"/>
    </w:lvl>
  </w:abstractNum>
  <w:abstractNum w:abstractNumId="172">
    <w:nsid w:val="F3F09D8"/>
    <w:multiLevelType w:val="hybridMultilevel"/>
    <w:lvl w:ilvl="0">
      <w:lvlJc w:val="left"/>
      <w:lvlText w:val="%1."/>
      <w:numFmt w:val="lowerLetter"/>
      <w:start w:val="4"/>
    </w:lvl>
  </w:abstractNum>
  <w:abstractNum w:abstractNumId="173">
    <w:nsid w:val="4B793735"/>
    <w:multiLevelType w:val="hybridMultilevel"/>
    <w:lvl w:ilvl="0">
      <w:lvlJc w:val="left"/>
      <w:lvlText w:val="%1."/>
      <w:numFmt w:val="lowerLetter"/>
      <w:start w:val="1"/>
    </w:lvl>
  </w:abstractNum>
  <w:abstractNum w:abstractNumId="174">
    <w:nsid w:val="4A10B4E8"/>
    <w:multiLevelType w:val="hybridMultilevel"/>
    <w:lvl w:ilvl="0">
      <w:lvlJc w:val="left"/>
      <w:lvlText w:val="%1."/>
      <w:numFmt w:val="lowerLetter"/>
      <w:start w:val="2"/>
    </w:lvl>
  </w:abstractNum>
  <w:abstractNum w:abstractNumId="175">
    <w:nsid w:val="43D3BCD4"/>
    <w:multiLevelType w:val="hybridMultilevel"/>
    <w:lvl w:ilvl="0">
      <w:lvlJc w:val="left"/>
      <w:lvlText w:val="%1."/>
      <w:numFmt w:val="lowerLetter"/>
      <w:start w:val="4"/>
    </w:lvl>
  </w:abstractNum>
  <w:abstractNum w:abstractNumId="176">
    <w:nsid w:val="4C2A7166"/>
    <w:multiLevelType w:val="hybridMultilevel"/>
    <w:lvl w:ilvl="0">
      <w:lvlJc w:val="left"/>
      <w:lvlText w:val="%1."/>
      <w:numFmt w:val="lowerLetter"/>
      <w:start w:val="1"/>
    </w:lvl>
  </w:abstractNum>
  <w:abstractNum w:abstractNumId="177">
    <w:nsid w:val="2E534A82"/>
    <w:multiLevelType w:val="hybridMultilevel"/>
    <w:lvl w:ilvl="0">
      <w:lvlJc w:val="left"/>
      <w:lvlText w:val="%1."/>
      <w:numFmt w:val="lowerLetter"/>
      <w:start w:val="1"/>
    </w:lvl>
    <w:lvl w:ilvl="1">
      <w:lvlJc w:val="left"/>
      <w:lvlText w:val="%2."/>
      <w:numFmt w:val="lowerRoman"/>
      <w:start w:val="1"/>
    </w:lvl>
  </w:abstractNum>
  <w:abstractNum w:abstractNumId="178">
    <w:nsid w:val="26F2D364"/>
    <w:multiLevelType w:val="hybridMultilevel"/>
    <w:lvl w:ilvl="0">
      <w:lvlJc w:val="left"/>
      <w:lvlText w:val="%1."/>
      <w:numFmt w:val="lowerLetter"/>
      <w:start w:val="6"/>
    </w:lvl>
  </w:abstractNum>
  <w:abstractNum w:abstractNumId="179">
    <w:nsid w:val="71C1AF98"/>
    <w:multiLevelType w:val="hybridMultilevel"/>
    <w:lvl w:ilvl="0">
      <w:lvlJc w:val="left"/>
      <w:lvlText w:val="%1."/>
      <w:numFmt w:val="lowerLetter"/>
      <w:start w:val="1"/>
    </w:lvl>
  </w:abstractNum>
  <w:abstractNum w:abstractNumId="180">
    <w:nsid w:val="3D00B9D9"/>
    <w:multiLevelType w:val="hybridMultilevel"/>
    <w:lvl w:ilvl="0">
      <w:lvlJc w:val="left"/>
      <w:lvlText w:val="%1."/>
      <w:numFmt w:val="lowerLetter"/>
      <w:start w:val="1"/>
    </w:lvl>
  </w:abstractNum>
  <w:abstractNum w:abstractNumId="181">
    <w:nsid w:val="15BCABA8"/>
    <w:multiLevelType w:val="hybridMultilevel"/>
    <w:lvl w:ilvl="0">
      <w:lvlJc w:val="left"/>
      <w:lvlText w:val="%1."/>
      <w:numFmt w:val="lowerLetter"/>
      <w:start w:val="1"/>
    </w:lvl>
  </w:abstractNum>
  <w:abstractNum w:abstractNumId="182">
    <w:nsid w:val="4E0B9A87"/>
    <w:multiLevelType w:val="hybridMultilevel"/>
    <w:lvl w:ilvl="0">
      <w:lvlJc w:val="left"/>
      <w:lvlText w:val="%1."/>
      <w:numFmt w:val="lowerLetter"/>
      <w:start w:val="1"/>
    </w:lvl>
  </w:abstractNum>
  <w:abstractNum w:abstractNumId="183">
    <w:nsid w:val="434BAE75"/>
    <w:multiLevelType w:val="hybridMultilevel"/>
    <w:lvl w:ilvl="0">
      <w:lvlJc w:val="left"/>
      <w:lvlText w:val="%1."/>
      <w:numFmt w:val="lowerLetter"/>
      <w:start w:val="1"/>
    </w:lvl>
  </w:abstractNum>
  <w:abstractNum w:abstractNumId="184">
    <w:nsid w:val="4F38F265"/>
    <w:multiLevelType w:val="hybridMultilevel"/>
    <w:lvl w:ilvl="0">
      <w:lvlJc w:val="left"/>
      <w:lvlText w:val="%1."/>
      <w:numFmt w:val="lowerLetter"/>
      <w:start w:val="1"/>
    </w:lvl>
  </w:abstractNum>
  <w:abstractNum w:abstractNumId="185">
    <w:nsid w:val="4C502870"/>
    <w:multiLevelType w:val="hybridMultilevel"/>
    <w:lvl w:ilvl="0">
      <w:lvlJc w:val="left"/>
      <w:lvlText w:val="%1."/>
      <w:numFmt w:val="lowerLetter"/>
      <w:start w:val="1"/>
    </w:lvl>
  </w:abstractNum>
  <w:abstractNum w:abstractNumId="186">
    <w:nsid w:val="1DE8725A"/>
    <w:multiLevelType w:val="hybridMultilevel"/>
    <w:lvl w:ilvl="0">
      <w:lvlJc w:val="left"/>
      <w:lvlText w:val="%1."/>
      <w:numFmt w:val="lowerLetter"/>
      <w:start w:val="1"/>
    </w:lvl>
  </w:abstractNum>
  <w:abstractNum w:abstractNumId="187">
    <w:nsid w:val="6A37288A"/>
    <w:multiLevelType w:val="hybridMultilevel"/>
    <w:lvl w:ilvl="0">
      <w:lvlJc w:val="left"/>
      <w:lvlText w:val="%1."/>
      <w:numFmt w:val="lowerLetter"/>
      <w:start w:val="2"/>
    </w:lvl>
  </w:abstractNum>
  <w:abstractNum w:abstractNumId="188">
    <w:nsid w:val="8F8B73F"/>
    <w:multiLevelType w:val="hybridMultilevel"/>
    <w:lvl w:ilvl="0">
      <w:lvlJc w:val="left"/>
      <w:lvlText w:val="%1."/>
      <w:numFmt w:val="lowerLetter"/>
      <w:start w:val="1"/>
    </w:lvl>
  </w:abstractNum>
  <w:abstractNum w:abstractNumId="189">
    <w:nsid w:val="CA6B462"/>
    <w:multiLevelType w:val="hybridMultilevel"/>
    <w:lvl w:ilvl="0">
      <w:lvlJc w:val="left"/>
      <w:lvlText w:val="%1."/>
      <w:numFmt w:val="lowerLetter"/>
      <w:start w:val="1"/>
    </w:lvl>
  </w:abstractNum>
  <w:abstractNum w:abstractNumId="190">
    <w:nsid w:val="763CB680"/>
    <w:multiLevelType w:val="hybridMultilevel"/>
    <w:lvl w:ilvl="0">
      <w:lvlJc w:val="left"/>
      <w:lvlText w:val="%1."/>
      <w:numFmt w:val="decimal"/>
      <w:start w:val="1"/>
    </w:lvl>
    <w:lvl w:ilvl="1">
      <w:lvlJc w:val="left"/>
      <w:lvlText w:val="(%2)"/>
      <w:numFmt w:val="lowerLetter"/>
      <w:start w:val="1"/>
    </w:lvl>
  </w:abstractNum>
  <w:abstractNum w:abstractNumId="191">
    <w:nsid w:val="15B71329"/>
    <w:multiLevelType w:val="hybridMultilevel"/>
    <w:lvl w:ilvl="0">
      <w:lvlJc w:val="left"/>
      <w:lvlText w:val="%1"/>
      <w:numFmt w:val="decimal"/>
      <w:start w:val="1"/>
    </w:lvl>
    <w:lvl w:ilvl="1">
      <w:lvlJc w:val="left"/>
      <w:lvlText w:val="(%2)"/>
      <w:numFmt w:val="lowerLetter"/>
      <w:start w:val="2"/>
    </w:lvl>
  </w:abstractNum>
  <w:abstractNum w:abstractNumId="192">
    <w:nsid w:val="3DA97044"/>
    <w:multiLevelType w:val="hybridMultilevel"/>
    <w:lvl w:ilvl="0">
      <w:lvlJc w:val="left"/>
      <w:lvlText w:val="%1."/>
      <w:numFmt w:val="decimal"/>
      <w:start w:val="5"/>
    </w:lvl>
    <w:lvl w:ilvl="1">
      <w:lvlJc w:val="left"/>
      <w:lvlText w:val="(%2)"/>
      <w:numFmt w:val="lowerLetter"/>
      <w:start w:val="1"/>
    </w:lvl>
  </w:abstractNum>
  <w:abstractNum w:abstractNumId="193">
    <w:nsid w:val="1CDCE2DE"/>
    <w:multiLevelType w:val="hybridMultilevel"/>
    <w:lvl w:ilvl="0">
      <w:lvlJc w:val="left"/>
      <w:lvlText w:val="%1"/>
      <w:numFmt w:val="decimal"/>
      <w:start w:val="1"/>
    </w:lvl>
    <w:lvl w:ilvl="1">
      <w:lvlJc w:val="left"/>
      <w:lvlText w:val="(%2)"/>
      <w:numFmt w:val="lowerLetter"/>
      <w:start w:val="4"/>
    </w:lvl>
  </w:abstractNum>
  <w:abstractNum w:abstractNumId="194">
    <w:nsid w:val="69D3947C"/>
    <w:multiLevelType w:val="hybridMultilevel"/>
    <w:lvl w:ilvl="0">
      <w:lvlJc w:val="left"/>
      <w:lvlText w:val="%1."/>
      <w:numFmt w:val="decimal"/>
      <w:start w:val="6"/>
    </w:lvl>
    <w:lvl w:ilvl="1">
      <w:lvlJc w:val="left"/>
      <w:lvlText w:val="%2"/>
      <w:numFmt w:val="lowerLetter"/>
      <w:start w:val="1"/>
    </w:lvl>
  </w:abstractNum>
  <w:abstractNum w:abstractNumId="195">
    <w:nsid w:val="2539DFA5"/>
    <w:multiLevelType w:val="hybridMultilevel"/>
    <w:lvl w:ilvl="0">
      <w:lvlJc w:val="left"/>
      <w:lvlText w:val="%1."/>
      <w:numFmt w:val="decimal"/>
      <w:start w:val="7"/>
    </w:lvl>
  </w:abstractNum>
  <w:abstractNum w:abstractNumId="196">
    <w:nsid w:val="2DB88089"/>
    <w:multiLevelType w:val="hybridMultilevel"/>
    <w:lvl w:ilvl="0">
      <w:lvlJc w:val="left"/>
      <w:lvlText w:val="%1."/>
      <w:numFmt w:val="decimal"/>
      <w:start w:val="8"/>
    </w:lvl>
  </w:abstractNum>
  <w:abstractNum w:abstractNumId="197">
    <w:nsid w:val="706B674E"/>
    <w:multiLevelType w:val="hybridMultilevel"/>
    <w:lvl w:ilvl="0">
      <w:lvlJc w:val="left"/>
      <w:lvlText w:val="%1."/>
      <w:numFmt w:val="decimal"/>
      <w:start w:val="9"/>
    </w:lvl>
  </w:abstractNum>
  <w:abstractNum w:abstractNumId="198">
    <w:nsid w:val="2C106A57"/>
    <w:multiLevelType w:val="hybridMultilevel"/>
    <w:lvl w:ilvl="0">
      <w:lvlJc w:val="left"/>
      <w:lvlText w:val="%1."/>
      <w:numFmt w:val="decimal"/>
      <w:start w:val="10"/>
    </w:lvl>
  </w:abstractNum>
  <w:abstractNum w:abstractNumId="199">
    <w:nsid w:val="684EED59"/>
    <w:multiLevelType w:val="hybridMultilevel"/>
    <w:lvl w:ilvl="0">
      <w:lvlJc w:val="left"/>
      <w:lvlText w:val="%1."/>
      <w:numFmt w:val="decimal"/>
      <w:start w:val="1"/>
    </w:lvl>
    <w:lvl w:ilvl="1">
      <w:lvlJc w:val="left"/>
      <w:lvlText w:val="%2."/>
      <w:numFmt w:val="lowerLetter"/>
      <w:start w:val="1"/>
    </w:lvl>
  </w:abstractNum>
  <w:abstractNum w:abstractNumId="200">
    <w:nsid w:val="545EE5D3"/>
    <w:multiLevelType w:val="hybridMultilevel"/>
    <w:lvl w:ilvl="0">
      <w:lvlJc w:val="left"/>
      <w:lvlText w:val="%1"/>
      <w:numFmt w:val="decimal"/>
      <w:start w:val="1"/>
    </w:lvl>
    <w:lvl w:ilvl="1">
      <w:lvlJc w:val="left"/>
      <w:lvlText w:val="%2."/>
      <w:numFmt w:val="lowerLetter"/>
      <w:start w:val="3"/>
    </w:lvl>
  </w:abstractNum>
  <w:abstractNum w:abstractNumId="201">
    <w:nsid w:val="4A66051"/>
    <w:multiLevelType w:val="hybridMultilevel"/>
    <w:lvl w:ilvl="0">
      <w:lvlJc w:val="left"/>
      <w:lvlText w:val="%1."/>
      <w:numFmt w:val="decimal"/>
      <w:start w:val="3"/>
    </w:lvl>
    <w:lvl w:ilvl="1">
      <w:lvlJc w:val="left"/>
      <w:lvlText w:val="%2."/>
      <w:numFmt w:val="lowerLetter"/>
      <w:start w:val="1"/>
    </w:lvl>
  </w:abstractNum>
  <w:abstractNum w:abstractNumId="202">
    <w:nsid w:val="20F4BDAD"/>
    <w:multiLevelType w:val="hybridMultilevel"/>
    <w:lvl w:ilvl="0">
      <w:lvlJc w:val="left"/>
      <w:lvlText w:val="%1"/>
      <w:numFmt w:val="decimal"/>
      <w:start w:val="1"/>
    </w:lvl>
    <w:lvl w:ilvl="1">
      <w:lvlJc w:val="left"/>
      <w:lvlText w:val="%2."/>
      <w:numFmt w:val="lowerLetter"/>
      <w:start w:val="3"/>
    </w:lvl>
  </w:abstractNum>
  <w:abstractNum w:abstractNumId="203">
    <w:nsid w:val="639DEFAC"/>
    <w:multiLevelType w:val="hybridMultilevel"/>
    <w:lvl w:ilvl="0">
      <w:lvlJc w:val="left"/>
      <w:lvlText w:val="%1."/>
      <w:numFmt w:val="decimal"/>
      <w:start w:val="4"/>
    </w:lvl>
    <w:lvl w:ilvl="1">
      <w:lvlJc w:val="left"/>
      <w:lvlText w:val="%2."/>
      <w:numFmt w:val="lowerLetter"/>
      <w:start w:val="1"/>
    </w:lvl>
  </w:abstractNum>
  <w:abstractNum w:abstractNumId="204">
    <w:nsid w:val="501F9786"/>
    <w:multiLevelType w:val="hybridMultilevel"/>
    <w:lvl w:ilvl="0">
      <w:lvlJc w:val="left"/>
      <w:lvlText w:val="%1."/>
      <w:numFmt w:val="lowerLetter"/>
      <w:start w:val="2"/>
    </w:lvl>
    <w:lvl w:ilvl="1">
      <w:lvlJc w:val="left"/>
      <w:lvlText w:val="(%2)"/>
      <w:numFmt w:val="lowerLetter"/>
      <w:start w:val="2"/>
    </w:lvl>
  </w:abstractNum>
  <w:abstractNum w:abstractNumId="205">
    <w:nsid w:val="6B057295"/>
    <w:multiLevelType w:val="hybridMultilevel"/>
    <w:lvl w:ilvl="0">
      <w:lvlJc w:val="left"/>
      <w:lvlText w:val="%1"/>
      <w:numFmt w:val="decimal"/>
      <w:start w:val="1"/>
    </w:lvl>
    <w:lvl w:ilvl="1">
      <w:lvlJc w:val="left"/>
      <w:lvlText w:val="(%2)"/>
      <w:numFmt w:val="lowerLetter"/>
      <w:start w:val="4"/>
    </w:lvl>
  </w:abstractNum>
  <w:abstractNum w:abstractNumId="206">
    <w:nsid w:val="2771AC80"/>
    <w:multiLevelType w:val="hybridMultilevel"/>
    <w:lvl w:ilvl="0">
      <w:lvlJc w:val="left"/>
      <w:lvlText w:val="%1."/>
      <w:numFmt w:val="decimal"/>
      <w:start w:val="5"/>
    </w:lvl>
    <w:lvl w:ilvl="1">
      <w:lvlJc w:val="left"/>
      <w:lvlText w:val="%2"/>
      <w:numFmt w:val="lowerLetter"/>
      <w:start w:val="1"/>
    </w:lvl>
  </w:abstractNum>
  <w:abstractNum w:abstractNumId="207">
    <w:nsid w:val="1C4A08EC"/>
    <w:multiLevelType w:val="hybridMultilevel"/>
    <w:lvl w:ilvl="0">
      <w:lvlJc w:val="left"/>
      <w:lvlText w:val="(%1)"/>
      <w:numFmt w:val="lowerRoman"/>
      <w:start w:val="2"/>
    </w:lvl>
  </w:abstractNum>
  <w:abstractNum w:abstractNumId="208">
    <w:nsid w:val="1958BD17"/>
    <w:multiLevelType w:val="hybridMultilevel"/>
    <w:lvl w:ilvl="0">
      <w:lvlJc w:val="left"/>
      <w:lvlText w:val="%1."/>
      <w:numFmt w:val="decimal"/>
      <w:start w:val="1"/>
    </w:lvl>
    <w:lvl w:ilvl="1">
      <w:lvlJc w:val="left"/>
      <w:lvlText w:val="(%2)"/>
      <w:numFmt w:val="lowerLetter"/>
      <w:start w:val="1"/>
    </w:lvl>
  </w:abstractNum>
  <w:abstractNum w:abstractNumId="209">
    <w:nsid w:val="4E647FE4"/>
    <w:multiLevelType w:val="hybridMultilevel"/>
    <w:lvl w:ilvl="0">
      <w:lvlJc w:val="left"/>
      <w:lvlText w:val="%1."/>
      <w:numFmt w:val="decimal"/>
      <w:start w:val="1"/>
    </w:lvl>
    <w:lvl w:ilvl="1">
      <w:lvlJc w:val="left"/>
      <w:lvlText w:val="(%2)"/>
      <w:numFmt w:val="lowerLetter"/>
      <w:start w:val="1"/>
    </w:lvl>
  </w:abstractNum>
  <w:abstractNum w:abstractNumId="210">
    <w:nsid w:val="E0BB885"/>
    <w:multiLevelType w:val="hybridMultilevel"/>
    <w:lvl w:ilvl="0">
      <w:lvlJc w:val="left"/>
      <w:lvlText w:val="%1."/>
      <w:numFmt w:val="decimal"/>
      <w:start w:val="1"/>
    </w:lvl>
  </w:abstractNum>
  <w:abstractNum w:abstractNumId="211">
    <w:nsid w:val="565976F1"/>
    <w:multiLevelType w:val="hybridMultilevel"/>
    <w:lvl w:ilvl="0">
      <w:lvlJc w:val="left"/>
      <w:lvlText w:val="%1."/>
      <w:numFmt w:val="decimal"/>
      <w:start w:val="1"/>
    </w:lvl>
  </w:abstractNum>
  <w:abstractNum w:abstractNumId="212">
    <w:nsid w:val="64212B8C"/>
    <w:multiLevelType w:val="hybridMultilevel"/>
    <w:lvl w:ilvl="0">
      <w:lvlJc w:val="left"/>
      <w:lvlText w:val="(%1)"/>
      <w:numFmt w:val="decimal"/>
      <w:start w:val="1"/>
    </w:lvl>
  </w:abstractNum>
  <w:abstractNum w:abstractNumId="213">
    <w:nsid w:val="5C17530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4">
    <w:nsid w:val="19A52566"/>
    <w:multiLevelType w:val="hybridMultilevel"/>
    <w:lvl w:ilvl="0">
      <w:lvlJc w:val="left"/>
      <w:lvlText w:val="%1"/>
      <w:numFmt w:val="lowerLetter"/>
      <w:start w:val="1"/>
    </w:lvl>
    <w:lvl w:ilvl="1">
      <w:lvlJc w:val="left"/>
      <w:lvlText w:val="(%2)"/>
      <w:numFmt w:val="lowerLetter"/>
      <w:start w:val="3"/>
    </w:lvl>
  </w:abstractNum>
  <w:abstractNum w:abstractNumId="215">
    <w:nsid w:val="335A1DF1"/>
    <w:multiLevelType w:val="hybridMultilevel"/>
    <w:lvl w:ilvl="0">
      <w:lvlJc w:val="left"/>
      <w:lvlText w:val="(%1)"/>
      <w:numFmt w:val="lowerLetter"/>
      <w:start w:val="61"/>
    </w:lvl>
    <w:lvl w:ilvl="1">
      <w:lvlJc w:val="left"/>
      <w:lvlText w:val="(%2)"/>
      <w:numFmt w:val="lowerLetter"/>
      <w:start w:val="7"/>
    </w:lvl>
  </w:abstractNum>
  <w:abstractNum w:abstractNumId="216">
    <w:nsid w:val="28677B7C"/>
    <w:multiLevelType w:val="hybridMultilevel"/>
    <w:lvl w:ilvl="0">
      <w:lvlJc w:val="left"/>
      <w:lvlText w:val="(%1)"/>
      <w:numFmt w:val="lowerLetter"/>
      <w:start w:val="61"/>
    </w:lvl>
    <w:lvl w:ilvl="1">
      <w:lvlJc w:val="left"/>
      <w:lvlText w:val="(%2)"/>
      <w:numFmt w:val="lowerLetter"/>
      <w:start w:val="8"/>
    </w:lvl>
  </w:abstractNum>
  <w:abstractNum w:abstractNumId="217">
    <w:nsid w:val="378D97C0"/>
    <w:multiLevelType w:val="hybridMultilevel"/>
    <w:lvl w:ilvl="0">
      <w:lvlJc w:val="left"/>
      <w:lvlText w:val="(%1)"/>
      <w:numFmt w:val="lowerRoman"/>
      <w:start w:val="1"/>
    </w:lvl>
  </w:abstractNum>
  <w:abstractNum w:abstractNumId="218">
    <w:nsid w:val="1D91467C"/>
    <w:multiLevelType w:val="hybridMultilevel"/>
    <w:lvl w:ilvl="0">
      <w:lvlJc w:val="left"/>
      <w:lvlText w:val="%1"/>
      <w:numFmt w:val="decimal"/>
      <w:start w:val="1"/>
    </w:lvl>
    <w:lvl w:ilvl="1">
      <w:lvlJc w:val="left"/>
      <w:lvlText w:val="(%2)"/>
      <w:numFmt w:val="decimal"/>
      <w:start w:val="2"/>
    </w:lvl>
    <w:lvl w:ilvl="2">
      <w:lvlJc w:val="left"/>
      <w:lvlText w:val="(%3)"/>
      <w:numFmt w:val="lowerLetter"/>
      <w:start w:val="9"/>
    </w:lvl>
  </w:abstractNum>
  <w:abstractNum w:abstractNumId="219">
    <w:nsid w:val="316032B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20">
    <w:nsid w:val="44344C22"/>
    <w:multiLevelType w:val="hybridMultilevel"/>
    <w:lvl w:ilvl="0">
      <w:lvlJc w:val="left"/>
      <w:lvlText w:val="(%1)"/>
      <w:numFmt w:val="lowerLetter"/>
      <w:start w:val="2"/>
    </w:lvl>
  </w:abstractNum>
  <w:abstractNum w:abstractNumId="221">
    <w:nsid w:val="13CDFCF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2">
    <w:nsid w:val="471745E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3">
    <w:nsid w:val="1DDBC66"/>
    <w:multiLevelType w:val="hybridMultilevel"/>
    <w:lvl w:ilvl="0">
      <w:lvlJc w:val="left"/>
      <w:lvlText w:val="%1."/>
      <w:numFmt w:val="decimal"/>
      <w:start w:val="4"/>
    </w:lvl>
  </w:abstractNum>
  <w:abstractNum w:abstractNumId="224">
    <w:nsid w:val="30AADFDA"/>
    <w:multiLevelType w:val="hybridMultilevel"/>
    <w:lvl w:ilvl="0">
      <w:lvlJc w:val="left"/>
      <w:lvlText w:val="(%1)"/>
      <w:numFmt w:val="lowerLetter"/>
      <w:start w:val="1"/>
    </w:lvl>
  </w:abstractNum>
  <w:abstractNum w:abstractNumId="225">
    <w:nsid w:val="30EADA61"/>
    <w:multiLevelType w:val="hybridMultilevel"/>
    <w:lvl w:ilvl="0">
      <w:lvlJc w:val="left"/>
      <w:lvlText w:val="(%1)"/>
      <w:numFmt w:val="lowerLetter"/>
      <w:start w:val="2"/>
    </w:lvl>
  </w:abstractNum>
  <w:abstractNum w:abstractNumId="226">
    <w:nsid w:val="27179C0B"/>
    <w:multiLevelType w:val="hybridMultilevel"/>
    <w:lvl w:ilvl="0">
      <w:lvlJc w:val="left"/>
      <w:lvlText w:val="%1."/>
      <w:numFmt w:val="decimal"/>
      <w:start w:val="7"/>
    </w:lvl>
    <w:lvl w:ilvl="1">
      <w:lvlJc w:val="left"/>
      <w:lvlText w:val="(%2)"/>
      <w:numFmt w:val="lowerLetter"/>
      <w:start w:val="1"/>
    </w:lvl>
  </w:abstractNum>
  <w:abstractNum w:abstractNumId="227">
    <w:nsid w:val="5E6360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351" Type="http://schemas.openxmlformats.org/officeDocument/2006/relationships/image" Target="media/image289.png"/><Relationship Id="rId352" Type="http://schemas.openxmlformats.org/officeDocument/2006/relationships/image" Target="media/image290.png"/><Relationship Id="rId353" Type="http://schemas.openxmlformats.org/officeDocument/2006/relationships/image" Target="media/image291.jpeg"/><Relationship Id="rId354" Type="http://schemas.openxmlformats.org/officeDocument/2006/relationships/image" Target="media/image292.png"/><Relationship Id="rId355" Type="http://schemas.openxmlformats.org/officeDocument/2006/relationships/image" Target="media/image293.png"/><Relationship Id="rId356" Type="http://schemas.openxmlformats.org/officeDocument/2006/relationships/image" Target="media/image294.png"/><Relationship Id="rId357" Type="http://schemas.openxmlformats.org/officeDocument/2006/relationships/image" Target="media/image295.png"/><Relationship Id="rId358" Type="http://schemas.openxmlformats.org/officeDocument/2006/relationships/image" Target="media/image296.png"/><Relationship Id="rId359" Type="http://schemas.openxmlformats.org/officeDocument/2006/relationships/image" Target="media/image297.png"/><Relationship Id="rId360" Type="http://schemas.openxmlformats.org/officeDocument/2006/relationships/image" Target="media/image298.png"/><Relationship Id="rId361" Type="http://schemas.openxmlformats.org/officeDocument/2006/relationships/image" Target="media/image299.png"/><Relationship Id="rId362" Type="http://schemas.openxmlformats.org/officeDocument/2006/relationships/image" Target="media/image300.png"/><Relationship Id="rId363" Type="http://schemas.openxmlformats.org/officeDocument/2006/relationships/image" Target="media/image301.png"/><Relationship Id="rId364" Type="http://schemas.openxmlformats.org/officeDocument/2006/relationships/image" Target="media/image302.png"/><Relationship Id="rId365" Type="http://schemas.openxmlformats.org/officeDocument/2006/relationships/image" Target="media/image303.png"/><Relationship Id="rId366" Type="http://schemas.openxmlformats.org/officeDocument/2006/relationships/image" Target="media/image304.png"/><Relationship Id="rId367" Type="http://schemas.openxmlformats.org/officeDocument/2006/relationships/image" Target="media/image305.png"/><Relationship Id="rId368" Type="http://schemas.openxmlformats.org/officeDocument/2006/relationships/image" Target="media/image306.png"/><Relationship Id="rId369" Type="http://schemas.openxmlformats.org/officeDocument/2006/relationships/image" Target="media/image307.png"/><Relationship Id="rId370" Type="http://schemas.openxmlformats.org/officeDocument/2006/relationships/image" Target="media/image308.png"/><Relationship Id="rId371" Type="http://schemas.openxmlformats.org/officeDocument/2006/relationships/image" Target="media/image309.png"/><Relationship Id="rId372" Type="http://schemas.openxmlformats.org/officeDocument/2006/relationships/image" Target="media/image310.png"/><Relationship Id="rId373" Type="http://schemas.openxmlformats.org/officeDocument/2006/relationships/image" Target="media/image311.png"/><Relationship Id="rId374" Type="http://schemas.openxmlformats.org/officeDocument/2006/relationships/image" Target="media/image312.png"/><Relationship Id="rId375" Type="http://schemas.openxmlformats.org/officeDocument/2006/relationships/image" Target="media/image313.png"/><Relationship Id="rId376" Type="http://schemas.openxmlformats.org/officeDocument/2006/relationships/image" Target="media/image314.png"/><Relationship Id="rId377" Type="http://schemas.openxmlformats.org/officeDocument/2006/relationships/image" Target="media/image315.png"/><Relationship Id="rId378" Type="http://schemas.openxmlformats.org/officeDocument/2006/relationships/image" Target="media/image316.png"/><Relationship Id="rId379" Type="http://schemas.openxmlformats.org/officeDocument/2006/relationships/image" Target="media/image317.png"/><Relationship Id="rId380" Type="http://schemas.openxmlformats.org/officeDocument/2006/relationships/image" Target="media/image318.png"/><Relationship Id="rId381" Type="http://schemas.openxmlformats.org/officeDocument/2006/relationships/image" Target="media/image319.png"/><Relationship Id="rId382" Type="http://schemas.openxmlformats.org/officeDocument/2006/relationships/image" Target="media/image320.png"/><Relationship Id="rId383" Type="http://schemas.openxmlformats.org/officeDocument/2006/relationships/image" Target="media/image321.png"/><Relationship Id="rId384" Type="http://schemas.openxmlformats.org/officeDocument/2006/relationships/image" Target="media/image322.png"/><Relationship Id="rId385" Type="http://schemas.openxmlformats.org/officeDocument/2006/relationships/image" Target="media/image323.png"/><Relationship Id="rId386" Type="http://schemas.openxmlformats.org/officeDocument/2006/relationships/image" Target="media/image324.png"/><Relationship Id="rId387" Type="http://schemas.openxmlformats.org/officeDocument/2006/relationships/image" Target="media/image325.png"/><Relationship Id="rId388" Type="http://schemas.openxmlformats.org/officeDocument/2006/relationships/image" Target="media/image326.png"/><Relationship Id="rId389" Type="http://schemas.openxmlformats.org/officeDocument/2006/relationships/image" Target="media/image327.png"/><Relationship Id="rId390" Type="http://schemas.openxmlformats.org/officeDocument/2006/relationships/image" Target="media/image328.png"/><Relationship Id="rId391" Type="http://schemas.openxmlformats.org/officeDocument/2006/relationships/image" Target="media/image329.png"/><Relationship Id="rId392" Type="http://schemas.openxmlformats.org/officeDocument/2006/relationships/image" Target="media/image330.png"/><Relationship Id="rId393" Type="http://schemas.openxmlformats.org/officeDocument/2006/relationships/image" Target="media/image331.png"/><Relationship Id="rId394" Type="http://schemas.openxmlformats.org/officeDocument/2006/relationships/image" Target="media/image332.png"/><Relationship Id="rId395" Type="http://schemas.openxmlformats.org/officeDocument/2006/relationships/image" Target="media/image333.png"/><Relationship Id="rId396" Type="http://schemas.openxmlformats.org/officeDocument/2006/relationships/image" Target="media/image334.png"/><Relationship Id="rId397" Type="http://schemas.openxmlformats.org/officeDocument/2006/relationships/image" Target="media/image335.png"/><Relationship Id="rId398" Type="http://schemas.openxmlformats.org/officeDocument/2006/relationships/image" Target="media/image336.png"/><Relationship Id="rId399" Type="http://schemas.openxmlformats.org/officeDocument/2006/relationships/image" Target="media/image337.png"/><Relationship Id="rId400" Type="http://schemas.openxmlformats.org/officeDocument/2006/relationships/image" Target="media/image338.png"/><Relationship Id="rId401" Type="http://schemas.openxmlformats.org/officeDocument/2006/relationships/image" Target="media/image339.png"/><Relationship Id="rId402" Type="http://schemas.openxmlformats.org/officeDocument/2006/relationships/image" Target="media/image340.png"/><Relationship Id="rId403" Type="http://schemas.openxmlformats.org/officeDocument/2006/relationships/image" Target="media/image341.png"/><Relationship Id="rId404" Type="http://schemas.openxmlformats.org/officeDocument/2006/relationships/image" Target="media/image342.png"/><Relationship Id="rId405" Type="http://schemas.openxmlformats.org/officeDocument/2006/relationships/image" Target="media/image343.png"/><Relationship Id="rId406" Type="http://schemas.openxmlformats.org/officeDocument/2006/relationships/image" Target="media/image344.png"/><Relationship Id="rId407" Type="http://schemas.openxmlformats.org/officeDocument/2006/relationships/image" Target="media/image345.png"/><Relationship Id="rId408" Type="http://schemas.openxmlformats.org/officeDocument/2006/relationships/image" Target="media/image346.png"/><Relationship Id="rId409" Type="http://schemas.openxmlformats.org/officeDocument/2006/relationships/image" Target="media/image347.png"/><Relationship Id="rId410" Type="http://schemas.openxmlformats.org/officeDocument/2006/relationships/image" Target="media/image348.png"/><Relationship Id="rId411" Type="http://schemas.openxmlformats.org/officeDocument/2006/relationships/image" Target="media/image349.png"/><Relationship Id="rId412" Type="http://schemas.openxmlformats.org/officeDocument/2006/relationships/image" Target="media/image350.png"/><Relationship Id="rId413" Type="http://schemas.openxmlformats.org/officeDocument/2006/relationships/image" Target="media/image351.png"/><Relationship Id="rId414" Type="http://schemas.openxmlformats.org/officeDocument/2006/relationships/image" Target="media/image352.png"/><Relationship Id="rId415" Type="http://schemas.openxmlformats.org/officeDocument/2006/relationships/image" Target="media/image353.png"/><Relationship Id="rId416" Type="http://schemas.openxmlformats.org/officeDocument/2006/relationships/image" Target="media/image354.png"/><Relationship Id="rId417" Type="http://schemas.openxmlformats.org/officeDocument/2006/relationships/image" Target="media/image355.png"/><Relationship Id="rId418" Type="http://schemas.openxmlformats.org/officeDocument/2006/relationships/image" Target="media/image356.png"/><Relationship Id="rId419" Type="http://schemas.openxmlformats.org/officeDocument/2006/relationships/image" Target="media/image357.png"/><Relationship Id="rId420" Type="http://schemas.openxmlformats.org/officeDocument/2006/relationships/image" Target="media/image358.png"/><Relationship Id="rId421" Type="http://schemas.openxmlformats.org/officeDocument/2006/relationships/image" Target="media/image359.png"/><Relationship Id="rId422" Type="http://schemas.openxmlformats.org/officeDocument/2006/relationships/image" Target="media/image360.png"/><Relationship Id="rId423" Type="http://schemas.openxmlformats.org/officeDocument/2006/relationships/image" Target="media/image361.png"/><Relationship Id="rId424" Type="http://schemas.openxmlformats.org/officeDocument/2006/relationships/image" Target="media/image362.png"/><Relationship Id="rId425" Type="http://schemas.openxmlformats.org/officeDocument/2006/relationships/image" Target="media/image363.png"/><Relationship Id="rId426" Type="http://schemas.openxmlformats.org/officeDocument/2006/relationships/image" Target="media/image364.png"/><Relationship Id="rId427" Type="http://schemas.openxmlformats.org/officeDocument/2006/relationships/image" Target="media/image365.png"/><Relationship Id="rId428" Type="http://schemas.openxmlformats.org/officeDocument/2006/relationships/image" Target="media/image366.png"/><Relationship Id="rId429" Type="http://schemas.openxmlformats.org/officeDocument/2006/relationships/image" Target="media/image367.png"/><Relationship Id="rId430" Type="http://schemas.openxmlformats.org/officeDocument/2006/relationships/image" Target="media/image368.png"/><Relationship Id="rId431" Type="http://schemas.openxmlformats.org/officeDocument/2006/relationships/image" Target="media/image369.png"/><Relationship Id="rId432" Type="http://schemas.openxmlformats.org/officeDocument/2006/relationships/image" Target="media/image370.png"/><Relationship Id="rId433" Type="http://schemas.openxmlformats.org/officeDocument/2006/relationships/image" Target="media/image371.png"/><Relationship Id="rId434" Type="http://schemas.openxmlformats.org/officeDocument/2006/relationships/image" Target="media/image372.png"/><Relationship Id="rId435" Type="http://schemas.openxmlformats.org/officeDocument/2006/relationships/image" Target="media/image373.png"/><Relationship Id="rId436" Type="http://schemas.openxmlformats.org/officeDocument/2006/relationships/image" Target="media/image374.png"/><Relationship Id="rId437" Type="http://schemas.openxmlformats.org/officeDocument/2006/relationships/image" Target="media/image375.png"/><Relationship Id="rId438" Type="http://schemas.openxmlformats.org/officeDocument/2006/relationships/image" Target="media/image376.png"/><Relationship Id="rId439" Type="http://schemas.openxmlformats.org/officeDocument/2006/relationships/image" Target="media/image377.png"/><Relationship Id="rId440" Type="http://schemas.openxmlformats.org/officeDocument/2006/relationships/image" Target="media/image378.png"/><Relationship Id="rId441" Type="http://schemas.openxmlformats.org/officeDocument/2006/relationships/image" Target="media/image379.png"/><Relationship Id="rId442" Type="http://schemas.openxmlformats.org/officeDocument/2006/relationships/image" Target="media/image380.png"/><Relationship Id="rId443" Type="http://schemas.openxmlformats.org/officeDocument/2006/relationships/image" Target="media/image381.png"/><Relationship Id="rId444" Type="http://schemas.openxmlformats.org/officeDocument/2006/relationships/image" Target="media/image382.png"/><Relationship Id="rId445" Type="http://schemas.openxmlformats.org/officeDocument/2006/relationships/image" Target="media/image383.png"/><Relationship Id="rId446" Type="http://schemas.openxmlformats.org/officeDocument/2006/relationships/image" Target="media/image384.png"/><Relationship Id="rId447" Type="http://schemas.openxmlformats.org/officeDocument/2006/relationships/image" Target="media/image385.png"/><Relationship Id="rId448" Type="http://schemas.openxmlformats.org/officeDocument/2006/relationships/image" Target="media/image386.png"/><Relationship Id="rId449" Type="http://schemas.openxmlformats.org/officeDocument/2006/relationships/image" Target="media/image387.png"/><Relationship Id="rId450" Type="http://schemas.openxmlformats.org/officeDocument/2006/relationships/image" Target="media/image388.png"/><Relationship Id="rId451" Type="http://schemas.openxmlformats.org/officeDocument/2006/relationships/image" Target="media/image389.png"/><Relationship Id="rId452" Type="http://schemas.openxmlformats.org/officeDocument/2006/relationships/image" Target="media/image390.png"/><Relationship Id="rId453" Type="http://schemas.openxmlformats.org/officeDocument/2006/relationships/image" Target="media/image391.png"/><Relationship Id="rId454" Type="http://schemas.openxmlformats.org/officeDocument/2006/relationships/image" Target="media/image392.png"/><Relationship Id="rId455" Type="http://schemas.openxmlformats.org/officeDocument/2006/relationships/image" Target="media/image393.png"/><Relationship Id="rId456" Type="http://schemas.openxmlformats.org/officeDocument/2006/relationships/image" Target="media/image394.png"/><Relationship Id="rId457" Type="http://schemas.openxmlformats.org/officeDocument/2006/relationships/image" Target="media/image395.png"/><Relationship Id="rId458" Type="http://schemas.openxmlformats.org/officeDocument/2006/relationships/image" Target="media/image396.png"/><Relationship Id="rId459" Type="http://schemas.openxmlformats.org/officeDocument/2006/relationships/image" Target="media/image397.png"/><Relationship Id="rId460" Type="http://schemas.openxmlformats.org/officeDocument/2006/relationships/image" Target="media/image398.png"/><Relationship Id="rId461" Type="http://schemas.openxmlformats.org/officeDocument/2006/relationships/image" Target="media/image399.png"/><Relationship Id="rId462" Type="http://schemas.openxmlformats.org/officeDocument/2006/relationships/image" Target="media/image400.png"/><Relationship Id="rId463" Type="http://schemas.openxmlformats.org/officeDocument/2006/relationships/image" Target="media/image401.png"/><Relationship Id="rId464" Type="http://schemas.openxmlformats.org/officeDocument/2006/relationships/image" Target="media/image402.png"/><Relationship Id="rId465" Type="http://schemas.openxmlformats.org/officeDocument/2006/relationships/image" Target="media/image403.png"/><Relationship Id="rId466" Type="http://schemas.openxmlformats.org/officeDocument/2006/relationships/image" Target="media/image404.png"/><Relationship Id="rId467" Type="http://schemas.openxmlformats.org/officeDocument/2006/relationships/image" Target="media/image405.png"/><Relationship Id="rId468" Type="http://schemas.openxmlformats.org/officeDocument/2006/relationships/image" Target="media/image406.png"/><Relationship Id="rId469" Type="http://schemas.openxmlformats.org/officeDocument/2006/relationships/image" Target="media/image407.png"/><Relationship Id="rId470" Type="http://schemas.openxmlformats.org/officeDocument/2006/relationships/image" Target="media/image408.png"/><Relationship Id="rId471" Type="http://schemas.openxmlformats.org/officeDocument/2006/relationships/image" Target="media/image409.png"/><Relationship Id="rId472" Type="http://schemas.openxmlformats.org/officeDocument/2006/relationships/image" Target="media/image410.png"/><Relationship Id="rId473" Type="http://schemas.openxmlformats.org/officeDocument/2006/relationships/image" Target="media/image411.png"/><Relationship Id="rId474" Type="http://schemas.openxmlformats.org/officeDocument/2006/relationships/image" Target="media/image412.png"/><Relationship Id="rId475" Type="http://schemas.openxmlformats.org/officeDocument/2006/relationships/image" Target="media/image413.png"/><Relationship Id="rId476" Type="http://schemas.openxmlformats.org/officeDocument/2006/relationships/image" Target="media/image414.png"/><Relationship Id="rId477" Type="http://schemas.openxmlformats.org/officeDocument/2006/relationships/image" Target="media/image415.png"/><Relationship Id="rId478" Type="http://schemas.openxmlformats.org/officeDocument/2006/relationships/image" Target="media/image416.png"/><Relationship Id="rId479" Type="http://schemas.openxmlformats.org/officeDocument/2006/relationships/image" Target="media/image417.png"/><Relationship Id="rId480" Type="http://schemas.openxmlformats.org/officeDocument/2006/relationships/image" Target="media/image418.png"/><Relationship Id="rId481" Type="http://schemas.openxmlformats.org/officeDocument/2006/relationships/image" Target="media/image419.png"/><Relationship Id="rId482" Type="http://schemas.openxmlformats.org/officeDocument/2006/relationships/image" Target="media/image420.png"/><Relationship Id="rId483" Type="http://schemas.openxmlformats.org/officeDocument/2006/relationships/image" Target="media/image421.png"/><Relationship Id="rId484" Type="http://schemas.openxmlformats.org/officeDocument/2006/relationships/image" Target="media/image422.png"/><Relationship Id="rId485" Type="http://schemas.openxmlformats.org/officeDocument/2006/relationships/image" Target="media/image423.png"/><Relationship Id="rId486" Type="http://schemas.openxmlformats.org/officeDocument/2006/relationships/image" Target="media/image424.png"/><Relationship Id="rId487" Type="http://schemas.openxmlformats.org/officeDocument/2006/relationships/image" Target="media/image425.png"/><Relationship Id="rId488" Type="http://schemas.openxmlformats.org/officeDocument/2006/relationships/image" Target="media/image426.png"/><Relationship Id="rId489" Type="http://schemas.openxmlformats.org/officeDocument/2006/relationships/image" Target="media/image427.png"/><Relationship Id="rId490" Type="http://schemas.openxmlformats.org/officeDocument/2006/relationships/image" Target="media/image428.png"/><Relationship Id="rId491" Type="http://schemas.openxmlformats.org/officeDocument/2006/relationships/image" Target="media/image429.png"/><Relationship Id="rId492" Type="http://schemas.openxmlformats.org/officeDocument/2006/relationships/image" Target="media/image430.png"/><Relationship Id="rId493" Type="http://schemas.openxmlformats.org/officeDocument/2006/relationships/image" Target="media/image431.png"/><Relationship Id="rId494" Type="http://schemas.openxmlformats.org/officeDocument/2006/relationships/image" Target="media/image432.png"/><Relationship Id="rId495" Type="http://schemas.openxmlformats.org/officeDocument/2006/relationships/image" Target="media/image433.png"/><Relationship Id="rId496" Type="http://schemas.openxmlformats.org/officeDocument/2006/relationships/image" Target="media/image434.png"/><Relationship Id="rId296" Type="http://schemas.openxmlformats.org/officeDocument/2006/relationships/hyperlink" Target="https://www.sec.gov/Archives/edgar/data/1809122/000110465920091817/tm2016252d8_ex3-1.htm" TargetMode="External"/><Relationship Id="rId297" Type="http://schemas.openxmlformats.org/officeDocument/2006/relationships/hyperlink" Target="https://www.sec.gov/Archives/edgar/data/1809122/000110465920089179/tm2016252d8_ex3-5.htm" TargetMode="External"/><Relationship Id="rId298" Type="http://schemas.openxmlformats.org/officeDocument/2006/relationships/hyperlink" Target="https://www.sec.gov/Archives/edgar/data/1809122/000110465920086354/tm2016252d12_ex3-6.htm" TargetMode="External"/><Relationship Id="rId299" Type="http://schemas.openxmlformats.org/officeDocument/2006/relationships/hyperlink" Target="https://www.sec.gov/Archives/edgar/data/1809122/000110465920086354/tm2016252d12_ex3-7.htm" TargetMode="External"/><Relationship Id="rId300" Type="http://schemas.openxmlformats.org/officeDocument/2006/relationships/hyperlink" Target="https://www.sec.gov/Archives/edgar/data/1809122/000110465921116930/tm2127619d2_ex4-5.htm" TargetMode="External"/><Relationship Id="rId301" Type="http://schemas.openxmlformats.org/officeDocument/2006/relationships/hyperlink" Target="https://www.sec.gov/Archives/edgar/data/1809122/000141057823000793/cvac-20221231xex2d5.htm" TargetMode="External"/><Relationship Id="rId302" Type="http://schemas.openxmlformats.org/officeDocument/2006/relationships/hyperlink" Target="https://www.sec.gov/Archives/edgar/data/1809122/000110465920089179/tm2016252d8_ex10-1.htm" TargetMode="External"/><Relationship Id="rId303" Type="http://schemas.openxmlformats.org/officeDocument/2006/relationships/hyperlink" Target="https://www.sec.gov/Archives/edgar/data/1809122/000110465920089179/tm2016252d8_ex10-2.htm" TargetMode="External"/><Relationship Id="rId304" Type="http://schemas.openxmlformats.org/officeDocument/2006/relationships/hyperlink" Target="https://www.sec.gov/Archives/edgar/data/1809122/000110465920089179/tm2016252d8_ex10-7.htm" TargetMode="External"/><Relationship Id="rId305" Type="http://schemas.openxmlformats.org/officeDocument/2006/relationships/hyperlink" Target="https://www.sec.gov/Archives/edgar/data/1809122/000110465920086354/tm2016252d12_ex10-8.htm" TargetMode="External"/><Relationship Id="rId306" Type="http://schemas.openxmlformats.org/officeDocument/2006/relationships/hyperlink" Target="https://www.sec.gov/Archives/edgar/data/1809122/000110465920086354/tm2016252d12_ex10-9.htm" TargetMode="External"/><Relationship Id="rId307" Type="http://schemas.openxmlformats.org/officeDocument/2006/relationships/hyperlink" Target="https://www.sec.gov/Archives/edgar/data/1809122/000110465920086354/tm2016252d12_ex10-10.htm" TargetMode="External"/><Relationship Id="rId308" Type="http://schemas.openxmlformats.org/officeDocument/2006/relationships/hyperlink" Target="https://www.sec.gov/Archives/edgar/data/1809122/000110465920086354/tm2016252d12_ex10-11.htm" TargetMode="External"/><Relationship Id="rId309" Type="http://schemas.openxmlformats.org/officeDocument/2006/relationships/hyperlink" Target="https://www.sec.gov/Archives/edgar/data/1809122/000110465920089179/tm2016252d8_ex10-12.htm" TargetMode="External"/><Relationship Id="rId310" Type="http://schemas.openxmlformats.org/officeDocument/2006/relationships/hyperlink" Target="https://www.sec.gov/Archives/edgar/data/1809122/000110465920086354/tm2016252d12_ex10-13.htm" TargetMode="External"/><Relationship Id="rId311" Type="http://schemas.openxmlformats.org/officeDocument/2006/relationships/hyperlink" Target="https://www.sec.gov/Archives/edgar/data/1809122/000110465920086354/tm2016252d12_ex10-19.htm" TargetMode="External"/><Relationship Id="rId312" Type="http://schemas.openxmlformats.org/officeDocument/2006/relationships/hyperlink" Target="https://www.sec.gov/Archives/edgar/data/1809122/000110465920086354/tm2016252d12_ex10-20.htm" TargetMode="External"/><Relationship Id="rId313" Type="http://schemas.openxmlformats.org/officeDocument/2006/relationships/hyperlink" Target="https://www.sec.gov/Archives/edgar/data/1809122/000110465920086354/tm2016252d12_ex10-21.htm" TargetMode="External"/><Relationship Id="rId314" Type="http://schemas.openxmlformats.org/officeDocument/2006/relationships/hyperlink" Target="https://www.sec.gov/Archives/edgar/data/1809122/000110465920086354/tm2016252d12_ex10-22.htm" TargetMode="External"/><Relationship Id="rId315" Type="http://schemas.openxmlformats.org/officeDocument/2006/relationships/hyperlink" Target="https://www.sec.gov/Archives/edgar/data/1809122/000110465920086354/tm2016252d12_ex10-23.htm" TargetMode="External"/><Relationship Id="rId316" Type="http://schemas.openxmlformats.org/officeDocument/2006/relationships/hyperlink" Target="https://www.sec.gov/Archives/edgar/data/1809122/000110465920086354/tm2016252d12_ex10-24.htm" TargetMode="External"/><Relationship Id="rId317" Type="http://schemas.openxmlformats.org/officeDocument/2006/relationships/hyperlink" Target="https://www.sec.gov/Archives/edgar/data/1809122/000110465920086354/tm2016252d12_ex10-25.htm" TargetMode="External"/><Relationship Id="rId318" Type="http://schemas.openxmlformats.org/officeDocument/2006/relationships/hyperlink" Target="https://www.sec.gov/Archives/edgar/data/1809122/000110465920086354/tm2016252d12_ex10-26.htm" TargetMode="External"/><Relationship Id="rId319" Type="http://schemas.openxmlformats.org/officeDocument/2006/relationships/hyperlink" Target="https://www.sec.gov/Archives/edgar/data/1809122/000110465920086354/tm2016252d12_ex10-27.htm" TargetMode="External"/><Relationship Id="rId320" Type="http://schemas.openxmlformats.org/officeDocument/2006/relationships/hyperlink" Target="https://www.sec.gov/Archives/edgar/data/1809122/000110465920086354/tm2016252d12_ex10-28.htm" TargetMode="External"/><Relationship Id="rId321" Type="http://schemas.openxmlformats.org/officeDocument/2006/relationships/hyperlink" Target="https://www.sec.gov/Archives/edgar/data/1809122/000110465920086354/tm2016252d12_ex10-29.htm" TargetMode="External"/><Relationship Id="rId322" Type="http://schemas.openxmlformats.org/officeDocument/2006/relationships/hyperlink" Target="https://www.sec.gov/Archives/edgar/data/1809122/000110465920086354/tm2016252d12_ex10-32.htm" TargetMode="External"/><Relationship Id="rId323" Type="http://schemas.openxmlformats.org/officeDocument/2006/relationships/hyperlink" Target="https://www.sec.gov/Archives/edgar/data/1809122/000110465920086354/tm2016252d12_ex10-33.htm" TargetMode="External"/><Relationship Id="rId324" Type="http://schemas.openxmlformats.org/officeDocument/2006/relationships/hyperlink" Target="https://www.sec.gov/Archives/edgar/data/1809122/000110465920086354/tm2016252d12_ex10-34.htm" TargetMode="External"/><Relationship Id="rId325" Type="http://schemas.openxmlformats.org/officeDocument/2006/relationships/hyperlink" Target="https://www.sec.gov/Archives/edgar/data/1809122/000110465920091817/tm2016252d17_ex10-38.htm" TargetMode="External"/><Relationship Id="rId326" Type="http://schemas.openxmlformats.org/officeDocument/2006/relationships/hyperlink" Target="https://www.sec.gov/Archives/edgar/data/1809122/000110465920091817/tm2016252d17_ex10-39.htm" TargetMode="External"/><Relationship Id="rId327" Type="http://schemas.openxmlformats.org/officeDocument/2006/relationships/hyperlink" Target="https://www.sec.gov/Archives/edgar/data/1809122/000110465920091817/tm2016252d17_ex10-40.htm" TargetMode="External"/><Relationship Id="rId328" Type="http://schemas.openxmlformats.org/officeDocument/2006/relationships/hyperlink" Target="https://www.sec.gov/Archives/edgar/data/1809122/000110465920092289/tm2016252d19_ex10-41.htm" TargetMode="External"/><Relationship Id="rId329" Type="http://schemas.openxmlformats.org/officeDocument/2006/relationships/hyperlink" Target="https://www.sec.gov/Archives/edgar/data/1809122/000110465921007168/tm2036979d3_ex10-42.htm" TargetMode="External"/><Relationship Id="rId330" Type="http://schemas.openxmlformats.org/officeDocument/2006/relationships/hyperlink" Target="https://www.sec.gov/Archives/edgar/data/1809122/000110465921007168/tm2036979d3_ex10-43.htm" TargetMode="External"/><Relationship Id="rId331" Type="http://schemas.openxmlformats.org/officeDocument/2006/relationships/hyperlink" Target="https://www.sec.gov/Archives/edgar/data/1809122/000110465921007168/tm2036979d3_ex10-44.htm" TargetMode="External"/><Relationship Id="rId332" Type="http://schemas.openxmlformats.org/officeDocument/2006/relationships/hyperlink" Target="https://www.sec.gov/Archives/edgar/data/1809122/000110465921007168/tm2036979d3_ex10-46.htm" TargetMode="External"/><Relationship Id="rId333" Type="http://schemas.openxmlformats.org/officeDocument/2006/relationships/hyperlink" Target="https://www.sec.gov/Archives/edgar/data/1809122/000110465921007168/tm2036979d3_ex10-47.htm" TargetMode="External"/><Relationship Id="rId334" Type="http://schemas.openxmlformats.org/officeDocument/2006/relationships/hyperlink" Target="https://www.sec.gov/Archives/edgar/data/1809122/000110465921007168/tm2036979d3_ex10-48.htm" TargetMode="External"/><Relationship Id="rId335" Type="http://schemas.openxmlformats.org/officeDocument/2006/relationships/hyperlink" Target="https://www.sec.gov/Archives/edgar/data/1809122/000110465921055619/tm215958d3_ex4-49.htm" TargetMode="External"/><Relationship Id="rId336" Type="http://schemas.openxmlformats.org/officeDocument/2006/relationships/hyperlink" Target="https://www.sec.gov/Archives/edgar/data/1809122/000110465921055619/tm215958d3_ex4-50.htm" TargetMode="External"/><Relationship Id="rId337" Type="http://schemas.openxmlformats.org/officeDocument/2006/relationships/hyperlink" Target="https://www.sec.gov/Archives/edgar/data/1809122/000141057821000557/cvac-20210930xex99d3.htm" TargetMode="External"/><Relationship Id="rId338" Type="http://schemas.openxmlformats.org/officeDocument/2006/relationships/hyperlink" Target="https://www.sec.gov/Archives/edgar/data/1809122/000141057821000557/cvac-20210930xex99d4.htm" TargetMode="External"/><Relationship Id="rId339" Type="http://schemas.openxmlformats.org/officeDocument/2006/relationships/hyperlink" Target="https://www.sec.gov/Archives/edgar/data/1809122/000110465922004038/tm2136618d1_ex99-1.htm" TargetMode="External"/><Relationship Id="rId340" Type="http://schemas.openxmlformats.org/officeDocument/2006/relationships/hyperlink" Target="https://www.sec.gov/Archives/edgar/data/1809122/000141057822001070/cvac-20211231xex4d56.htm" TargetMode="External"/><Relationship Id="rId341" Type="http://schemas.openxmlformats.org/officeDocument/2006/relationships/hyperlink" Target="https://www.sec.gov/Archives/edgar/data/1809122/000141057822001070/cvac-20211231xex4d57.htm" TargetMode="External"/><Relationship Id="rId342" Type="http://schemas.openxmlformats.org/officeDocument/2006/relationships/hyperlink" Target="https://www.sec.gov/Archives/edgar/data/1809122/000141057822001070/cvac-20211231xex4d58.htm" TargetMode="External"/><Relationship Id="rId343" Type="http://schemas.openxmlformats.org/officeDocument/2006/relationships/hyperlink" Target="https://www.sec.gov/Archives/edgar/data/1809122/000141057822001070/cvac-20211231xex4d59.htm" TargetMode="External"/><Relationship Id="rId344" Type="http://schemas.openxmlformats.org/officeDocument/2006/relationships/hyperlink" Target="https://www.sec.gov/Archives/edgar/data/1809122/000141057822001070/cvac-20211231xex4d60.htm" TargetMode="External"/><Relationship Id="rId345" Type="http://schemas.openxmlformats.org/officeDocument/2006/relationships/hyperlink" Target="https://www.sec.gov/Archives/edgar/data/1809122/000141057822001070/cvac-20211231xex4d61.htm" TargetMode="External"/><Relationship Id="rId346" Type="http://schemas.openxmlformats.org/officeDocument/2006/relationships/hyperlink" Target="https://www.sec.gov/Archives/edgar/data/1809122/000141057822001070/cvac-20211231xex4d62.htm" TargetMode="External"/><Relationship Id="rId347" Type="http://schemas.openxmlformats.org/officeDocument/2006/relationships/hyperlink" Target="https://www.sec.gov/Archives/edgar/data/1809122/000141057823000793/cvac-20221231xex4d61.htm" TargetMode="External"/><Relationship Id="rId348" Type="http://schemas.openxmlformats.org/officeDocument/2006/relationships/hyperlink" Target="https://www.sec.gov/Archives/edgar/data/1809122/000141057823000793/cvac-20221231xex4d62.htm" TargetMode="External"/><Relationship Id="rId349" Type="http://schemas.openxmlformats.org/officeDocument/2006/relationships/hyperlink" Target="https://www.sec.gov/Archives/edgar/data/1809122/000141057823000793/cvac-20221231xex4d63.htm" TargetMode="External"/><Relationship Id="rId350" Type="http://schemas.openxmlformats.org/officeDocument/2006/relationships/hyperlink" Target="https://www.sec.gov/Archives/edgar/data/1809122/000141057823000793/cvac-20221231xex4d6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2024-04-25T05:33:23Z</dcterms:created>
  <dcterms:modified xsi:type="dcterms:W3CDTF">2024-04-25T05:33:23Z</dcterms:modified>
</cp:coreProperties>
</file>