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64" w:lineRule="exact"/>
        <w:rPr>
          <w:sz w:val="24"/>
          <w:szCs w:val="24"/>
          <w:color w:val="auto"/>
        </w:rPr>
      </w:pPr>
    </w:p>
    <w:p>
      <w:pPr>
        <w:ind w:left="2600"/>
        <w:spacing w:after="0"/>
        <w:rPr>
          <w:sz w:val="20"/>
          <w:szCs w:val="20"/>
          <w:color w:val="auto"/>
        </w:rPr>
      </w:pPr>
      <w:r>
        <w:rPr>
          <w:rFonts w:ascii="Arial" w:cs="Arial" w:eastAsia="Arial" w:hAnsi="Arial"/>
          <w:sz w:val="18"/>
          <w:szCs w:val="18"/>
          <w:b w:val="1"/>
          <w:bCs w:val="1"/>
          <w:color w:val="auto"/>
        </w:rPr>
        <w:t>As filed with the Securities and Exchange Commission on January 25, 2021</w:t>
      </w:r>
    </w:p>
    <w:p>
      <w:pPr>
        <w:spacing w:after="0" w:line="50" w:lineRule="exact"/>
        <w:rPr>
          <w:sz w:val="24"/>
          <w:szCs w:val="24"/>
          <w:color w:val="auto"/>
        </w:rPr>
      </w:pPr>
    </w:p>
    <w:p>
      <w:pPr>
        <w:ind w:left="778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43180</wp:posOffset>
            </wp:positionV>
            <wp:extent cx="618934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2540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102870</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207"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UNITED STATES</w:t>
      </w:r>
    </w:p>
    <w:p>
      <w:pPr>
        <w:jc w:val="center"/>
        <w:ind w:right="-459"/>
        <w:spacing w:after="0" w:line="203" w:lineRule="auto"/>
        <w:rPr>
          <w:sz w:val="20"/>
          <w:szCs w:val="20"/>
          <w:color w:val="auto"/>
        </w:rPr>
      </w:pPr>
      <w:r>
        <w:rPr>
          <w:rFonts w:ascii="Arial" w:cs="Arial" w:eastAsia="Arial" w:hAnsi="Arial"/>
          <w:sz w:val="18"/>
          <w:szCs w:val="18"/>
          <w:b w:val="1"/>
          <w:bCs w:val="1"/>
          <w:color w:val="auto"/>
        </w:rPr>
        <w:t>SECURITIES AND EXCHANGE COMMISSION</w:t>
      </w:r>
    </w:p>
    <w:p>
      <w:pPr>
        <w:jc w:val="center"/>
        <w:ind w:right="-4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73025</wp:posOffset>
            </wp:positionV>
            <wp:extent cx="1028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152" w:lineRule="exact"/>
        <w:rPr>
          <w:sz w:val="24"/>
          <w:szCs w:val="24"/>
          <w:color w:val="auto"/>
        </w:rPr>
      </w:pPr>
    </w:p>
    <w:tbl>
      <w:tblPr>
        <w:tblLayout w:type="fixed"/>
        <w:tblInd w:w="1140" w:type="dxa"/>
        <w:tblCellMar>
          <w:top w:w="0" w:type="dxa"/>
          <w:left w:w="0" w:type="dxa"/>
          <w:bottom w:w="0" w:type="dxa"/>
          <w:right w:w="0" w:type="dxa"/>
        </w:tblCellMar>
      </w:tblPr>
      <w:tr>
        <w:trPr>
          <w:trHeight w:val="253"/>
        </w:trPr>
        <w:tc>
          <w:tcPr>
            <w:tcW w:w="2220" w:type="dxa"/>
            <w:vAlign w:val="bottom"/>
          </w:tcPr>
          <w:p>
            <w:pPr>
              <w:spacing w:after="0"/>
              <w:rPr>
                <w:sz w:val="21"/>
                <w:szCs w:val="21"/>
                <w:color w:val="auto"/>
              </w:rPr>
            </w:pPr>
          </w:p>
        </w:tc>
        <w:tc>
          <w:tcPr>
            <w:tcW w:w="4100" w:type="dxa"/>
            <w:vAlign w:val="bottom"/>
          </w:tcPr>
          <w:p>
            <w:pPr>
              <w:jc w:val="center"/>
              <w:ind w:right="46"/>
              <w:spacing w:after="0"/>
              <w:rPr>
                <w:sz w:val="20"/>
                <w:szCs w:val="20"/>
                <w:color w:val="auto"/>
              </w:rPr>
            </w:pPr>
            <w:r>
              <w:rPr>
                <w:rFonts w:ascii="Arial" w:cs="Arial" w:eastAsia="Arial" w:hAnsi="Arial"/>
                <w:sz w:val="22"/>
                <w:szCs w:val="22"/>
                <w:b w:val="1"/>
                <w:bCs w:val="1"/>
                <w:color w:val="auto"/>
                <w:w w:val="96"/>
              </w:rPr>
              <w:t>FORM F-1</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2220" w:type="dxa"/>
            <w:vAlign w:val="bottom"/>
          </w:tcPr>
          <w:p>
            <w:pPr>
              <w:spacing w:after="0"/>
              <w:rPr>
                <w:sz w:val="21"/>
                <w:szCs w:val="21"/>
                <w:color w:val="auto"/>
              </w:rPr>
            </w:pPr>
          </w:p>
        </w:tc>
        <w:tc>
          <w:tcPr>
            <w:tcW w:w="4100" w:type="dxa"/>
            <w:vAlign w:val="bottom"/>
          </w:tcPr>
          <w:p>
            <w:pPr>
              <w:jc w:val="center"/>
              <w:ind w:right="46"/>
              <w:spacing w:after="0"/>
              <w:rPr>
                <w:sz w:val="20"/>
                <w:szCs w:val="20"/>
                <w:color w:val="auto"/>
              </w:rPr>
            </w:pPr>
            <w:r>
              <w:rPr>
                <w:rFonts w:ascii="Arial" w:cs="Arial" w:eastAsia="Arial" w:hAnsi="Arial"/>
                <w:sz w:val="22"/>
                <w:szCs w:val="22"/>
                <w:b w:val="1"/>
                <w:bCs w:val="1"/>
                <w:color w:val="auto"/>
                <w:w w:val="96"/>
              </w:rPr>
              <w:t>REGISTRATION STATEMENT</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4100" w:type="dxa"/>
            <w:vAlign w:val="bottom"/>
          </w:tcPr>
          <w:p>
            <w:pPr>
              <w:jc w:val="center"/>
              <w:ind w:right="26"/>
              <w:spacing w:after="0"/>
              <w:rPr>
                <w:sz w:val="20"/>
                <w:szCs w:val="20"/>
                <w:color w:val="auto"/>
              </w:rPr>
            </w:pPr>
            <w:r>
              <w:rPr>
                <w:rFonts w:ascii="Arial" w:cs="Arial" w:eastAsia="Arial" w:hAnsi="Arial"/>
                <w:sz w:val="18"/>
                <w:szCs w:val="18"/>
                <w:b w:val="1"/>
                <w:bCs w:val="1"/>
                <w:color w:val="auto"/>
                <w:w w:val="96"/>
              </w:rPr>
              <w:t>UNDER</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2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8"/>
                <w:szCs w:val="18"/>
                <w:b w:val="1"/>
                <w:bCs w:val="1"/>
                <w:color w:val="auto"/>
                <w:w w:val="95"/>
              </w:rPr>
              <w:t>THE SECURITIES ACT OF 1933</w:t>
            </w: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220" w:type="dxa"/>
            <w:vAlign w:val="bottom"/>
          </w:tcPr>
          <w:p>
            <w:pPr>
              <w:spacing w:after="0"/>
              <w:rPr>
                <w:sz w:val="24"/>
                <w:szCs w:val="24"/>
                <w:color w:val="auto"/>
              </w:rPr>
            </w:pPr>
          </w:p>
        </w:tc>
        <w:tc>
          <w:tcPr>
            <w:tcW w:w="4100" w:type="dxa"/>
            <w:vAlign w:val="bottom"/>
          </w:tcPr>
          <w:p>
            <w:pPr>
              <w:jc w:val="center"/>
              <w:ind w:right="86"/>
              <w:spacing w:after="0" w:line="338" w:lineRule="exact"/>
              <w:rPr>
                <w:sz w:val="20"/>
                <w:szCs w:val="20"/>
                <w:color w:val="auto"/>
              </w:rPr>
            </w:pPr>
            <w:r>
              <w:rPr>
                <w:rFonts w:ascii="Arial" w:cs="Arial" w:eastAsia="Arial" w:hAnsi="Arial"/>
                <w:sz w:val="32"/>
                <w:szCs w:val="32"/>
                <w:b w:val="1"/>
                <w:bCs w:val="1"/>
                <w:color w:val="auto"/>
                <w:w w:val="89"/>
              </w:rPr>
              <w:t>CureVac N.V.</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220" w:type="dxa"/>
            <w:vAlign w:val="bottom"/>
          </w:tcPr>
          <w:p>
            <w:pPr>
              <w:spacing w:after="0"/>
              <w:rPr>
                <w:sz w:val="13"/>
                <w:szCs w:val="13"/>
                <w:color w:val="auto"/>
              </w:rPr>
            </w:pPr>
          </w:p>
        </w:tc>
        <w:tc>
          <w:tcPr>
            <w:tcW w:w="4100" w:type="dxa"/>
            <w:vAlign w:val="bottom"/>
          </w:tcPr>
          <w:p>
            <w:pPr>
              <w:jc w:val="center"/>
              <w:spacing w:after="0" w:line="157" w:lineRule="exact"/>
              <w:rPr>
                <w:sz w:val="20"/>
                <w:szCs w:val="20"/>
                <w:color w:val="auto"/>
              </w:rPr>
            </w:pPr>
            <w:r>
              <w:rPr>
                <w:rFonts w:ascii="Arial" w:cs="Arial" w:eastAsia="Arial" w:hAnsi="Arial"/>
                <w:sz w:val="14"/>
                <w:szCs w:val="14"/>
                <w:color w:val="auto"/>
                <w:w w:val="97"/>
              </w:rPr>
              <w:t>(Exact name of Registrant as specified in Its charter)</w:t>
            </w: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4100" w:type="dxa"/>
            <w:vAlign w:val="bottom"/>
          </w:tcPr>
          <w:p>
            <w:pPr>
              <w:jc w:val="center"/>
              <w:ind w:right="46"/>
              <w:spacing w:after="0" w:line="189" w:lineRule="exact"/>
              <w:rPr>
                <w:sz w:val="20"/>
                <w:szCs w:val="20"/>
                <w:color w:val="auto"/>
              </w:rPr>
            </w:pPr>
            <w:r>
              <w:rPr>
                <w:rFonts w:ascii="Arial" w:cs="Arial" w:eastAsia="Arial" w:hAnsi="Arial"/>
                <w:sz w:val="18"/>
                <w:szCs w:val="18"/>
                <w:b w:val="1"/>
                <w:bCs w:val="1"/>
                <w:color w:val="auto"/>
                <w:w w:val="88"/>
              </w:rPr>
              <w:t>Not Applicable</w:t>
            </w: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220" w:type="dxa"/>
            <w:vAlign w:val="bottom"/>
            <w:vMerge w:val="restart"/>
          </w:tcPr>
          <w:p>
            <w:pPr>
              <w:jc w:val="center"/>
              <w:ind w:right="325"/>
              <w:spacing w:after="0"/>
              <w:rPr>
                <w:sz w:val="20"/>
                <w:szCs w:val="20"/>
                <w:color w:val="auto"/>
              </w:rPr>
            </w:pPr>
            <w:r>
              <w:rPr>
                <w:rFonts w:ascii="Arial" w:cs="Arial" w:eastAsia="Arial" w:hAnsi="Arial"/>
                <w:sz w:val="16"/>
                <w:szCs w:val="16"/>
                <w:b w:val="1"/>
                <w:bCs w:val="1"/>
                <w:color w:val="auto"/>
                <w:w w:val="87"/>
              </w:rPr>
              <w:t>The Netherlands</w:t>
            </w:r>
          </w:p>
        </w:tc>
        <w:tc>
          <w:tcPr>
            <w:tcW w:w="4100" w:type="dxa"/>
            <w:vAlign w:val="bottom"/>
          </w:tcPr>
          <w:p>
            <w:pPr>
              <w:jc w:val="center"/>
              <w:ind w:right="6"/>
              <w:spacing w:after="0"/>
              <w:rPr>
                <w:sz w:val="20"/>
                <w:szCs w:val="20"/>
                <w:color w:val="auto"/>
              </w:rPr>
            </w:pPr>
            <w:r>
              <w:rPr>
                <w:rFonts w:ascii="Arial" w:cs="Arial" w:eastAsia="Arial" w:hAnsi="Arial"/>
                <w:sz w:val="14"/>
                <w:szCs w:val="14"/>
                <w:color w:val="auto"/>
                <w:w w:val="98"/>
              </w:rPr>
              <w:t>(Translation of Registrant’s name into English)</w:t>
            </w:r>
          </w:p>
        </w:tc>
        <w:tc>
          <w:tcPr>
            <w:tcW w:w="1900" w:type="dxa"/>
            <w:vAlign w:val="bottom"/>
            <w:vMerge w:val="restart"/>
          </w:tcPr>
          <w:p>
            <w:pPr>
              <w:jc w:val="center"/>
              <w:ind w:left="425"/>
              <w:spacing w:after="0"/>
              <w:rPr>
                <w:sz w:val="20"/>
                <w:szCs w:val="20"/>
                <w:color w:val="auto"/>
              </w:rPr>
            </w:pPr>
            <w:r>
              <w:rPr>
                <w:rFonts w:ascii="Arial" w:cs="Arial" w:eastAsia="Arial" w:hAnsi="Arial"/>
                <w:sz w:val="16"/>
                <w:szCs w:val="16"/>
                <w:b w:val="1"/>
                <w:bCs w:val="1"/>
                <w:color w:val="auto"/>
                <w:w w:val="89"/>
              </w:rPr>
              <w:t>Not Applicable</w:t>
            </w:r>
          </w:p>
        </w:tc>
        <w:tc>
          <w:tcPr>
            <w:tcW w:w="0" w:type="dxa"/>
            <w:vAlign w:val="bottom"/>
          </w:tcPr>
          <w:p>
            <w:pPr>
              <w:spacing w:after="0"/>
              <w:rPr>
                <w:sz w:val="1"/>
                <w:szCs w:val="1"/>
                <w:color w:val="auto"/>
              </w:rPr>
            </w:pPr>
          </w:p>
        </w:tc>
      </w:tr>
      <w:tr>
        <w:trPr>
          <w:trHeight w:val="142"/>
        </w:trPr>
        <w:tc>
          <w:tcPr>
            <w:tcW w:w="2220" w:type="dxa"/>
            <w:vAlign w:val="bottom"/>
            <w:vMerge w:val="continue"/>
          </w:tcPr>
          <w:p>
            <w:pPr>
              <w:spacing w:after="0"/>
              <w:rPr>
                <w:sz w:val="12"/>
                <w:szCs w:val="12"/>
                <w:color w:val="auto"/>
              </w:rPr>
            </w:pPr>
          </w:p>
        </w:tc>
        <w:tc>
          <w:tcPr>
            <w:tcW w:w="410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20" w:type="dxa"/>
            <w:vAlign w:val="bottom"/>
          </w:tcPr>
          <w:p>
            <w:pPr>
              <w:jc w:val="center"/>
              <w:ind w:right="345"/>
              <w:spacing w:after="0" w:line="141" w:lineRule="exact"/>
              <w:rPr>
                <w:sz w:val="20"/>
                <w:szCs w:val="20"/>
                <w:color w:val="auto"/>
              </w:rPr>
            </w:pPr>
            <w:r>
              <w:rPr>
                <w:rFonts w:ascii="Arial" w:cs="Arial" w:eastAsia="Arial" w:hAnsi="Arial"/>
                <w:sz w:val="14"/>
                <w:szCs w:val="14"/>
                <w:color w:val="auto"/>
              </w:rPr>
              <w:t>(State or other jurisdiction of</w:t>
            </w:r>
          </w:p>
        </w:tc>
        <w:tc>
          <w:tcPr>
            <w:tcW w:w="4100" w:type="dxa"/>
            <w:vAlign w:val="bottom"/>
          </w:tcPr>
          <w:p>
            <w:pPr>
              <w:jc w:val="center"/>
              <w:ind w:right="46"/>
              <w:spacing w:after="0" w:line="141" w:lineRule="exact"/>
              <w:rPr>
                <w:sz w:val="20"/>
                <w:szCs w:val="20"/>
                <w:color w:val="auto"/>
              </w:rPr>
            </w:pPr>
            <w:r>
              <w:rPr>
                <w:rFonts w:ascii="Arial" w:cs="Arial" w:eastAsia="Arial" w:hAnsi="Arial"/>
                <w:sz w:val="14"/>
                <w:szCs w:val="14"/>
                <w:color w:val="auto"/>
                <w:w w:val="98"/>
              </w:rPr>
              <w:t>(Primary Standard Industrial</w:t>
            </w:r>
          </w:p>
        </w:tc>
        <w:tc>
          <w:tcPr>
            <w:tcW w:w="1900" w:type="dxa"/>
            <w:vAlign w:val="bottom"/>
          </w:tcPr>
          <w:p>
            <w:pPr>
              <w:jc w:val="center"/>
              <w:ind w:left="405"/>
              <w:spacing w:after="0" w:line="141" w:lineRule="exact"/>
              <w:rPr>
                <w:sz w:val="20"/>
                <w:szCs w:val="20"/>
                <w:color w:val="auto"/>
              </w:rPr>
            </w:pPr>
            <w:r>
              <w:rPr>
                <w:rFonts w:ascii="Arial" w:cs="Arial" w:eastAsia="Arial" w:hAnsi="Arial"/>
                <w:sz w:val="14"/>
                <w:szCs w:val="14"/>
                <w:color w:val="auto"/>
                <w:w w:val="99"/>
              </w:rPr>
              <w:t>(I.R.S. Employer</w:t>
            </w:r>
          </w:p>
        </w:tc>
        <w:tc>
          <w:tcPr>
            <w:tcW w:w="0" w:type="dxa"/>
            <w:vAlign w:val="bottom"/>
          </w:tcPr>
          <w:p>
            <w:pPr>
              <w:spacing w:after="0"/>
              <w:rPr>
                <w:sz w:val="1"/>
                <w:szCs w:val="1"/>
                <w:color w:val="auto"/>
              </w:rPr>
            </w:pPr>
          </w:p>
        </w:tc>
      </w:tr>
      <w:tr>
        <w:trPr>
          <w:trHeight w:val="182"/>
        </w:trPr>
        <w:tc>
          <w:tcPr>
            <w:tcW w:w="2220" w:type="dxa"/>
            <w:vAlign w:val="bottom"/>
          </w:tcPr>
          <w:p>
            <w:pPr>
              <w:jc w:val="center"/>
              <w:ind w:right="325"/>
              <w:spacing w:after="0"/>
              <w:rPr>
                <w:sz w:val="20"/>
                <w:szCs w:val="20"/>
                <w:color w:val="auto"/>
              </w:rPr>
            </w:pPr>
            <w:r>
              <w:rPr>
                <w:rFonts w:ascii="Arial" w:cs="Arial" w:eastAsia="Arial" w:hAnsi="Arial"/>
                <w:sz w:val="14"/>
                <w:szCs w:val="14"/>
                <w:color w:val="auto"/>
                <w:w w:val="99"/>
              </w:rPr>
              <w:t>incorporation or organization)</w:t>
            </w:r>
          </w:p>
        </w:tc>
        <w:tc>
          <w:tcPr>
            <w:tcW w:w="4100" w:type="dxa"/>
            <w:vAlign w:val="bottom"/>
          </w:tcPr>
          <w:p>
            <w:pPr>
              <w:jc w:val="center"/>
              <w:ind w:right="6"/>
              <w:spacing w:after="0"/>
              <w:rPr>
                <w:sz w:val="20"/>
                <w:szCs w:val="20"/>
                <w:color w:val="auto"/>
              </w:rPr>
            </w:pPr>
            <w:r>
              <w:rPr>
                <w:rFonts w:ascii="Arial" w:cs="Arial" w:eastAsia="Arial" w:hAnsi="Arial"/>
                <w:sz w:val="14"/>
                <w:szCs w:val="14"/>
                <w:color w:val="auto"/>
                <w:w w:val="98"/>
              </w:rPr>
              <w:t>Classification Code Number)</w:t>
            </w:r>
          </w:p>
        </w:tc>
        <w:tc>
          <w:tcPr>
            <w:tcW w:w="1900" w:type="dxa"/>
            <w:vAlign w:val="bottom"/>
          </w:tcPr>
          <w:p>
            <w:pPr>
              <w:jc w:val="center"/>
              <w:ind w:left="445"/>
              <w:spacing w:after="0"/>
              <w:rPr>
                <w:sz w:val="20"/>
                <w:szCs w:val="20"/>
                <w:color w:val="auto"/>
              </w:rPr>
            </w:pPr>
            <w:r>
              <w:rPr>
                <w:rFonts w:ascii="Arial" w:cs="Arial" w:eastAsia="Arial" w:hAnsi="Arial"/>
                <w:sz w:val="14"/>
                <w:szCs w:val="14"/>
                <w:color w:val="auto"/>
              </w:rPr>
              <w:t>Identification Number)</w:t>
            </w:r>
          </w:p>
        </w:tc>
        <w:tc>
          <w:tcPr>
            <w:tcW w:w="0" w:type="dxa"/>
            <w:vAlign w:val="bottom"/>
          </w:tcPr>
          <w:p>
            <w:pPr>
              <w:spacing w:after="0"/>
              <w:rPr>
                <w:sz w:val="1"/>
                <w:szCs w:val="1"/>
                <w:color w:val="auto"/>
              </w:rPr>
            </w:pPr>
          </w:p>
        </w:tc>
      </w:tr>
    </w:tbl>
    <w:p>
      <w:pPr>
        <w:spacing w:after="0" w:line="97" w:lineRule="exact"/>
        <w:rPr>
          <w:sz w:val="24"/>
          <w:szCs w:val="24"/>
          <w:color w:val="auto"/>
        </w:rPr>
      </w:pPr>
    </w:p>
    <w:p>
      <w:pPr>
        <w:jc w:val="center"/>
        <w:ind w:right="-459"/>
        <w:spacing w:after="0"/>
        <w:rPr>
          <w:sz w:val="20"/>
          <w:szCs w:val="20"/>
          <w:color w:val="auto"/>
        </w:rPr>
      </w:pPr>
      <w:r>
        <w:rPr>
          <w:rFonts w:ascii="Arial" w:cs="Arial" w:eastAsia="Arial" w:hAnsi="Arial"/>
          <w:sz w:val="16"/>
          <w:szCs w:val="16"/>
          <w:b w:val="1"/>
          <w:bCs w:val="1"/>
          <w:color w:val="auto"/>
        </w:rPr>
        <w:t>Friedrich-Miescher-Strasse 15, 72076</w:t>
      </w:r>
    </w:p>
    <w:p>
      <w:pPr>
        <w:jc w:val="center"/>
        <w:ind w:right="-459"/>
        <w:spacing w:after="0" w:line="211" w:lineRule="auto"/>
        <w:rPr>
          <w:sz w:val="20"/>
          <w:szCs w:val="20"/>
          <w:color w:val="auto"/>
        </w:rPr>
      </w:pPr>
      <w:r>
        <w:rPr>
          <w:rFonts w:ascii="Arial" w:cs="Arial" w:eastAsia="Arial" w:hAnsi="Arial"/>
          <w:sz w:val="16"/>
          <w:szCs w:val="16"/>
          <w:b w:val="1"/>
          <w:bCs w:val="1"/>
          <w:color w:val="auto"/>
        </w:rPr>
        <w:t>Tübingen,</w:t>
      </w:r>
    </w:p>
    <w:p>
      <w:pPr>
        <w:jc w:val="center"/>
        <w:ind w:right="-459"/>
        <w:spacing w:after="0" w:line="211" w:lineRule="auto"/>
        <w:rPr>
          <w:sz w:val="20"/>
          <w:szCs w:val="20"/>
          <w:color w:val="auto"/>
        </w:rPr>
      </w:pPr>
      <w:r>
        <w:rPr>
          <w:rFonts w:ascii="Arial" w:cs="Arial" w:eastAsia="Arial" w:hAnsi="Arial"/>
          <w:sz w:val="16"/>
          <w:szCs w:val="16"/>
          <w:b w:val="1"/>
          <w:bCs w:val="1"/>
          <w:color w:val="auto"/>
        </w:rPr>
        <w:t>Germany</w:t>
      </w:r>
    </w:p>
    <w:p>
      <w:pPr>
        <w:jc w:val="center"/>
        <w:ind w:right="-459"/>
        <w:spacing w:after="0" w:line="232" w:lineRule="auto"/>
        <w:rPr>
          <w:sz w:val="20"/>
          <w:szCs w:val="20"/>
          <w:color w:val="auto"/>
        </w:rPr>
      </w:pPr>
      <w:r>
        <w:rPr>
          <w:rFonts w:ascii="Arial" w:cs="Arial" w:eastAsia="Arial" w:hAnsi="Arial"/>
          <w:sz w:val="16"/>
          <w:szCs w:val="16"/>
          <w:b w:val="1"/>
          <w:bCs w:val="1"/>
          <w:color w:val="auto"/>
        </w:rPr>
        <w:t>+49 7071 9883 0</w:t>
      </w:r>
    </w:p>
    <w:p>
      <w:pPr>
        <w:spacing w:after="0" w:line="1" w:lineRule="exact"/>
        <w:rPr>
          <w:sz w:val="24"/>
          <w:szCs w:val="24"/>
          <w:color w:val="auto"/>
        </w:rPr>
      </w:pPr>
    </w:p>
    <w:p>
      <w:pPr>
        <w:ind w:left="1700"/>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99060</wp:posOffset>
            </wp:positionV>
            <wp:extent cx="1028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199" w:lineRule="exact"/>
        <w:rPr>
          <w:sz w:val="24"/>
          <w:szCs w:val="24"/>
          <w:color w:val="auto"/>
        </w:rPr>
      </w:pPr>
    </w:p>
    <w:p>
      <w:pPr>
        <w:jc w:val="center"/>
        <w:ind w:right="-459"/>
        <w:spacing w:after="0"/>
        <w:rPr>
          <w:sz w:val="20"/>
          <w:szCs w:val="20"/>
          <w:color w:val="auto"/>
        </w:rPr>
      </w:pPr>
      <w:r>
        <w:rPr>
          <w:rFonts w:ascii="Arial" w:cs="Arial" w:eastAsia="Arial" w:hAnsi="Arial"/>
          <w:sz w:val="16"/>
          <w:szCs w:val="16"/>
          <w:b w:val="1"/>
          <w:bCs w:val="1"/>
          <w:color w:val="auto"/>
        </w:rPr>
        <w:t>CureVac Inc.</w:t>
      </w:r>
    </w:p>
    <w:p>
      <w:pPr>
        <w:jc w:val="center"/>
        <w:ind w:right="-459"/>
        <w:spacing w:after="0" w:line="211" w:lineRule="auto"/>
        <w:rPr>
          <w:sz w:val="20"/>
          <w:szCs w:val="20"/>
          <w:color w:val="auto"/>
        </w:rPr>
      </w:pPr>
      <w:r>
        <w:rPr>
          <w:rFonts w:ascii="Arial" w:cs="Arial" w:eastAsia="Arial" w:hAnsi="Arial"/>
          <w:sz w:val="16"/>
          <w:szCs w:val="16"/>
          <w:b w:val="1"/>
          <w:bCs w:val="1"/>
          <w:color w:val="auto"/>
        </w:rPr>
        <w:t>250 Summer St. 3rd Fl.</w:t>
      </w:r>
    </w:p>
    <w:p>
      <w:pPr>
        <w:jc w:val="center"/>
        <w:ind w:right="-459"/>
        <w:spacing w:after="0" w:line="211" w:lineRule="auto"/>
        <w:rPr>
          <w:sz w:val="20"/>
          <w:szCs w:val="20"/>
          <w:color w:val="auto"/>
        </w:rPr>
      </w:pPr>
      <w:r>
        <w:rPr>
          <w:rFonts w:ascii="Arial" w:cs="Arial" w:eastAsia="Arial" w:hAnsi="Arial"/>
          <w:sz w:val="16"/>
          <w:szCs w:val="16"/>
          <w:b w:val="1"/>
          <w:bCs w:val="1"/>
          <w:color w:val="auto"/>
        </w:rPr>
        <w:t>Boston, Massachusetts 02210</w:t>
      </w:r>
    </w:p>
    <w:p>
      <w:pPr>
        <w:jc w:val="center"/>
        <w:ind w:right="-459"/>
        <w:spacing w:after="0" w:line="232" w:lineRule="auto"/>
        <w:rPr>
          <w:sz w:val="20"/>
          <w:szCs w:val="20"/>
          <w:color w:val="auto"/>
        </w:rPr>
      </w:pPr>
      <w:r>
        <w:rPr>
          <w:rFonts w:ascii="Arial" w:cs="Arial" w:eastAsia="Arial" w:hAnsi="Arial"/>
          <w:sz w:val="16"/>
          <w:szCs w:val="16"/>
          <w:b w:val="1"/>
          <w:bCs w:val="1"/>
          <w:color w:val="auto"/>
        </w:rPr>
        <w:t>+1-617-377-4044</w:t>
      </w:r>
    </w:p>
    <w:p>
      <w:pPr>
        <w:spacing w:after="0" w:line="1" w:lineRule="exact"/>
        <w:rPr>
          <w:sz w:val="24"/>
          <w:szCs w:val="24"/>
          <w:color w:val="auto"/>
        </w:rPr>
      </w:pPr>
    </w:p>
    <w:p>
      <w:pPr>
        <w:jc w:val="center"/>
        <w:ind w:right="-49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34" w:lineRule="exact"/>
        <w:rPr>
          <w:sz w:val="24"/>
          <w:szCs w:val="24"/>
          <w:color w:val="auto"/>
        </w:rPr>
      </w:pPr>
    </w:p>
    <w:p>
      <w:pPr>
        <w:jc w:val="center"/>
        <w:ind w:right="-499"/>
        <w:spacing w:after="0"/>
        <w:rPr>
          <w:sz w:val="20"/>
          <w:szCs w:val="20"/>
          <w:color w:val="auto"/>
        </w:rPr>
      </w:pPr>
      <w:r>
        <w:rPr>
          <w:rFonts w:ascii="Arial" w:cs="Arial" w:eastAsia="Arial" w:hAnsi="Arial"/>
          <w:sz w:val="18"/>
          <w:szCs w:val="18"/>
          <w:i w:val="1"/>
          <w:iCs w:val="1"/>
          <w:color w:val="auto"/>
        </w:rPr>
        <w:t>Copies to:</w:t>
      </w:r>
    </w:p>
    <w:p>
      <w:pPr>
        <w:spacing w:after="0" w:line="15" w:lineRule="exact"/>
        <w:rPr>
          <w:sz w:val="24"/>
          <w:szCs w:val="24"/>
          <w:color w:val="auto"/>
        </w:rPr>
      </w:pPr>
    </w:p>
    <w:tbl>
      <w:tblPr>
        <w:tblLayout w:type="fixed"/>
        <w:tblInd w:w="1080" w:type="dxa"/>
        <w:tblCellMar>
          <w:top w:w="0" w:type="dxa"/>
          <w:left w:w="0" w:type="dxa"/>
          <w:bottom w:w="0" w:type="dxa"/>
          <w:right w:w="0" w:type="dxa"/>
        </w:tblCellMar>
      </w:tblPr>
      <w:tr>
        <w:trPr>
          <w:trHeight w:val="184"/>
        </w:trPr>
        <w:tc>
          <w:tcPr>
            <w:tcW w:w="2740" w:type="dxa"/>
            <w:vAlign w:val="bottom"/>
          </w:tcPr>
          <w:p>
            <w:pPr>
              <w:jc w:val="center"/>
              <w:ind w:right="759"/>
              <w:spacing w:after="0"/>
              <w:rPr>
                <w:sz w:val="20"/>
                <w:szCs w:val="20"/>
                <w:color w:val="auto"/>
              </w:rPr>
            </w:pPr>
            <w:r>
              <w:rPr>
                <w:rFonts w:ascii="Arial" w:cs="Arial" w:eastAsia="Arial" w:hAnsi="Arial"/>
                <w:sz w:val="16"/>
                <w:szCs w:val="16"/>
                <w:b w:val="1"/>
                <w:bCs w:val="1"/>
                <w:color w:val="auto"/>
                <w:w w:val="87"/>
              </w:rPr>
              <w:t>Richard D. Truesdell, Jr.</w:t>
            </w:r>
          </w:p>
        </w:tc>
        <w:tc>
          <w:tcPr>
            <w:tcW w:w="3060" w:type="dxa"/>
            <w:vAlign w:val="bottom"/>
          </w:tcPr>
          <w:p>
            <w:pPr>
              <w:jc w:val="center"/>
              <w:spacing w:after="0"/>
              <w:rPr>
                <w:sz w:val="20"/>
                <w:szCs w:val="20"/>
                <w:color w:val="auto"/>
              </w:rPr>
            </w:pPr>
            <w:r>
              <w:rPr>
                <w:rFonts w:ascii="Arial" w:cs="Arial" w:eastAsia="Arial" w:hAnsi="Arial"/>
                <w:sz w:val="16"/>
                <w:szCs w:val="16"/>
                <w:b w:val="1"/>
                <w:bCs w:val="1"/>
                <w:color w:val="auto"/>
                <w:w w:val="89"/>
              </w:rPr>
              <w:t>Paul van der Bijl</w:t>
            </w:r>
          </w:p>
        </w:tc>
        <w:tc>
          <w:tcPr>
            <w:tcW w:w="2680" w:type="dxa"/>
            <w:vAlign w:val="bottom"/>
          </w:tcPr>
          <w:p>
            <w:pPr>
              <w:jc w:val="center"/>
              <w:ind w:left="779"/>
              <w:spacing w:after="0"/>
              <w:rPr>
                <w:sz w:val="20"/>
                <w:szCs w:val="20"/>
                <w:color w:val="auto"/>
              </w:rPr>
            </w:pPr>
            <w:r>
              <w:rPr>
                <w:rFonts w:ascii="Arial" w:cs="Arial" w:eastAsia="Arial" w:hAnsi="Arial"/>
                <w:sz w:val="16"/>
                <w:szCs w:val="16"/>
                <w:b w:val="1"/>
                <w:bCs w:val="1"/>
                <w:color w:val="auto"/>
                <w:w w:val="91"/>
              </w:rPr>
              <w:t>Nathan Ajiashvili</w:t>
            </w:r>
          </w:p>
        </w:tc>
      </w:tr>
      <w:tr>
        <w:trPr>
          <w:trHeight w:val="148"/>
        </w:trPr>
        <w:tc>
          <w:tcPr>
            <w:tcW w:w="2740" w:type="dxa"/>
            <w:vAlign w:val="bottom"/>
          </w:tcPr>
          <w:p>
            <w:pPr>
              <w:jc w:val="center"/>
              <w:ind w:right="759"/>
              <w:spacing w:after="0" w:line="148" w:lineRule="exact"/>
              <w:rPr>
                <w:sz w:val="20"/>
                <w:szCs w:val="20"/>
                <w:color w:val="auto"/>
              </w:rPr>
            </w:pPr>
            <w:r>
              <w:rPr>
                <w:rFonts w:ascii="Arial" w:cs="Arial" w:eastAsia="Arial" w:hAnsi="Arial"/>
                <w:sz w:val="16"/>
                <w:szCs w:val="16"/>
                <w:b w:val="1"/>
                <w:bCs w:val="1"/>
                <w:color w:val="auto"/>
                <w:w w:val="89"/>
              </w:rPr>
              <w:t>Leo Borchardt</w:t>
            </w:r>
          </w:p>
        </w:tc>
        <w:tc>
          <w:tcPr>
            <w:tcW w:w="3060" w:type="dxa"/>
            <w:vAlign w:val="bottom"/>
          </w:tcPr>
          <w:p>
            <w:pPr>
              <w:jc w:val="center"/>
              <w:spacing w:after="0" w:line="148" w:lineRule="exact"/>
              <w:rPr>
                <w:sz w:val="20"/>
                <w:szCs w:val="20"/>
                <w:color w:val="auto"/>
              </w:rPr>
            </w:pPr>
            <w:r>
              <w:rPr>
                <w:rFonts w:ascii="Arial" w:cs="Arial" w:eastAsia="Arial" w:hAnsi="Arial"/>
                <w:sz w:val="16"/>
                <w:szCs w:val="16"/>
                <w:b w:val="1"/>
                <w:bCs w:val="1"/>
                <w:color w:val="auto"/>
                <w:w w:val="92"/>
              </w:rPr>
              <w:t>NautaDutilh N.V.</w:t>
            </w:r>
          </w:p>
        </w:tc>
        <w:tc>
          <w:tcPr>
            <w:tcW w:w="2680" w:type="dxa"/>
            <w:vAlign w:val="bottom"/>
          </w:tcPr>
          <w:p>
            <w:pPr>
              <w:jc w:val="center"/>
              <w:ind w:left="779"/>
              <w:spacing w:after="0" w:line="148" w:lineRule="exact"/>
              <w:rPr>
                <w:sz w:val="20"/>
                <w:szCs w:val="20"/>
                <w:color w:val="auto"/>
              </w:rPr>
            </w:pPr>
            <w:r>
              <w:rPr>
                <w:rFonts w:ascii="Arial" w:cs="Arial" w:eastAsia="Arial" w:hAnsi="Arial"/>
                <w:sz w:val="16"/>
                <w:szCs w:val="16"/>
                <w:b w:val="1"/>
                <w:bCs w:val="1"/>
                <w:color w:val="auto"/>
                <w:w w:val="89"/>
              </w:rPr>
              <w:t>Alison Haggerty</w:t>
            </w:r>
          </w:p>
        </w:tc>
      </w:tr>
      <w:tr>
        <w:trPr>
          <w:trHeight w:val="148"/>
        </w:trPr>
        <w:tc>
          <w:tcPr>
            <w:tcW w:w="2740" w:type="dxa"/>
            <w:vAlign w:val="bottom"/>
          </w:tcPr>
          <w:p>
            <w:pPr>
              <w:jc w:val="center"/>
              <w:ind w:right="759"/>
              <w:spacing w:after="0" w:line="148" w:lineRule="exact"/>
              <w:rPr>
                <w:sz w:val="20"/>
                <w:szCs w:val="20"/>
                <w:color w:val="auto"/>
              </w:rPr>
            </w:pPr>
            <w:r>
              <w:rPr>
                <w:rFonts w:ascii="Arial" w:cs="Arial" w:eastAsia="Arial" w:hAnsi="Arial"/>
                <w:sz w:val="16"/>
                <w:szCs w:val="16"/>
                <w:b w:val="1"/>
                <w:bCs w:val="1"/>
                <w:color w:val="auto"/>
                <w:w w:val="92"/>
              </w:rPr>
              <w:t>Davis Polk &amp; Wardwell LLP</w:t>
            </w:r>
          </w:p>
        </w:tc>
        <w:tc>
          <w:tcPr>
            <w:tcW w:w="3060" w:type="dxa"/>
            <w:vAlign w:val="bottom"/>
          </w:tcPr>
          <w:p>
            <w:pPr>
              <w:jc w:val="center"/>
              <w:spacing w:after="0" w:line="148" w:lineRule="exact"/>
              <w:rPr>
                <w:sz w:val="20"/>
                <w:szCs w:val="20"/>
                <w:color w:val="auto"/>
              </w:rPr>
            </w:pPr>
            <w:r>
              <w:rPr>
                <w:rFonts w:ascii="Arial" w:cs="Arial" w:eastAsia="Arial" w:hAnsi="Arial"/>
                <w:sz w:val="16"/>
                <w:szCs w:val="16"/>
                <w:b w:val="1"/>
                <w:bCs w:val="1"/>
                <w:color w:val="auto"/>
                <w:w w:val="86"/>
              </w:rPr>
              <w:t>Beethovenstraat 400</w:t>
            </w:r>
          </w:p>
        </w:tc>
        <w:tc>
          <w:tcPr>
            <w:tcW w:w="2680" w:type="dxa"/>
            <w:vAlign w:val="bottom"/>
          </w:tcPr>
          <w:p>
            <w:pPr>
              <w:jc w:val="center"/>
              <w:ind w:left="779"/>
              <w:spacing w:after="0" w:line="148" w:lineRule="exact"/>
              <w:rPr>
                <w:sz w:val="20"/>
                <w:szCs w:val="20"/>
                <w:color w:val="auto"/>
              </w:rPr>
            </w:pPr>
            <w:r>
              <w:rPr>
                <w:rFonts w:ascii="Arial" w:cs="Arial" w:eastAsia="Arial" w:hAnsi="Arial"/>
                <w:sz w:val="16"/>
                <w:szCs w:val="16"/>
                <w:b w:val="1"/>
                <w:bCs w:val="1"/>
                <w:color w:val="auto"/>
                <w:w w:val="93"/>
              </w:rPr>
              <w:t>Latham &amp; Watkins LLP</w:t>
            </w:r>
          </w:p>
        </w:tc>
      </w:tr>
      <w:tr>
        <w:trPr>
          <w:trHeight w:val="149"/>
        </w:trPr>
        <w:tc>
          <w:tcPr>
            <w:tcW w:w="2740" w:type="dxa"/>
            <w:vAlign w:val="bottom"/>
          </w:tcPr>
          <w:p>
            <w:pPr>
              <w:jc w:val="center"/>
              <w:ind w:right="739"/>
              <w:spacing w:after="0" w:line="148" w:lineRule="exact"/>
              <w:rPr>
                <w:sz w:val="20"/>
                <w:szCs w:val="20"/>
                <w:color w:val="auto"/>
              </w:rPr>
            </w:pPr>
            <w:r>
              <w:rPr>
                <w:rFonts w:ascii="Arial" w:cs="Arial" w:eastAsia="Arial" w:hAnsi="Arial"/>
                <w:sz w:val="16"/>
                <w:szCs w:val="16"/>
                <w:b w:val="1"/>
                <w:bCs w:val="1"/>
                <w:color w:val="auto"/>
                <w:w w:val="87"/>
              </w:rPr>
              <w:t>450 Lexington Avenue</w:t>
            </w:r>
          </w:p>
        </w:tc>
        <w:tc>
          <w:tcPr>
            <w:tcW w:w="3060" w:type="dxa"/>
            <w:vAlign w:val="bottom"/>
          </w:tcPr>
          <w:p>
            <w:pPr>
              <w:jc w:val="center"/>
              <w:spacing w:after="0" w:line="148" w:lineRule="exact"/>
              <w:rPr>
                <w:sz w:val="20"/>
                <w:szCs w:val="20"/>
                <w:color w:val="auto"/>
              </w:rPr>
            </w:pPr>
            <w:r>
              <w:rPr>
                <w:rFonts w:ascii="Arial" w:cs="Arial" w:eastAsia="Arial" w:hAnsi="Arial"/>
                <w:sz w:val="16"/>
                <w:szCs w:val="16"/>
                <w:b w:val="1"/>
                <w:bCs w:val="1"/>
                <w:color w:val="auto"/>
                <w:w w:val="90"/>
              </w:rPr>
              <w:t>1082 PR Amsterdam</w:t>
            </w:r>
          </w:p>
        </w:tc>
        <w:tc>
          <w:tcPr>
            <w:tcW w:w="2680" w:type="dxa"/>
            <w:vAlign w:val="bottom"/>
          </w:tcPr>
          <w:p>
            <w:pPr>
              <w:jc w:val="center"/>
              <w:ind w:left="779"/>
              <w:spacing w:after="0" w:line="148" w:lineRule="exact"/>
              <w:rPr>
                <w:sz w:val="20"/>
                <w:szCs w:val="20"/>
                <w:color w:val="auto"/>
              </w:rPr>
            </w:pPr>
            <w:r>
              <w:rPr>
                <w:rFonts w:ascii="Arial" w:cs="Arial" w:eastAsia="Arial" w:hAnsi="Arial"/>
                <w:sz w:val="16"/>
                <w:szCs w:val="16"/>
                <w:b w:val="1"/>
                <w:bCs w:val="1"/>
                <w:color w:val="auto"/>
                <w:w w:val="88"/>
              </w:rPr>
              <w:t>885 Third Avenue</w:t>
            </w:r>
          </w:p>
        </w:tc>
      </w:tr>
      <w:tr>
        <w:trPr>
          <w:trHeight w:val="148"/>
        </w:trPr>
        <w:tc>
          <w:tcPr>
            <w:tcW w:w="2740" w:type="dxa"/>
            <w:vAlign w:val="bottom"/>
          </w:tcPr>
          <w:p>
            <w:pPr>
              <w:jc w:val="center"/>
              <w:ind w:right="759"/>
              <w:spacing w:after="0" w:line="148" w:lineRule="exact"/>
              <w:rPr>
                <w:sz w:val="20"/>
                <w:szCs w:val="20"/>
                <w:color w:val="auto"/>
              </w:rPr>
            </w:pPr>
            <w:r>
              <w:rPr>
                <w:rFonts w:ascii="Arial" w:cs="Arial" w:eastAsia="Arial" w:hAnsi="Arial"/>
                <w:sz w:val="16"/>
                <w:szCs w:val="16"/>
                <w:b w:val="1"/>
                <w:bCs w:val="1"/>
                <w:color w:val="auto"/>
                <w:w w:val="89"/>
              </w:rPr>
              <w:t>New York, New York 10017</w:t>
            </w:r>
          </w:p>
        </w:tc>
        <w:tc>
          <w:tcPr>
            <w:tcW w:w="3060" w:type="dxa"/>
            <w:vAlign w:val="bottom"/>
          </w:tcPr>
          <w:p>
            <w:pPr>
              <w:jc w:val="center"/>
              <w:spacing w:after="0" w:line="148" w:lineRule="exact"/>
              <w:rPr>
                <w:sz w:val="20"/>
                <w:szCs w:val="20"/>
                <w:color w:val="auto"/>
              </w:rPr>
            </w:pPr>
            <w:r>
              <w:rPr>
                <w:rFonts w:ascii="Arial" w:cs="Arial" w:eastAsia="Arial" w:hAnsi="Arial"/>
                <w:sz w:val="16"/>
                <w:szCs w:val="16"/>
                <w:b w:val="1"/>
                <w:bCs w:val="1"/>
                <w:color w:val="auto"/>
                <w:w w:val="89"/>
              </w:rPr>
              <w:t>The Netherlands</w:t>
            </w:r>
          </w:p>
        </w:tc>
        <w:tc>
          <w:tcPr>
            <w:tcW w:w="2680" w:type="dxa"/>
            <w:vAlign w:val="bottom"/>
          </w:tcPr>
          <w:p>
            <w:pPr>
              <w:jc w:val="center"/>
              <w:ind w:left="779"/>
              <w:spacing w:after="0" w:line="148" w:lineRule="exact"/>
              <w:rPr>
                <w:sz w:val="20"/>
                <w:szCs w:val="20"/>
                <w:color w:val="auto"/>
              </w:rPr>
            </w:pPr>
            <w:r>
              <w:rPr>
                <w:rFonts w:ascii="Arial" w:cs="Arial" w:eastAsia="Arial" w:hAnsi="Arial"/>
                <w:sz w:val="16"/>
                <w:szCs w:val="16"/>
                <w:b w:val="1"/>
                <w:bCs w:val="1"/>
                <w:color w:val="auto"/>
                <w:w w:val="89"/>
              </w:rPr>
              <w:t>New York, New York 10022</w:t>
            </w:r>
          </w:p>
        </w:tc>
      </w:tr>
      <w:tr>
        <w:trPr>
          <w:trHeight w:val="210"/>
        </w:trPr>
        <w:tc>
          <w:tcPr>
            <w:tcW w:w="2740" w:type="dxa"/>
            <w:vAlign w:val="bottom"/>
          </w:tcPr>
          <w:p>
            <w:pPr>
              <w:jc w:val="center"/>
              <w:ind w:right="719"/>
              <w:spacing w:after="0"/>
              <w:rPr>
                <w:sz w:val="20"/>
                <w:szCs w:val="20"/>
                <w:color w:val="auto"/>
              </w:rPr>
            </w:pPr>
            <w:r>
              <w:rPr>
                <w:rFonts w:ascii="Arial" w:cs="Arial" w:eastAsia="Arial" w:hAnsi="Arial"/>
                <w:sz w:val="16"/>
                <w:szCs w:val="16"/>
                <w:b w:val="1"/>
                <w:bCs w:val="1"/>
                <w:color w:val="auto"/>
                <w:w w:val="89"/>
              </w:rPr>
              <w:t>+1 (212) 450-4000</w:t>
            </w:r>
          </w:p>
        </w:tc>
        <w:tc>
          <w:tcPr>
            <w:tcW w:w="3060" w:type="dxa"/>
            <w:vAlign w:val="bottom"/>
          </w:tcPr>
          <w:p>
            <w:pPr>
              <w:jc w:val="center"/>
              <w:spacing w:after="0"/>
              <w:rPr>
                <w:sz w:val="20"/>
                <w:szCs w:val="20"/>
                <w:color w:val="auto"/>
              </w:rPr>
            </w:pPr>
            <w:r>
              <w:rPr>
                <w:rFonts w:ascii="Arial" w:cs="Arial" w:eastAsia="Arial" w:hAnsi="Arial"/>
                <w:sz w:val="16"/>
                <w:szCs w:val="16"/>
                <w:b w:val="1"/>
                <w:bCs w:val="1"/>
                <w:color w:val="auto"/>
                <w:w w:val="87"/>
              </w:rPr>
              <w:t>+31 (20) 717-1000</w:t>
            </w:r>
          </w:p>
        </w:tc>
        <w:tc>
          <w:tcPr>
            <w:tcW w:w="2680" w:type="dxa"/>
            <w:vAlign w:val="bottom"/>
          </w:tcPr>
          <w:p>
            <w:pPr>
              <w:jc w:val="center"/>
              <w:ind w:left="819"/>
              <w:spacing w:after="0"/>
              <w:rPr>
                <w:sz w:val="20"/>
                <w:szCs w:val="20"/>
                <w:color w:val="auto"/>
              </w:rPr>
            </w:pPr>
            <w:r>
              <w:rPr>
                <w:rFonts w:ascii="Arial" w:cs="Arial" w:eastAsia="Arial" w:hAnsi="Arial"/>
                <w:sz w:val="16"/>
                <w:szCs w:val="16"/>
                <w:b w:val="1"/>
                <w:bCs w:val="1"/>
                <w:color w:val="auto"/>
                <w:w w:val="89"/>
              </w:rPr>
              <w:t>+1 (212) 906-1200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38100</wp:posOffset>
            </wp:positionV>
            <wp:extent cx="1028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125" w:lineRule="exact"/>
        <w:rPr>
          <w:sz w:val="24"/>
          <w:szCs w:val="24"/>
          <w:color w:val="auto"/>
        </w:rPr>
      </w:pPr>
    </w:p>
    <w:p>
      <w:pPr>
        <w:ind w:left="1140"/>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the effective date of this registration statement.</w:t>
      </w:r>
    </w:p>
    <w:p>
      <w:pPr>
        <w:spacing w:after="0" w:line="29" w:lineRule="exact"/>
        <w:rPr>
          <w:sz w:val="24"/>
          <w:szCs w:val="24"/>
          <w:color w:val="auto"/>
        </w:rPr>
      </w:pPr>
    </w:p>
    <w:p>
      <w:pPr>
        <w:ind w:left="500" w:right="80" w:firstLine="648"/>
        <w:spacing w:after="0" w:line="155"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100" w:firstLine="648"/>
        <w:spacing w:after="0" w:line="155"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100" w:firstLine="648"/>
        <w:spacing w:after="0" w:line="149"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100" w:firstLine="648"/>
        <w:spacing w:after="0" w:line="155"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w:t>
      </w:r>
    </w:p>
    <w:p>
      <w:pPr>
        <w:spacing w:after="0" w:line="9" w:lineRule="exact"/>
        <w:rPr>
          <w:sz w:val="24"/>
          <w:szCs w:val="24"/>
          <w:color w:val="auto"/>
        </w:rPr>
      </w:pPr>
    </w:p>
    <w:p>
      <w:pPr>
        <w:jc w:val="right"/>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6" w:lineRule="exact"/>
        <w:rPr>
          <w:sz w:val="24"/>
          <w:szCs w:val="24"/>
          <w:color w:val="auto"/>
        </w:rPr>
      </w:pPr>
    </w:p>
    <w:p>
      <w:pPr>
        <w:ind w:left="500" w:right="60" w:firstLine="648"/>
        <w:spacing w:after="0" w:line="152"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46" w:lineRule="exact"/>
        <w:rPr>
          <w:sz w:val="24"/>
          <w:szCs w:val="24"/>
          <w:color w:val="auto"/>
        </w:rPr>
      </w:pPr>
    </w:p>
    <w:p>
      <w:pPr>
        <w:ind w:left="1140" w:right="140" w:hanging="648"/>
        <w:spacing w:after="0" w:line="293" w:lineRule="auto"/>
        <w:tabs>
          <w:tab w:leader="none" w:pos="11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-13970</wp:posOffset>
            </wp:positionV>
            <wp:extent cx="1028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33"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CALCULATION OF REGISTRATION FEE</w:t>
      </w:r>
    </w:p>
    <w:p>
      <w:pPr>
        <w:spacing w:after="0" w:line="27" w:lineRule="exact"/>
        <w:rPr>
          <w:sz w:val="24"/>
          <w:szCs w:val="24"/>
          <w:color w:val="auto"/>
        </w:rPr>
      </w:pPr>
    </w:p>
    <w:tbl>
      <w:tblPr>
        <w:tblLayout w:type="fixed"/>
        <w:tblInd w:w="500" w:type="dxa"/>
        <w:tblCellMar>
          <w:top w:w="0" w:type="dxa"/>
          <w:left w:w="0" w:type="dxa"/>
          <w:bottom w:w="0" w:type="dxa"/>
          <w:right w:w="0" w:type="dxa"/>
        </w:tblCellMar>
      </w:tblPr>
      <w:tr>
        <w:trPr>
          <w:trHeight w:val="173"/>
        </w:trPr>
        <w:tc>
          <w:tcPr>
            <w:tcW w:w="5180" w:type="dxa"/>
            <w:vAlign w:val="bottom"/>
            <w:tcBorders>
              <w:top w:val="single" w:sz="8" w:color="auto"/>
            </w:tcBorders>
          </w:tcPr>
          <w:p>
            <w:pPr>
              <w:spacing w:after="0"/>
              <w:rPr>
                <w:sz w:val="15"/>
                <w:szCs w:val="15"/>
                <w:color w:val="auto"/>
              </w:rPr>
            </w:pPr>
          </w:p>
        </w:tc>
        <w:tc>
          <w:tcPr>
            <w:tcW w:w="3420" w:type="dxa"/>
            <w:vAlign w:val="bottom"/>
            <w:tcBorders>
              <w:top w:val="single" w:sz="8" w:color="auto"/>
            </w:tcBorders>
          </w:tcPr>
          <w:p>
            <w:pPr>
              <w:jc w:val="center"/>
              <w:ind w:left="2030"/>
              <w:spacing w:after="0"/>
              <w:rPr>
                <w:sz w:val="20"/>
                <w:szCs w:val="20"/>
                <w:color w:val="auto"/>
              </w:rPr>
            </w:pPr>
            <w:r>
              <w:rPr>
                <w:rFonts w:ascii="Arial" w:cs="Arial" w:eastAsia="Arial" w:hAnsi="Arial"/>
                <w:sz w:val="14"/>
                <w:szCs w:val="14"/>
                <w:b w:val="1"/>
                <w:bCs w:val="1"/>
                <w:color w:val="auto"/>
                <w:w w:val="86"/>
              </w:rPr>
              <w:t>Proposed</w:t>
            </w:r>
          </w:p>
        </w:tc>
        <w:tc>
          <w:tcPr>
            <w:tcW w:w="10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r>
      <w:tr>
        <w:trPr>
          <w:trHeight w:val="162"/>
        </w:trPr>
        <w:tc>
          <w:tcPr>
            <w:tcW w:w="5180" w:type="dxa"/>
            <w:vAlign w:val="bottom"/>
          </w:tcPr>
          <w:p>
            <w:pPr>
              <w:spacing w:after="0"/>
              <w:rPr>
                <w:sz w:val="14"/>
                <w:szCs w:val="14"/>
                <w:color w:val="auto"/>
              </w:rPr>
            </w:pPr>
          </w:p>
        </w:tc>
        <w:tc>
          <w:tcPr>
            <w:tcW w:w="3420" w:type="dxa"/>
            <w:vAlign w:val="bottom"/>
          </w:tcPr>
          <w:p>
            <w:pPr>
              <w:jc w:val="center"/>
              <w:ind w:left="2030"/>
              <w:spacing w:after="0"/>
              <w:rPr>
                <w:sz w:val="20"/>
                <w:szCs w:val="20"/>
                <w:color w:val="auto"/>
              </w:rPr>
            </w:pPr>
            <w:r>
              <w:rPr>
                <w:rFonts w:ascii="Arial" w:cs="Arial" w:eastAsia="Arial" w:hAnsi="Arial"/>
                <w:sz w:val="14"/>
                <w:szCs w:val="14"/>
                <w:b w:val="1"/>
                <w:bCs w:val="1"/>
                <w:color w:val="auto"/>
                <w:w w:val="99"/>
              </w:rPr>
              <w:t>Maximum</w:t>
            </w: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180" w:type="dxa"/>
            <w:vAlign w:val="bottom"/>
          </w:tcPr>
          <w:p>
            <w:pPr>
              <w:spacing w:after="0"/>
              <w:rPr>
                <w:sz w:val="14"/>
                <w:szCs w:val="14"/>
                <w:color w:val="auto"/>
              </w:rPr>
            </w:pPr>
          </w:p>
        </w:tc>
        <w:tc>
          <w:tcPr>
            <w:tcW w:w="3420" w:type="dxa"/>
            <w:vAlign w:val="bottom"/>
          </w:tcPr>
          <w:p>
            <w:pPr>
              <w:jc w:val="center"/>
              <w:ind w:left="2030"/>
              <w:spacing w:after="0"/>
              <w:rPr>
                <w:sz w:val="20"/>
                <w:szCs w:val="20"/>
                <w:color w:val="auto"/>
              </w:rPr>
            </w:pPr>
            <w:r>
              <w:rPr>
                <w:rFonts w:ascii="Arial" w:cs="Arial" w:eastAsia="Arial" w:hAnsi="Arial"/>
                <w:sz w:val="14"/>
                <w:szCs w:val="14"/>
                <w:b w:val="1"/>
                <w:bCs w:val="1"/>
                <w:color w:val="auto"/>
                <w:w w:val="86"/>
              </w:rPr>
              <w:t>Aggregate</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Amount of</w:t>
            </w:r>
          </w:p>
        </w:tc>
      </w:tr>
      <w:tr>
        <w:trPr>
          <w:trHeight w:val="158"/>
        </w:trPr>
        <w:tc>
          <w:tcPr>
            <w:tcW w:w="5180" w:type="dxa"/>
            <w:vAlign w:val="bottom"/>
          </w:tcPr>
          <w:p>
            <w:pPr>
              <w:spacing w:after="0"/>
              <w:rPr>
                <w:sz w:val="13"/>
                <w:szCs w:val="13"/>
                <w:color w:val="auto"/>
              </w:rPr>
            </w:pPr>
          </w:p>
        </w:tc>
        <w:tc>
          <w:tcPr>
            <w:tcW w:w="3420" w:type="dxa"/>
            <w:vAlign w:val="bottom"/>
          </w:tcPr>
          <w:p>
            <w:pPr>
              <w:jc w:val="center"/>
              <w:ind w:left="2030"/>
              <w:spacing w:after="0" w:line="158" w:lineRule="exact"/>
              <w:rPr>
                <w:sz w:val="20"/>
                <w:szCs w:val="20"/>
                <w:color w:val="auto"/>
              </w:rPr>
            </w:pPr>
            <w:r>
              <w:rPr>
                <w:rFonts w:ascii="Arial" w:cs="Arial" w:eastAsia="Arial" w:hAnsi="Arial"/>
                <w:sz w:val="14"/>
                <w:szCs w:val="14"/>
                <w:b w:val="1"/>
                <w:bCs w:val="1"/>
                <w:color w:val="auto"/>
                <w:w w:val="95"/>
              </w:rPr>
              <w:t>Offering</w:t>
            </w:r>
          </w:p>
        </w:tc>
        <w:tc>
          <w:tcPr>
            <w:tcW w:w="11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8"/>
              </w:rPr>
              <w:t>Registration</w:t>
            </w:r>
          </w:p>
        </w:tc>
      </w:tr>
      <w:tr>
        <w:trPr>
          <w:trHeight w:val="216"/>
        </w:trPr>
        <w:tc>
          <w:tcPr>
            <w:tcW w:w="5180" w:type="dxa"/>
            <w:vAlign w:val="bottom"/>
          </w:tcPr>
          <w:p>
            <w:pPr>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3420" w:type="dxa"/>
            <w:vAlign w:val="bottom"/>
          </w:tcPr>
          <w:p>
            <w:pPr>
              <w:jc w:val="center"/>
              <w:ind w:left="2070"/>
              <w:spacing w:after="0" w:line="216" w:lineRule="exact"/>
              <w:rPr>
                <w:sz w:val="20"/>
                <w:szCs w:val="20"/>
                <w:color w:val="auto"/>
              </w:rPr>
            </w:pPr>
            <w:r>
              <w:rPr>
                <w:rFonts w:ascii="Arial" w:cs="Arial" w:eastAsia="Arial" w:hAnsi="Arial"/>
                <w:sz w:val="25"/>
                <w:szCs w:val="25"/>
                <w:b w:val="1"/>
                <w:bCs w:val="1"/>
                <w:color w:val="auto"/>
                <w:w w:val="85"/>
                <w:vertAlign w:val="subscript"/>
              </w:rPr>
              <w:t>Price</w:t>
            </w:r>
            <w:r>
              <w:rPr>
                <w:rFonts w:ascii="Arial" w:cs="Arial" w:eastAsia="Arial" w:hAnsi="Arial"/>
                <w:sz w:val="10"/>
                <w:szCs w:val="10"/>
                <w:b w:val="1"/>
                <w:bCs w:val="1"/>
                <w:color w:val="auto"/>
                <w:w w:val="85"/>
              </w:rPr>
              <w:t>(1)(2)</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Fee</w:t>
            </w:r>
          </w:p>
        </w:tc>
      </w:tr>
      <w:tr>
        <w:trPr>
          <w:trHeight w:val="220"/>
        </w:trPr>
        <w:tc>
          <w:tcPr>
            <w:tcW w:w="5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Common shares, par value €0.12 per share</w:t>
            </w:r>
          </w:p>
        </w:tc>
        <w:tc>
          <w:tcPr>
            <w:tcW w:w="34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6"/>
                <w:szCs w:val="16"/>
                <w:color w:val="auto"/>
              </w:rPr>
              <w:t>$ 595,771,558</w:t>
            </w:r>
          </w:p>
        </w:tc>
        <w:tc>
          <w:tcPr>
            <w:tcW w:w="10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6"/>
              </w:rPr>
              <w:t>$ 64,999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8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49" w:lineRule="exact"/>
        <w:rPr>
          <w:sz w:val="24"/>
          <w:szCs w:val="24"/>
          <w:color w:val="auto"/>
        </w:rPr>
      </w:pPr>
    </w:p>
    <w:p>
      <w:pPr>
        <w:ind w:left="1140" w:hanging="648"/>
        <w:spacing w:after="0"/>
        <w:tabs>
          <w:tab w:leader="none" w:pos="1140" w:val="left"/>
        </w:tabs>
        <w:numPr>
          <w:ilvl w:val="0"/>
          <w:numId w:val="2"/>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w:t>
      </w:r>
    </w:p>
    <w:p>
      <w:pPr>
        <w:spacing w:after="0" w:line="82" w:lineRule="exact"/>
        <w:rPr>
          <w:rFonts w:ascii="Arial" w:cs="Arial" w:eastAsia="Arial" w:hAnsi="Arial"/>
          <w:sz w:val="14"/>
          <w:szCs w:val="14"/>
          <w:color w:val="auto"/>
        </w:rPr>
      </w:pPr>
    </w:p>
    <w:p>
      <w:pPr>
        <w:ind w:left="1140" w:hanging="648"/>
        <w:spacing w:after="0"/>
        <w:tabs>
          <w:tab w:leader="none" w:pos="114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additional common shares that the underwriters have the option to purchase.</w:t>
      </w:r>
    </w:p>
    <w:p>
      <w:pPr>
        <w:spacing w:after="0" w:line="24" w:lineRule="exact"/>
        <w:rPr>
          <w:sz w:val="24"/>
          <w:szCs w:val="24"/>
          <w:color w:val="auto"/>
        </w:rPr>
      </w:pPr>
    </w:p>
    <w:p>
      <w:pPr>
        <w:jc w:val="both"/>
        <w:ind w:left="500" w:right="60" w:firstLine="648"/>
        <w:spacing w:after="0" w:line="276"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20955</wp:posOffset>
            </wp:positionV>
            <wp:extent cx="61893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8934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38100</wp:posOffset>
            </wp:positionV>
            <wp:extent cx="618934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89345" cy="260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312420</wp:posOffset>
            </wp:positionV>
            <wp:extent cx="68065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580" w:top="239" w:right="1099" w:bottom="1440" w:gutter="0" w:footer="0" w:header="0"/>
        </w:sectPr>
      </w:pPr>
    </w:p>
    <w:bookmarkStart w:id="1" w:name="page2"/>
    <w:bookmarkEnd w:id="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803" w:type="dxa"/>
        <w:tblCellMar>
          <w:top w:w="0" w:type="dxa"/>
          <w:left w:w="0" w:type="dxa"/>
          <w:bottom w:w="0" w:type="dxa"/>
          <w:right w:w="0" w:type="dxa"/>
        </w:tblCellMar>
      </w:tblPr>
      <w:tr>
        <w:trPr>
          <w:trHeight w:val="720"/>
        </w:trPr>
        <w:tc>
          <w:tcPr>
            <w:tcW w:w="392" w:type="dxa"/>
            <w:vAlign w:val="bottom"/>
            <w:textDirection w:val="btLr"/>
          </w:tcPr>
          <w:p>
            <w:pPr>
              <w:ind w:hanging="69"/>
              <w:spacing w:after="0" w:line="227" w:lineRule="auto"/>
              <w:rPr>
                <w:sz w:val="20"/>
                <w:szCs w:val="20"/>
                <w:color w:val="auto"/>
              </w:rPr>
            </w:pPr>
            <w:r>
              <w:rPr>
                <w:rFonts w:ascii="Arial" w:cs="Arial" w:eastAsia="Arial" w:hAnsi="Arial"/>
                <w:sz w:val="18"/>
                <w:szCs w:val="18"/>
                <w:color w:val="E45D50"/>
              </w:rPr>
              <w:t>securities with the</w:t>
            </w:r>
          </w:p>
        </w:tc>
      </w:tr>
    </w:tbl>
    <w:p>
      <w:pPr>
        <w:spacing w:after="0" w:line="20" w:lineRule="exact"/>
        <w:rPr>
          <w:sz w:val="20"/>
          <w:szCs w:val="20"/>
          <w:color w:val="auto"/>
        </w:rPr>
      </w:pPr>
    </w:p>
    <w:tbl>
      <w:tblPr>
        <w:tblLayout w:type="fixed"/>
        <w:tblInd w:w="803" w:type="dxa"/>
        <w:tblCellMar>
          <w:top w:w="0" w:type="dxa"/>
          <w:left w:w="0" w:type="dxa"/>
          <w:bottom w:w="0" w:type="dxa"/>
          <w:right w:w="0" w:type="dxa"/>
        </w:tblCellMar>
      </w:tblPr>
      <w:tr>
        <w:trPr>
          <w:trHeight w:val="11340"/>
        </w:trPr>
        <w:tc>
          <w:tcPr>
            <w:tcW w:w="554" w:type="dxa"/>
            <w:vAlign w:val="bottom"/>
            <w:textDirection w:val="btLr"/>
          </w:tcPr>
          <w:p>
            <w:pPr>
              <w:spacing w:after="0" w:line="214" w:lineRule="auto"/>
              <w:rPr>
                <w:sz w:val="20"/>
                <w:szCs w:val="20"/>
                <w:color w:val="auto"/>
              </w:rPr>
            </w:pPr>
            <w:r>
              <w:rPr>
                <w:rFonts w:ascii="Arial" w:cs="Arial" w:eastAsia="Arial" w:hAnsi="Arial"/>
                <w:sz w:val="18"/>
                <w:szCs w:val="18"/>
                <w:color w:val="E45D50"/>
              </w:rPr>
              <w:t>in any state or jurisdiction where the offer or sale is not permitted. Securities and Exchange Commission is effective. This prospectus is not an offer to sell these securities and it is not soliciting an offer to buy these The information in this prospectus is not complete and may be changed. We may not sell these securities until the registration statement filed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E45D50"/>
        </w:rPr>
        <w:t>SUBJECT TO COMPLETION,</w:t>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E45D50"/>
        </w:rPr>
        <w:t>Preliminary Prospectus dated January 25, 2021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color w:val="auto"/>
        </w:rPr>
        <w:t>5,000,000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127000</wp:posOffset>
            </wp:positionV>
            <wp:extent cx="2468880" cy="8655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68880"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Common Shares</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CureVac N.V.</w:t>
      </w: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(incorporated in the 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2094230</wp:posOffset>
            </wp:positionH>
            <wp:positionV relativeFrom="paragraph">
              <wp:posOffset>229235</wp:posOffset>
            </wp:positionV>
            <wp:extent cx="1028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both"/>
        <w:ind w:right="259" w:firstLine="648"/>
        <w:spacing w:after="0" w:line="255" w:lineRule="auto"/>
        <w:rPr>
          <w:sz w:val="20"/>
          <w:szCs w:val="20"/>
          <w:color w:val="auto"/>
        </w:rPr>
      </w:pPr>
      <w:r>
        <w:rPr>
          <w:rFonts w:ascii="Arial" w:cs="Arial" w:eastAsia="Arial" w:hAnsi="Arial"/>
          <w:sz w:val="17"/>
          <w:szCs w:val="17"/>
          <w:color w:val="auto"/>
        </w:rPr>
        <w:t>All of the 5,000,000 common shares in this offering are being sold by the Company. Our common shares are traded on The Nasdaq Global Market under the symbol “CVAC.” On January 22, 2021, the last reported sale price of our common shares on The Nasdaq Global Market was $102.69 per common share.</w:t>
      </w:r>
    </w:p>
    <w:p>
      <w:pPr>
        <w:ind w:right="339"/>
        <w:spacing w:after="0" w:line="239" w:lineRule="auto"/>
        <w:rPr>
          <w:sz w:val="20"/>
          <w:szCs w:val="20"/>
          <w:color w:val="auto"/>
        </w:rPr>
      </w:pPr>
      <w:r>
        <w:rPr>
          <w:rFonts w:ascii="Arial" w:cs="Arial" w:eastAsia="Arial" w:hAnsi="Arial"/>
          <w:sz w:val="18"/>
          <w:szCs w:val="18"/>
          <w:color w:val="auto"/>
        </w:rPr>
        <w:t>The public offering price will be determined through negotiation between us and the underwriters for this offering and the recent market price used throughout this prospectus may not be indicative of the actual offering price.</w:t>
      </w:r>
    </w:p>
    <w:p>
      <w:pPr>
        <w:spacing w:after="0" w:line="64" w:lineRule="exact"/>
        <w:rPr>
          <w:sz w:val="20"/>
          <w:szCs w:val="20"/>
          <w:color w:val="auto"/>
        </w:rPr>
      </w:pPr>
    </w:p>
    <w:p>
      <w:pPr>
        <w:ind w:right="119" w:firstLine="648"/>
        <w:spacing w:after="0" w:line="245" w:lineRule="auto"/>
        <w:rPr>
          <w:sz w:val="20"/>
          <w:szCs w:val="20"/>
          <w:color w:val="auto"/>
        </w:rPr>
      </w:pPr>
      <w:r>
        <w:rPr>
          <w:rFonts w:ascii="Arial" w:cs="Arial" w:eastAsia="Arial" w:hAnsi="Arial"/>
          <w:sz w:val="18"/>
          <w:szCs w:val="18"/>
          <w:b w:val="1"/>
          <w:bCs w:val="1"/>
          <w:color w:val="auto"/>
        </w:rPr>
        <w:t>We are both an “emerging growth company” and a “foreign private issuer” as defined under the U.S. federal securities laws and, as such, will be subject to reduced public company reporting requirements. See “Prospectus Summary — Implications of Being an Emerging Growth Company” and “— Implications of Being a Foreign Private Issuer.”</w:t>
      </w:r>
    </w:p>
    <w:p>
      <w:pPr>
        <w:spacing w:after="0" w:line="59" w:lineRule="exact"/>
        <w:rPr>
          <w:sz w:val="20"/>
          <w:szCs w:val="20"/>
          <w:color w:val="auto"/>
        </w:rPr>
      </w:pPr>
    </w:p>
    <w:p>
      <w:pPr>
        <w:ind w:right="699" w:firstLine="648"/>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our common shares involves risks. See “Risk Factors” beginning on page </w:t>
      </w:r>
      <w:hyperlink w:anchor="page19">
        <w:r>
          <w:rPr>
            <w:rFonts w:ascii="Arial" w:cs="Arial" w:eastAsia="Arial" w:hAnsi="Arial"/>
            <w:sz w:val="18"/>
            <w:szCs w:val="18"/>
            <w:b w:val="1"/>
            <w:bCs w:val="1"/>
            <w:u w:val="single" w:color="auto"/>
            <w:color w:val="0000EE"/>
          </w:rPr>
          <w:t>15</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of this prospectus.</w:t>
      </w:r>
    </w:p>
    <w:p>
      <w:pPr>
        <w:spacing w:after="0" w:line="104"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574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Per Share</w:t>
            </w: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r>
      <w:tr>
        <w:trPr>
          <w:trHeight w:val="25"/>
        </w:trPr>
        <w:tc>
          <w:tcPr>
            <w:tcW w:w="57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5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r>
      <w:tr>
        <w:trPr>
          <w:trHeight w:val="270"/>
        </w:trPr>
        <w:tc>
          <w:tcPr>
            <w:tcW w:w="5740" w:type="dxa"/>
            <w:vAlign w:val="bottom"/>
          </w:tcPr>
          <w:p>
            <w:pPr>
              <w:spacing w:after="0" w:line="270" w:lineRule="exact"/>
              <w:rPr>
                <w:sz w:val="20"/>
                <w:szCs w:val="20"/>
                <w:color w:val="auto"/>
              </w:rPr>
            </w:pPr>
            <w:r>
              <w:rPr>
                <w:rFonts w:ascii="Arial" w:cs="Arial" w:eastAsia="Arial" w:hAnsi="Arial"/>
                <w:sz w:val="18"/>
                <w:szCs w:val="18"/>
                <w:color w:val="auto"/>
              </w:rPr>
              <w:t>Underwriting discounts</w:t>
            </w:r>
            <w:r>
              <w:rPr>
                <w:rFonts w:ascii="Arial" w:cs="Arial" w:eastAsia="Arial" w:hAnsi="Arial"/>
                <w:sz w:val="26"/>
                <w:szCs w:val="26"/>
                <w:color w:val="auto"/>
                <w:vertAlign w:val="superscript"/>
              </w:rPr>
              <w:t>(1)</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3"/>
                <w:szCs w:val="23"/>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79"/>
              </w:rPr>
              <w:t>$</w:t>
            </w:r>
          </w:p>
        </w:tc>
      </w:tr>
      <w:tr>
        <w:trPr>
          <w:trHeight w:val="257"/>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-505460</wp:posOffset>
            </wp:positionV>
            <wp:extent cx="41744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174490" cy="889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146050</wp:posOffset>
            </wp:positionV>
            <wp:extent cx="16459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48" w:lineRule="exact"/>
        <w:rPr>
          <w:sz w:val="20"/>
          <w:szCs w:val="20"/>
          <w:color w:val="auto"/>
        </w:rPr>
      </w:pPr>
    </w:p>
    <w:p>
      <w:pPr>
        <w:ind w:left="1300" w:right="199" w:hanging="648"/>
        <w:spacing w:after="0" w:line="275" w:lineRule="auto"/>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We refer you to “Underwriting” beginning on page </w:t>
      </w:r>
      <w:hyperlink w:anchor="page305">
        <w:r>
          <w:rPr>
            <w:rFonts w:ascii="Arial" w:cs="Arial" w:eastAsia="Arial" w:hAnsi="Arial"/>
            <w:sz w:val="16"/>
            <w:szCs w:val="16"/>
            <w:u w:val="single" w:color="auto"/>
            <w:color w:val="0000EE"/>
          </w:rPr>
          <w:t>301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prospectus for additional information regarding underwriting compensation.</w:t>
      </w:r>
    </w:p>
    <w:p>
      <w:pPr>
        <w:spacing w:after="0" w:line="46" w:lineRule="exact"/>
        <w:rPr>
          <w:sz w:val="20"/>
          <w:szCs w:val="20"/>
          <w:color w:val="auto"/>
        </w:rPr>
      </w:pPr>
    </w:p>
    <w:p>
      <w:pPr>
        <w:ind w:right="139" w:firstLine="648"/>
        <w:spacing w:after="0" w:line="248" w:lineRule="auto"/>
        <w:rPr>
          <w:sz w:val="20"/>
          <w:szCs w:val="20"/>
          <w:color w:val="auto"/>
        </w:rPr>
      </w:pPr>
      <w:r>
        <w:rPr>
          <w:rFonts w:ascii="Arial" w:cs="Arial" w:eastAsia="Arial" w:hAnsi="Arial"/>
          <w:sz w:val="18"/>
          <w:szCs w:val="18"/>
          <w:color w:val="auto"/>
        </w:rPr>
        <w:t>The underwriters may exercise their option to purchase up to an additional 750,000 common shares from us, at the public offering price, less the underwriting discount, for 30 days after the date of this prospectus.</w:t>
      </w:r>
    </w:p>
    <w:p>
      <w:pPr>
        <w:spacing w:after="0" w:line="47" w:lineRule="exact"/>
        <w:rPr>
          <w:sz w:val="20"/>
          <w:szCs w:val="20"/>
          <w:color w:val="auto"/>
        </w:rPr>
      </w:pPr>
    </w:p>
    <w:p>
      <w:pPr>
        <w:jc w:val="both"/>
        <w:ind w:right="419" w:firstLine="648"/>
        <w:spacing w:after="0" w:line="248" w:lineRule="auto"/>
        <w:rPr>
          <w:sz w:val="20"/>
          <w:szCs w:val="20"/>
          <w:color w:val="auto"/>
        </w:rPr>
      </w:pPr>
      <w:r>
        <w:rPr>
          <w:rFonts w:ascii="Arial" w:cs="Arial" w:eastAsia="Arial" w:hAnsi="Arial"/>
          <w:sz w:val="18"/>
          <w:szCs w:val="18"/>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6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The common shares will be ready for delivery on or about</w:t>
            </w:r>
          </w:p>
        </w:tc>
        <w:tc>
          <w:tcPr>
            <w:tcW w:w="100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2094230</wp:posOffset>
            </wp:positionH>
            <wp:positionV relativeFrom="paragraph">
              <wp:posOffset>213995</wp:posOffset>
            </wp:positionV>
            <wp:extent cx="1028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421"/>
        </w:trPr>
        <w:tc>
          <w:tcPr>
            <w:tcW w:w="2460" w:type="dxa"/>
            <w:vAlign w:val="bottom"/>
          </w:tcPr>
          <w:p>
            <w:pPr>
              <w:spacing w:after="0"/>
              <w:rPr>
                <w:sz w:val="20"/>
                <w:szCs w:val="20"/>
                <w:color w:val="auto"/>
              </w:rPr>
            </w:pPr>
            <w:r>
              <w:rPr>
                <w:rFonts w:ascii="Arial" w:cs="Arial" w:eastAsia="Arial" w:hAnsi="Arial"/>
                <w:sz w:val="32"/>
                <w:szCs w:val="32"/>
                <w:b w:val="1"/>
                <w:bCs w:val="1"/>
                <w:color w:val="auto"/>
              </w:rPr>
              <w:t>BofA Securities</w:t>
            </w:r>
          </w:p>
        </w:tc>
        <w:tc>
          <w:tcPr>
            <w:tcW w:w="840" w:type="dxa"/>
            <w:vAlign w:val="bottom"/>
          </w:tcPr>
          <w:p>
            <w:pPr>
              <w:spacing w:after="0"/>
              <w:rPr>
                <w:sz w:val="24"/>
                <w:szCs w:val="24"/>
                <w:color w:val="auto"/>
              </w:rPr>
            </w:pPr>
          </w:p>
        </w:tc>
        <w:tc>
          <w:tcPr>
            <w:tcW w:w="1880" w:type="dxa"/>
            <w:vAlign w:val="bottom"/>
            <w:gridSpan w:val="2"/>
          </w:tcPr>
          <w:p>
            <w:pPr>
              <w:ind w:left="260"/>
              <w:spacing w:after="0"/>
              <w:rPr>
                <w:sz w:val="20"/>
                <w:szCs w:val="20"/>
                <w:color w:val="auto"/>
              </w:rPr>
            </w:pPr>
            <w:r>
              <w:rPr>
                <w:rFonts w:ascii="Arial" w:cs="Arial" w:eastAsia="Arial" w:hAnsi="Arial"/>
                <w:sz w:val="32"/>
                <w:szCs w:val="32"/>
                <w:b w:val="1"/>
                <w:bCs w:val="1"/>
                <w:color w:val="auto"/>
              </w:rPr>
              <w:t>Jefferies</w:t>
            </w:r>
          </w:p>
        </w:tc>
        <w:tc>
          <w:tcPr>
            <w:tcW w:w="3040" w:type="dxa"/>
            <w:vAlign w:val="bottom"/>
          </w:tcPr>
          <w:p>
            <w:pPr>
              <w:jc w:val="right"/>
              <w:spacing w:after="0"/>
              <w:rPr>
                <w:sz w:val="20"/>
                <w:szCs w:val="20"/>
                <w:color w:val="auto"/>
              </w:rPr>
            </w:pPr>
            <w:r>
              <w:rPr>
                <w:rFonts w:ascii="Arial" w:cs="Arial" w:eastAsia="Arial" w:hAnsi="Arial"/>
                <w:sz w:val="32"/>
                <w:szCs w:val="32"/>
                <w:b w:val="1"/>
                <w:bCs w:val="1"/>
                <w:color w:val="auto"/>
              </w:rPr>
              <w:t>Evercore ISI</w:t>
            </w:r>
          </w:p>
        </w:tc>
      </w:tr>
      <w:tr>
        <w:trPr>
          <w:trHeight w:val="331"/>
        </w:trPr>
        <w:tc>
          <w:tcPr>
            <w:tcW w:w="2460" w:type="dxa"/>
            <w:vAlign w:val="bottom"/>
          </w:tcPr>
          <w:p>
            <w:pPr>
              <w:spacing w:after="0"/>
              <w:rPr>
                <w:sz w:val="20"/>
                <w:szCs w:val="20"/>
                <w:color w:val="auto"/>
              </w:rPr>
            </w:pPr>
            <w:r>
              <w:rPr>
                <w:rFonts w:ascii="Arial" w:cs="Arial" w:eastAsia="Arial" w:hAnsi="Arial"/>
                <w:sz w:val="25"/>
                <w:szCs w:val="25"/>
                <w:b w:val="1"/>
                <w:bCs w:val="1"/>
                <w:color w:val="auto"/>
                <w:w w:val="93"/>
              </w:rPr>
              <w:t>UBS Investment Bank</w:t>
            </w:r>
          </w:p>
        </w:tc>
        <w:tc>
          <w:tcPr>
            <w:tcW w:w="2720" w:type="dxa"/>
            <w:vAlign w:val="bottom"/>
            <w:gridSpan w:val="3"/>
          </w:tcPr>
          <w:p>
            <w:pPr>
              <w:ind w:left="160"/>
              <w:spacing w:after="0"/>
              <w:rPr>
                <w:sz w:val="20"/>
                <w:szCs w:val="20"/>
                <w:color w:val="auto"/>
              </w:rPr>
            </w:pPr>
            <w:r>
              <w:rPr>
                <w:rFonts w:ascii="Arial" w:cs="Arial" w:eastAsia="Arial" w:hAnsi="Arial"/>
                <w:sz w:val="25"/>
                <w:szCs w:val="25"/>
                <w:b w:val="1"/>
                <w:bCs w:val="1"/>
                <w:color w:val="auto"/>
                <w:w w:val="90"/>
              </w:rPr>
              <w:t>Guggenheim Securities</w:t>
            </w:r>
          </w:p>
        </w:tc>
        <w:tc>
          <w:tcPr>
            <w:tcW w:w="3040" w:type="dxa"/>
            <w:vAlign w:val="bottom"/>
          </w:tcPr>
          <w:p>
            <w:pPr>
              <w:jc w:val="right"/>
              <w:spacing w:after="0"/>
              <w:rPr>
                <w:sz w:val="20"/>
                <w:szCs w:val="20"/>
                <w:color w:val="auto"/>
              </w:rPr>
            </w:pPr>
            <w:r>
              <w:rPr>
                <w:rFonts w:ascii="Arial" w:cs="Arial" w:eastAsia="Arial" w:hAnsi="Arial"/>
                <w:sz w:val="25"/>
                <w:szCs w:val="25"/>
                <w:b w:val="1"/>
                <w:bCs w:val="1"/>
                <w:color w:val="auto"/>
                <w:w w:val="99"/>
              </w:rPr>
              <w:t>Berenberg  Kempen &amp; Co</w:t>
            </w:r>
          </w:p>
        </w:tc>
      </w:tr>
      <w:tr>
        <w:trPr>
          <w:trHeight w:val="329"/>
        </w:trPr>
        <w:tc>
          <w:tcPr>
            <w:tcW w:w="3300" w:type="dxa"/>
            <w:vAlign w:val="bottom"/>
            <w:gridSpan w:val="2"/>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385"/>
        </w:trPr>
        <w:tc>
          <w:tcPr>
            <w:tcW w:w="5180" w:type="dxa"/>
            <w:vAlign w:val="bottom"/>
            <w:gridSpan w:val="4"/>
          </w:tcPr>
          <w:p>
            <w:pPr>
              <w:ind w:left="2020"/>
              <w:spacing w:after="0"/>
              <w:rPr>
                <w:sz w:val="20"/>
                <w:szCs w:val="20"/>
                <w:color w:val="auto"/>
              </w:rPr>
            </w:pPr>
            <w:r>
              <w:rPr>
                <w:rFonts w:ascii="Arial" w:cs="Arial" w:eastAsia="Arial" w:hAnsi="Arial"/>
                <w:sz w:val="18"/>
                <w:szCs w:val="18"/>
                <w:color w:val="auto"/>
              </w:rPr>
              <w:t>The date of this prospectus is</w:t>
            </w:r>
          </w:p>
        </w:tc>
        <w:tc>
          <w:tcPr>
            <w:tcW w:w="3040" w:type="dxa"/>
            <w:vAlign w:val="bottom"/>
          </w:tcPr>
          <w:p>
            <w:pPr>
              <w:jc w:val="right"/>
              <w:ind w:right="1894"/>
              <w:spacing w:after="0"/>
              <w:rPr>
                <w:sz w:val="20"/>
                <w:szCs w:val="20"/>
                <w:color w:val="auto"/>
              </w:rPr>
            </w:pPr>
            <w:r>
              <w:rPr>
                <w:rFonts w:ascii="Arial" w:cs="Arial" w:eastAsia="Arial" w:hAnsi="Arial"/>
                <w:sz w:val="18"/>
                <w:szCs w:val="18"/>
                <w:color w:val="auto"/>
              </w:rPr>
              <w:t>,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51435</wp:posOffset>
            </wp:positionV>
            <wp:extent cx="68065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2">
            <w:col w:w="1357" w:space="223"/>
            <w:col w:w="8299"/>
          </w:cols>
          <w:pgMar w:left="580" w:top="131" w:right="1440" w:bottom="1440" w:gutter="0" w:footer="0" w:header="0"/>
          <w:type w:val="continuous"/>
        </w:sectPr>
      </w:pPr>
    </w:p>
    <w:bookmarkStart w:id="2" w:name="page3"/>
    <w:bookmarkEnd w:id="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TABLE OF CONTENTS</w:t>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788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26"/>
        </w:trPr>
        <w:tc>
          <w:tcPr>
            <w:tcW w:w="7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50"/>
        </w:trPr>
        <w:tc>
          <w:tcPr>
            <w:tcW w:w="7880" w:type="dxa"/>
            <w:vAlign w:val="bottom"/>
            <w:shd w:val="clear" w:color="auto" w:fill="CCEEFF"/>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Prospectus Summary</w:t>
              </w:r>
            </w:hyperlink>
          </w:p>
        </w:tc>
        <w:tc>
          <w:tcPr>
            <w:tcW w:w="320" w:type="dxa"/>
            <w:vAlign w:val="bottom"/>
            <w:shd w:val="clear" w:color="auto" w:fill="CCEEFF"/>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1</w:t>
              </w:r>
            </w:hyperlink>
          </w:p>
        </w:tc>
      </w:tr>
      <w:tr>
        <w:trPr>
          <w:trHeight w:val="257"/>
        </w:trPr>
        <w:tc>
          <w:tcPr>
            <w:tcW w:w="7880" w:type="dxa"/>
            <w:vAlign w:val="bottom"/>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Risk Factors</w:t>
              </w:r>
            </w:hyperlink>
          </w:p>
        </w:tc>
        <w:tc>
          <w:tcPr>
            <w:tcW w:w="320" w:type="dxa"/>
            <w:vAlign w:val="bottom"/>
          </w:tcPr>
          <w:p>
            <w:pPr>
              <w:jc w:val="right"/>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15</w:t>
              </w:r>
            </w:hyperlink>
          </w:p>
        </w:tc>
      </w:tr>
      <w:tr>
        <w:trPr>
          <w:trHeight w:val="257"/>
        </w:trPr>
        <w:tc>
          <w:tcPr>
            <w:tcW w:w="7880" w:type="dxa"/>
            <w:vAlign w:val="bottom"/>
            <w:shd w:val="clear" w:color="auto" w:fill="CCEEFF"/>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Cautionary Statement Regarding Forward-Looking Statements</w:t>
              </w:r>
            </w:hyperlink>
          </w:p>
        </w:tc>
        <w:tc>
          <w:tcPr>
            <w:tcW w:w="320" w:type="dxa"/>
            <w:vAlign w:val="bottom"/>
            <w:shd w:val="clear" w:color="auto" w:fill="CCEEFF"/>
          </w:tcPr>
          <w:p>
            <w:pPr>
              <w:jc w:val="right"/>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85</w:t>
              </w:r>
            </w:hyperlink>
          </w:p>
        </w:tc>
      </w:tr>
      <w:tr>
        <w:trPr>
          <w:trHeight w:val="270"/>
        </w:trPr>
        <w:tc>
          <w:tcPr>
            <w:tcW w:w="7880" w:type="dxa"/>
            <w:vAlign w:val="bottom"/>
          </w:tcPr>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Use of Proceeds</w:t>
              </w:r>
            </w:hyperlink>
          </w:p>
        </w:tc>
        <w:tc>
          <w:tcPr>
            <w:tcW w:w="320" w:type="dxa"/>
            <w:vAlign w:val="bottom"/>
          </w:tcPr>
          <w:p>
            <w:pPr>
              <w:jc w:val="right"/>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87</w:t>
              </w:r>
            </w:hyperlink>
          </w:p>
        </w:tc>
      </w:tr>
      <w:tr>
        <w:trPr>
          <w:trHeight w:val="270"/>
        </w:trPr>
        <w:tc>
          <w:tcPr>
            <w:tcW w:w="7880" w:type="dxa"/>
            <w:vAlign w:val="bottom"/>
            <w:shd w:val="clear" w:color="auto" w:fill="CCEEFF"/>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Dividend Policy</w:t>
              </w:r>
            </w:hyperlink>
          </w:p>
        </w:tc>
        <w:tc>
          <w:tcPr>
            <w:tcW w:w="320" w:type="dxa"/>
            <w:vAlign w:val="bottom"/>
            <w:shd w:val="clear" w:color="auto" w:fill="CCEEFF"/>
          </w:tcPr>
          <w:p>
            <w:pPr>
              <w:jc w:val="right"/>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89</w:t>
              </w:r>
            </w:hyperlink>
          </w:p>
        </w:tc>
      </w:tr>
      <w:tr>
        <w:trPr>
          <w:trHeight w:val="270"/>
        </w:trPr>
        <w:tc>
          <w:tcPr>
            <w:tcW w:w="7880" w:type="dxa"/>
            <w:vAlign w:val="bottom"/>
          </w:tcPr>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Corporate Reorganization</w:t>
              </w:r>
            </w:hyperlink>
          </w:p>
        </w:tc>
        <w:tc>
          <w:tcPr>
            <w:tcW w:w="320" w:type="dxa"/>
            <w:vAlign w:val="bottom"/>
          </w:tcPr>
          <w:p>
            <w:pPr>
              <w:jc w:val="right"/>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90</w:t>
              </w:r>
            </w:hyperlink>
          </w:p>
        </w:tc>
      </w:tr>
      <w:tr>
        <w:trPr>
          <w:trHeight w:val="270"/>
        </w:trPr>
        <w:tc>
          <w:tcPr>
            <w:tcW w:w="7880" w:type="dxa"/>
            <w:vAlign w:val="bottom"/>
            <w:shd w:val="clear" w:color="auto" w:fill="CCEEFF"/>
          </w:tcPr>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Capitalization</w:t>
              </w:r>
            </w:hyperlink>
          </w:p>
        </w:tc>
        <w:tc>
          <w:tcPr>
            <w:tcW w:w="320" w:type="dxa"/>
            <w:vAlign w:val="bottom"/>
            <w:shd w:val="clear" w:color="auto" w:fill="CCEEFF"/>
          </w:tcPr>
          <w:p>
            <w:pPr>
              <w:jc w:val="right"/>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91</w:t>
              </w:r>
            </w:hyperlink>
          </w:p>
        </w:tc>
      </w:tr>
      <w:tr>
        <w:trPr>
          <w:trHeight w:val="270"/>
        </w:trPr>
        <w:tc>
          <w:tcPr>
            <w:tcW w:w="7880" w:type="dxa"/>
            <w:vAlign w:val="bottom"/>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Dilution</w:t>
              </w:r>
            </w:hyperlink>
          </w:p>
        </w:tc>
        <w:tc>
          <w:tcPr>
            <w:tcW w:w="320" w:type="dxa"/>
            <w:vAlign w:val="bottom"/>
          </w:tcPr>
          <w:p>
            <w:pPr>
              <w:jc w:val="right"/>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92</w:t>
              </w:r>
            </w:hyperlink>
          </w:p>
        </w:tc>
      </w:tr>
      <w:tr>
        <w:trPr>
          <w:trHeight w:val="270"/>
        </w:trPr>
        <w:tc>
          <w:tcPr>
            <w:tcW w:w="7880" w:type="dxa"/>
            <w:vAlign w:val="bottom"/>
            <w:shd w:val="clear" w:color="auto" w:fill="CCEEFF"/>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Selected Consolidated Financial Information</w:t>
              </w:r>
            </w:hyperlink>
          </w:p>
        </w:tc>
        <w:tc>
          <w:tcPr>
            <w:tcW w:w="320" w:type="dxa"/>
            <w:vAlign w:val="bottom"/>
            <w:shd w:val="clear" w:color="auto" w:fill="CCEEFF"/>
          </w:tcPr>
          <w:p>
            <w:pPr>
              <w:jc w:val="right"/>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93</w:t>
              </w:r>
            </w:hyperlink>
          </w:p>
        </w:tc>
      </w:tr>
      <w:tr>
        <w:trPr>
          <w:trHeight w:val="270"/>
        </w:trPr>
        <w:tc>
          <w:tcPr>
            <w:tcW w:w="7880" w:type="dxa"/>
            <w:vAlign w:val="bottom"/>
          </w:tcPr>
          <w:p>
            <w:pPr>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Management’s Discussion and Analysis of Financial Condition and Results of Operations</w:t>
              </w:r>
            </w:hyperlink>
          </w:p>
        </w:tc>
        <w:tc>
          <w:tcPr>
            <w:tcW w:w="320" w:type="dxa"/>
            <w:vAlign w:val="bottom"/>
          </w:tcPr>
          <w:p>
            <w:pPr>
              <w:jc w:val="right"/>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95</w:t>
              </w:r>
            </w:hyperlink>
          </w:p>
        </w:tc>
      </w:tr>
      <w:tr>
        <w:trPr>
          <w:trHeight w:val="270"/>
        </w:trPr>
        <w:tc>
          <w:tcPr>
            <w:tcW w:w="7880" w:type="dxa"/>
            <w:vAlign w:val="bottom"/>
            <w:shd w:val="clear" w:color="auto" w:fill="CCEEFF"/>
          </w:tcPr>
          <w:p>
            <w:pPr>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Business</w:t>
              </w:r>
            </w:hyperlink>
          </w:p>
        </w:tc>
        <w:tc>
          <w:tcPr>
            <w:tcW w:w="320" w:type="dxa"/>
            <w:vAlign w:val="bottom"/>
            <w:shd w:val="clear" w:color="auto" w:fill="CCEEFF"/>
          </w:tcPr>
          <w:p>
            <w:pPr>
              <w:jc w:val="right"/>
              <w:spacing w:after="0"/>
              <w:rPr>
                <w:rFonts w:ascii="Arial" w:cs="Arial" w:eastAsia="Arial" w:hAnsi="Arial"/>
                <w:sz w:val="18"/>
                <w:szCs w:val="18"/>
                <w:u w:val="single" w:color="auto"/>
                <w:color w:val="0000EE"/>
                <w:w w:val="93"/>
              </w:rPr>
            </w:pPr>
            <w:hyperlink w:anchor="page126">
              <w:r>
                <w:rPr>
                  <w:rFonts w:ascii="Arial" w:cs="Arial" w:eastAsia="Arial" w:hAnsi="Arial"/>
                  <w:sz w:val="18"/>
                  <w:szCs w:val="18"/>
                  <w:u w:val="single" w:color="auto"/>
                  <w:color w:val="0000EE"/>
                  <w:w w:val="93"/>
                </w:rPr>
                <w:t>122</w:t>
              </w:r>
            </w:hyperlink>
          </w:p>
        </w:tc>
      </w:tr>
      <w:tr>
        <w:trPr>
          <w:trHeight w:val="270"/>
        </w:trPr>
        <w:tc>
          <w:tcPr>
            <w:tcW w:w="7880" w:type="dxa"/>
            <w:vAlign w:val="bottom"/>
          </w:tcPr>
          <w:p>
            <w:pPr>
              <w:spacing w:after="0"/>
              <w:rPr>
                <w:rFonts w:ascii="Arial" w:cs="Arial" w:eastAsia="Arial" w:hAnsi="Arial"/>
                <w:sz w:val="18"/>
                <w:szCs w:val="18"/>
                <w:u w:val="single" w:color="auto"/>
                <w:color w:val="0000EE"/>
              </w:rPr>
            </w:pPr>
            <w:hyperlink w:anchor="page243">
              <w:r>
                <w:rPr>
                  <w:rFonts w:ascii="Arial" w:cs="Arial" w:eastAsia="Arial" w:hAnsi="Arial"/>
                  <w:sz w:val="18"/>
                  <w:szCs w:val="18"/>
                  <w:u w:val="single" w:color="auto"/>
                  <w:color w:val="0000EE"/>
                </w:rPr>
                <w:t>Management</w:t>
              </w:r>
            </w:hyperlink>
          </w:p>
        </w:tc>
        <w:tc>
          <w:tcPr>
            <w:tcW w:w="320" w:type="dxa"/>
            <w:vAlign w:val="bottom"/>
          </w:tcPr>
          <w:p>
            <w:pPr>
              <w:jc w:val="right"/>
              <w:spacing w:after="0"/>
              <w:rPr>
                <w:rFonts w:ascii="Arial" w:cs="Arial" w:eastAsia="Arial" w:hAnsi="Arial"/>
                <w:sz w:val="18"/>
                <w:szCs w:val="18"/>
                <w:u w:val="single" w:color="auto"/>
                <w:color w:val="0000EE"/>
                <w:w w:val="93"/>
              </w:rPr>
            </w:pPr>
            <w:hyperlink w:anchor="page243">
              <w:r>
                <w:rPr>
                  <w:rFonts w:ascii="Arial" w:cs="Arial" w:eastAsia="Arial" w:hAnsi="Arial"/>
                  <w:sz w:val="18"/>
                  <w:szCs w:val="18"/>
                  <w:u w:val="single" w:color="auto"/>
                  <w:color w:val="0000EE"/>
                  <w:w w:val="93"/>
                </w:rPr>
                <w:t>239</w:t>
              </w:r>
            </w:hyperlink>
          </w:p>
        </w:tc>
      </w:tr>
      <w:tr>
        <w:trPr>
          <w:trHeight w:val="270"/>
        </w:trPr>
        <w:tc>
          <w:tcPr>
            <w:tcW w:w="7880" w:type="dxa"/>
            <w:vAlign w:val="bottom"/>
            <w:shd w:val="clear" w:color="auto" w:fill="CCEEFF"/>
          </w:tcPr>
          <w:p>
            <w:pPr>
              <w:spacing w:after="0"/>
              <w:rPr>
                <w:rFonts w:ascii="Arial" w:cs="Arial" w:eastAsia="Arial" w:hAnsi="Arial"/>
                <w:sz w:val="18"/>
                <w:szCs w:val="18"/>
                <w:u w:val="single" w:color="auto"/>
                <w:color w:val="0000EE"/>
              </w:rPr>
            </w:pPr>
            <w:hyperlink w:anchor="page258">
              <w:r>
                <w:rPr>
                  <w:rFonts w:ascii="Arial" w:cs="Arial" w:eastAsia="Arial" w:hAnsi="Arial"/>
                  <w:sz w:val="18"/>
                  <w:szCs w:val="18"/>
                  <w:u w:val="single" w:color="auto"/>
                  <w:color w:val="0000EE"/>
                </w:rPr>
                <w:t>Principal Shareholders</w:t>
              </w:r>
            </w:hyperlink>
          </w:p>
        </w:tc>
        <w:tc>
          <w:tcPr>
            <w:tcW w:w="320" w:type="dxa"/>
            <w:vAlign w:val="bottom"/>
            <w:shd w:val="clear" w:color="auto" w:fill="CCEEFF"/>
          </w:tcPr>
          <w:p>
            <w:pPr>
              <w:jc w:val="right"/>
              <w:spacing w:after="0"/>
              <w:rPr>
                <w:rFonts w:ascii="Arial" w:cs="Arial" w:eastAsia="Arial" w:hAnsi="Arial"/>
                <w:sz w:val="18"/>
                <w:szCs w:val="18"/>
                <w:u w:val="single" w:color="auto"/>
                <w:color w:val="0000EE"/>
                <w:w w:val="93"/>
              </w:rPr>
            </w:pPr>
            <w:hyperlink w:anchor="page258">
              <w:r>
                <w:rPr>
                  <w:rFonts w:ascii="Arial" w:cs="Arial" w:eastAsia="Arial" w:hAnsi="Arial"/>
                  <w:sz w:val="18"/>
                  <w:szCs w:val="18"/>
                  <w:u w:val="single" w:color="auto"/>
                  <w:color w:val="0000EE"/>
                  <w:w w:val="93"/>
                </w:rPr>
                <w:t>254</w:t>
              </w:r>
            </w:hyperlink>
          </w:p>
        </w:tc>
      </w:tr>
      <w:tr>
        <w:trPr>
          <w:trHeight w:val="270"/>
        </w:trPr>
        <w:tc>
          <w:tcPr>
            <w:tcW w:w="7880" w:type="dxa"/>
            <w:vAlign w:val="bottom"/>
          </w:tcPr>
          <w:p>
            <w:pPr>
              <w:spacing w:after="0"/>
              <w:rPr>
                <w:rFonts w:ascii="Arial" w:cs="Arial" w:eastAsia="Arial" w:hAnsi="Arial"/>
                <w:sz w:val="18"/>
                <w:szCs w:val="18"/>
                <w:u w:val="single" w:color="auto"/>
                <w:color w:val="0000EE"/>
              </w:rPr>
            </w:pPr>
            <w:hyperlink w:anchor="page260">
              <w:r>
                <w:rPr>
                  <w:rFonts w:ascii="Arial" w:cs="Arial" w:eastAsia="Arial" w:hAnsi="Arial"/>
                  <w:sz w:val="18"/>
                  <w:szCs w:val="18"/>
                  <w:u w:val="single" w:color="auto"/>
                  <w:color w:val="0000EE"/>
                </w:rPr>
                <w:t>Related Party Transactions</w:t>
              </w:r>
            </w:hyperlink>
          </w:p>
        </w:tc>
        <w:tc>
          <w:tcPr>
            <w:tcW w:w="320" w:type="dxa"/>
            <w:vAlign w:val="bottom"/>
          </w:tcPr>
          <w:p>
            <w:pPr>
              <w:jc w:val="right"/>
              <w:spacing w:after="0"/>
              <w:rPr>
                <w:rFonts w:ascii="Arial" w:cs="Arial" w:eastAsia="Arial" w:hAnsi="Arial"/>
                <w:sz w:val="18"/>
                <w:szCs w:val="18"/>
                <w:u w:val="single" w:color="auto"/>
                <w:color w:val="0000EE"/>
                <w:w w:val="93"/>
              </w:rPr>
            </w:pPr>
            <w:hyperlink w:anchor="page260">
              <w:r>
                <w:rPr>
                  <w:rFonts w:ascii="Arial" w:cs="Arial" w:eastAsia="Arial" w:hAnsi="Arial"/>
                  <w:sz w:val="18"/>
                  <w:szCs w:val="18"/>
                  <w:u w:val="single" w:color="auto"/>
                  <w:color w:val="0000EE"/>
                  <w:w w:val="93"/>
                </w:rPr>
                <w:t>256</w:t>
              </w:r>
            </w:hyperlink>
          </w:p>
        </w:tc>
      </w:tr>
      <w:tr>
        <w:trPr>
          <w:trHeight w:val="270"/>
        </w:trPr>
        <w:tc>
          <w:tcPr>
            <w:tcW w:w="7880" w:type="dxa"/>
            <w:vAlign w:val="bottom"/>
            <w:shd w:val="clear" w:color="auto" w:fill="CCEEFF"/>
          </w:tcPr>
          <w:p>
            <w:pPr>
              <w:spacing w:after="0"/>
              <w:rPr>
                <w:rFonts w:ascii="Arial" w:cs="Arial" w:eastAsia="Arial" w:hAnsi="Arial"/>
                <w:sz w:val="18"/>
                <w:szCs w:val="18"/>
                <w:u w:val="single" w:color="auto"/>
                <w:color w:val="0000EE"/>
              </w:rPr>
            </w:pPr>
            <w:hyperlink w:anchor="page265">
              <w:r>
                <w:rPr>
                  <w:rFonts w:ascii="Arial" w:cs="Arial" w:eastAsia="Arial" w:hAnsi="Arial"/>
                  <w:sz w:val="18"/>
                  <w:szCs w:val="18"/>
                  <w:u w:val="single" w:color="auto"/>
                  <w:color w:val="0000EE"/>
                </w:rPr>
                <w:t>Description of Share Capital and Articles of Association</w:t>
              </w:r>
            </w:hyperlink>
          </w:p>
        </w:tc>
        <w:tc>
          <w:tcPr>
            <w:tcW w:w="320" w:type="dxa"/>
            <w:vAlign w:val="bottom"/>
            <w:shd w:val="clear" w:color="auto" w:fill="CCEEFF"/>
          </w:tcPr>
          <w:p>
            <w:pPr>
              <w:jc w:val="right"/>
              <w:spacing w:after="0"/>
              <w:rPr>
                <w:rFonts w:ascii="Arial" w:cs="Arial" w:eastAsia="Arial" w:hAnsi="Arial"/>
                <w:sz w:val="18"/>
                <w:szCs w:val="18"/>
                <w:u w:val="single" w:color="auto"/>
                <w:color w:val="0000EE"/>
                <w:w w:val="93"/>
              </w:rPr>
            </w:pPr>
            <w:hyperlink w:anchor="page265">
              <w:r>
                <w:rPr>
                  <w:rFonts w:ascii="Arial" w:cs="Arial" w:eastAsia="Arial" w:hAnsi="Arial"/>
                  <w:sz w:val="18"/>
                  <w:szCs w:val="18"/>
                  <w:u w:val="single" w:color="auto"/>
                  <w:color w:val="0000EE"/>
                  <w:w w:val="93"/>
                </w:rPr>
                <w:t>261</w:t>
              </w:r>
            </w:hyperlink>
          </w:p>
        </w:tc>
      </w:tr>
      <w:tr>
        <w:trPr>
          <w:trHeight w:val="270"/>
        </w:trPr>
        <w:tc>
          <w:tcPr>
            <w:tcW w:w="7880" w:type="dxa"/>
            <w:vAlign w:val="bottom"/>
          </w:tcPr>
          <w:p>
            <w:pPr>
              <w:spacing w:after="0"/>
              <w:rPr>
                <w:rFonts w:ascii="Arial" w:cs="Arial" w:eastAsia="Arial" w:hAnsi="Arial"/>
                <w:sz w:val="18"/>
                <w:szCs w:val="18"/>
                <w:u w:val="single" w:color="auto"/>
                <w:color w:val="0000EE"/>
              </w:rPr>
            </w:pPr>
            <w:hyperlink w:anchor="page274">
              <w:r>
                <w:rPr>
                  <w:rFonts w:ascii="Arial" w:cs="Arial" w:eastAsia="Arial" w:hAnsi="Arial"/>
                  <w:sz w:val="18"/>
                  <w:szCs w:val="18"/>
                  <w:u w:val="single" w:color="auto"/>
                  <w:color w:val="0000EE"/>
                </w:rPr>
                <w:t>Comparison of Dutch Corporate Law and U.S. Corporate Law</w:t>
              </w:r>
            </w:hyperlink>
          </w:p>
        </w:tc>
        <w:tc>
          <w:tcPr>
            <w:tcW w:w="320" w:type="dxa"/>
            <w:vAlign w:val="bottom"/>
          </w:tcPr>
          <w:p>
            <w:pPr>
              <w:jc w:val="right"/>
              <w:spacing w:after="0"/>
              <w:rPr>
                <w:rFonts w:ascii="Arial" w:cs="Arial" w:eastAsia="Arial" w:hAnsi="Arial"/>
                <w:sz w:val="18"/>
                <w:szCs w:val="18"/>
                <w:u w:val="single" w:color="auto"/>
                <w:color w:val="0000EE"/>
                <w:w w:val="93"/>
              </w:rPr>
            </w:pPr>
            <w:hyperlink w:anchor="page274">
              <w:r>
                <w:rPr>
                  <w:rFonts w:ascii="Arial" w:cs="Arial" w:eastAsia="Arial" w:hAnsi="Arial"/>
                  <w:sz w:val="18"/>
                  <w:szCs w:val="18"/>
                  <w:u w:val="single" w:color="auto"/>
                  <w:color w:val="0000EE"/>
                  <w:w w:val="93"/>
                </w:rPr>
                <w:t>270</w:t>
              </w:r>
            </w:hyperlink>
          </w:p>
        </w:tc>
      </w:tr>
      <w:tr>
        <w:trPr>
          <w:trHeight w:val="270"/>
        </w:trPr>
        <w:tc>
          <w:tcPr>
            <w:tcW w:w="7880" w:type="dxa"/>
            <w:vAlign w:val="bottom"/>
            <w:shd w:val="clear" w:color="auto" w:fill="CCEEFF"/>
          </w:tcPr>
          <w:p>
            <w:pPr>
              <w:spacing w:after="0"/>
              <w:rPr>
                <w:rFonts w:ascii="Arial" w:cs="Arial" w:eastAsia="Arial" w:hAnsi="Arial"/>
                <w:sz w:val="18"/>
                <w:szCs w:val="18"/>
                <w:u w:val="single" w:color="auto"/>
                <w:color w:val="0000EE"/>
              </w:rPr>
            </w:pPr>
            <w:hyperlink w:anchor="page287">
              <w:r>
                <w:rPr>
                  <w:rFonts w:ascii="Arial" w:cs="Arial" w:eastAsia="Arial" w:hAnsi="Arial"/>
                  <w:sz w:val="18"/>
                  <w:szCs w:val="18"/>
                  <w:u w:val="single" w:color="auto"/>
                  <w:color w:val="0000EE"/>
                </w:rPr>
                <w:t>Common Shares Eligible for Future Sale</w:t>
              </w:r>
            </w:hyperlink>
          </w:p>
        </w:tc>
        <w:tc>
          <w:tcPr>
            <w:tcW w:w="320" w:type="dxa"/>
            <w:vAlign w:val="bottom"/>
            <w:shd w:val="clear" w:color="auto" w:fill="CCEEFF"/>
          </w:tcPr>
          <w:p>
            <w:pPr>
              <w:jc w:val="right"/>
              <w:spacing w:after="0"/>
              <w:rPr>
                <w:rFonts w:ascii="Arial" w:cs="Arial" w:eastAsia="Arial" w:hAnsi="Arial"/>
                <w:sz w:val="18"/>
                <w:szCs w:val="18"/>
                <w:u w:val="single" w:color="auto"/>
                <w:color w:val="0000EE"/>
                <w:w w:val="93"/>
              </w:rPr>
            </w:pPr>
            <w:hyperlink w:anchor="page287">
              <w:r>
                <w:rPr>
                  <w:rFonts w:ascii="Arial" w:cs="Arial" w:eastAsia="Arial" w:hAnsi="Arial"/>
                  <w:sz w:val="18"/>
                  <w:szCs w:val="18"/>
                  <w:u w:val="single" w:color="auto"/>
                  <w:color w:val="0000EE"/>
                  <w:w w:val="93"/>
                </w:rPr>
                <w:t>283</w:t>
              </w:r>
            </w:hyperlink>
          </w:p>
        </w:tc>
      </w:tr>
      <w:tr>
        <w:trPr>
          <w:trHeight w:val="270"/>
        </w:trPr>
        <w:tc>
          <w:tcPr>
            <w:tcW w:w="7880" w:type="dxa"/>
            <w:vAlign w:val="bottom"/>
          </w:tcPr>
          <w:p>
            <w:pPr>
              <w:spacing w:after="0"/>
              <w:rPr>
                <w:rFonts w:ascii="Arial" w:cs="Arial" w:eastAsia="Arial" w:hAnsi="Arial"/>
                <w:sz w:val="18"/>
                <w:szCs w:val="18"/>
                <w:u w:val="single" w:color="auto"/>
                <w:color w:val="0000EE"/>
              </w:rPr>
            </w:pPr>
            <w:hyperlink w:anchor="page289">
              <w:r>
                <w:rPr>
                  <w:rFonts w:ascii="Arial" w:cs="Arial" w:eastAsia="Arial" w:hAnsi="Arial"/>
                  <w:sz w:val="18"/>
                  <w:szCs w:val="18"/>
                  <w:u w:val="single" w:color="auto"/>
                  <w:color w:val="0000EE"/>
                </w:rPr>
                <w:t>Taxation</w:t>
              </w:r>
            </w:hyperlink>
          </w:p>
        </w:tc>
        <w:tc>
          <w:tcPr>
            <w:tcW w:w="320" w:type="dxa"/>
            <w:vAlign w:val="bottom"/>
          </w:tcPr>
          <w:p>
            <w:pPr>
              <w:jc w:val="right"/>
              <w:spacing w:after="0"/>
              <w:rPr>
                <w:rFonts w:ascii="Arial" w:cs="Arial" w:eastAsia="Arial" w:hAnsi="Arial"/>
                <w:sz w:val="18"/>
                <w:szCs w:val="18"/>
                <w:u w:val="single" w:color="auto"/>
                <w:color w:val="0000EE"/>
                <w:w w:val="93"/>
              </w:rPr>
            </w:pPr>
            <w:hyperlink w:anchor="page289">
              <w:r>
                <w:rPr>
                  <w:rFonts w:ascii="Arial" w:cs="Arial" w:eastAsia="Arial" w:hAnsi="Arial"/>
                  <w:sz w:val="18"/>
                  <w:szCs w:val="18"/>
                  <w:u w:val="single" w:color="auto"/>
                  <w:color w:val="0000EE"/>
                  <w:w w:val="93"/>
                </w:rPr>
                <w:t>285</w:t>
              </w:r>
            </w:hyperlink>
          </w:p>
        </w:tc>
      </w:tr>
      <w:tr>
        <w:trPr>
          <w:trHeight w:val="270"/>
        </w:trPr>
        <w:tc>
          <w:tcPr>
            <w:tcW w:w="7880" w:type="dxa"/>
            <w:vAlign w:val="bottom"/>
            <w:shd w:val="clear" w:color="auto" w:fill="CCEEFF"/>
          </w:tcPr>
          <w:p>
            <w:pPr>
              <w:spacing w:after="0"/>
              <w:rPr>
                <w:rFonts w:ascii="Arial" w:cs="Arial" w:eastAsia="Arial" w:hAnsi="Arial"/>
                <w:sz w:val="18"/>
                <w:szCs w:val="18"/>
                <w:u w:val="single" w:color="auto"/>
                <w:color w:val="0000EE"/>
              </w:rPr>
            </w:pPr>
            <w:hyperlink w:anchor="page305">
              <w:r>
                <w:rPr>
                  <w:rFonts w:ascii="Arial" w:cs="Arial" w:eastAsia="Arial" w:hAnsi="Arial"/>
                  <w:sz w:val="18"/>
                  <w:szCs w:val="18"/>
                  <w:u w:val="single" w:color="auto"/>
                  <w:color w:val="0000EE"/>
                </w:rPr>
                <w:t>Underwriting</w:t>
              </w:r>
            </w:hyperlink>
          </w:p>
        </w:tc>
        <w:tc>
          <w:tcPr>
            <w:tcW w:w="320" w:type="dxa"/>
            <w:vAlign w:val="bottom"/>
            <w:shd w:val="clear" w:color="auto" w:fill="CCEEFF"/>
          </w:tcPr>
          <w:p>
            <w:pPr>
              <w:jc w:val="right"/>
              <w:spacing w:after="0"/>
              <w:rPr>
                <w:rFonts w:ascii="Arial" w:cs="Arial" w:eastAsia="Arial" w:hAnsi="Arial"/>
                <w:sz w:val="18"/>
                <w:szCs w:val="18"/>
                <w:u w:val="single" w:color="auto"/>
                <w:color w:val="0000EE"/>
                <w:w w:val="93"/>
              </w:rPr>
            </w:pPr>
            <w:hyperlink w:anchor="page305">
              <w:r>
                <w:rPr>
                  <w:rFonts w:ascii="Arial" w:cs="Arial" w:eastAsia="Arial" w:hAnsi="Arial"/>
                  <w:sz w:val="18"/>
                  <w:szCs w:val="18"/>
                  <w:u w:val="single" w:color="auto"/>
                  <w:color w:val="0000EE"/>
                  <w:w w:val="93"/>
                </w:rPr>
                <w:t>301</w:t>
              </w:r>
            </w:hyperlink>
          </w:p>
        </w:tc>
      </w:tr>
      <w:tr>
        <w:trPr>
          <w:trHeight w:val="270"/>
        </w:trPr>
        <w:tc>
          <w:tcPr>
            <w:tcW w:w="7880" w:type="dxa"/>
            <w:vAlign w:val="bottom"/>
          </w:tcPr>
          <w:p>
            <w:pPr>
              <w:spacing w:after="0"/>
              <w:rPr>
                <w:rFonts w:ascii="Arial" w:cs="Arial" w:eastAsia="Arial" w:hAnsi="Arial"/>
                <w:sz w:val="18"/>
                <w:szCs w:val="18"/>
                <w:u w:val="single" w:color="auto"/>
                <w:color w:val="0000EE"/>
              </w:rPr>
            </w:pPr>
            <w:hyperlink w:anchor="page312">
              <w:r>
                <w:rPr>
                  <w:rFonts w:ascii="Arial" w:cs="Arial" w:eastAsia="Arial" w:hAnsi="Arial"/>
                  <w:sz w:val="18"/>
                  <w:szCs w:val="18"/>
                  <w:u w:val="single" w:color="auto"/>
                  <w:color w:val="0000EE"/>
                </w:rPr>
                <w:t>Expenses of the Offering</w:t>
              </w:r>
            </w:hyperlink>
          </w:p>
        </w:tc>
        <w:tc>
          <w:tcPr>
            <w:tcW w:w="320" w:type="dxa"/>
            <w:vAlign w:val="bottom"/>
          </w:tcPr>
          <w:p>
            <w:pPr>
              <w:jc w:val="right"/>
              <w:spacing w:after="0"/>
              <w:rPr>
                <w:rFonts w:ascii="Arial" w:cs="Arial" w:eastAsia="Arial" w:hAnsi="Arial"/>
                <w:sz w:val="18"/>
                <w:szCs w:val="18"/>
                <w:u w:val="single" w:color="auto"/>
                <w:color w:val="0000EE"/>
                <w:w w:val="93"/>
              </w:rPr>
            </w:pPr>
            <w:hyperlink w:anchor="page312">
              <w:r>
                <w:rPr>
                  <w:rFonts w:ascii="Arial" w:cs="Arial" w:eastAsia="Arial" w:hAnsi="Arial"/>
                  <w:sz w:val="18"/>
                  <w:szCs w:val="18"/>
                  <w:u w:val="single" w:color="auto"/>
                  <w:color w:val="0000EE"/>
                  <w:w w:val="93"/>
                </w:rPr>
                <w:t>308</w:t>
              </w:r>
            </w:hyperlink>
          </w:p>
        </w:tc>
      </w:tr>
      <w:tr>
        <w:trPr>
          <w:trHeight w:val="270"/>
        </w:trPr>
        <w:tc>
          <w:tcPr>
            <w:tcW w:w="7880" w:type="dxa"/>
            <w:vAlign w:val="bottom"/>
            <w:shd w:val="clear" w:color="auto" w:fill="CCEEFF"/>
          </w:tcPr>
          <w:p>
            <w:pPr>
              <w:spacing w:after="0"/>
              <w:rPr>
                <w:rFonts w:ascii="Arial" w:cs="Arial" w:eastAsia="Arial" w:hAnsi="Arial"/>
                <w:sz w:val="18"/>
                <w:szCs w:val="18"/>
                <w:u w:val="single" w:color="auto"/>
                <w:color w:val="0000EE"/>
              </w:rPr>
            </w:pPr>
            <w:hyperlink w:anchor="page313">
              <w:r>
                <w:rPr>
                  <w:rFonts w:ascii="Arial" w:cs="Arial" w:eastAsia="Arial" w:hAnsi="Arial"/>
                  <w:sz w:val="18"/>
                  <w:szCs w:val="18"/>
                  <w:u w:val="single" w:color="auto"/>
                  <w:color w:val="0000EE"/>
                </w:rPr>
                <w:t>Legal Matters</w:t>
              </w:r>
            </w:hyperlink>
          </w:p>
        </w:tc>
        <w:tc>
          <w:tcPr>
            <w:tcW w:w="320" w:type="dxa"/>
            <w:vAlign w:val="bottom"/>
            <w:shd w:val="clear" w:color="auto" w:fill="CCEEFF"/>
          </w:tcPr>
          <w:p>
            <w:pPr>
              <w:jc w:val="right"/>
              <w:spacing w:after="0"/>
              <w:rPr>
                <w:rFonts w:ascii="Arial" w:cs="Arial" w:eastAsia="Arial" w:hAnsi="Arial"/>
                <w:sz w:val="18"/>
                <w:szCs w:val="18"/>
                <w:u w:val="single" w:color="auto"/>
                <w:color w:val="0000EE"/>
                <w:w w:val="93"/>
              </w:rPr>
            </w:pPr>
            <w:hyperlink w:anchor="page313">
              <w:r>
                <w:rPr>
                  <w:rFonts w:ascii="Arial" w:cs="Arial" w:eastAsia="Arial" w:hAnsi="Arial"/>
                  <w:sz w:val="18"/>
                  <w:szCs w:val="18"/>
                  <w:u w:val="single" w:color="auto"/>
                  <w:color w:val="0000EE"/>
                  <w:w w:val="93"/>
                </w:rPr>
                <w:t>309</w:t>
              </w:r>
            </w:hyperlink>
          </w:p>
        </w:tc>
      </w:tr>
      <w:tr>
        <w:trPr>
          <w:trHeight w:val="270"/>
        </w:trPr>
        <w:tc>
          <w:tcPr>
            <w:tcW w:w="7880" w:type="dxa"/>
            <w:vAlign w:val="bottom"/>
          </w:tcPr>
          <w:p>
            <w:pPr>
              <w:spacing w:after="0"/>
              <w:rPr>
                <w:rFonts w:ascii="Arial" w:cs="Arial" w:eastAsia="Arial" w:hAnsi="Arial"/>
                <w:sz w:val="18"/>
                <w:szCs w:val="18"/>
                <w:u w:val="single" w:color="auto"/>
                <w:color w:val="0000EE"/>
              </w:rPr>
            </w:pPr>
            <w:hyperlink w:anchor="page313">
              <w:r>
                <w:rPr>
                  <w:rFonts w:ascii="Arial" w:cs="Arial" w:eastAsia="Arial" w:hAnsi="Arial"/>
                  <w:sz w:val="18"/>
                  <w:szCs w:val="18"/>
                  <w:u w:val="single" w:color="auto"/>
                  <w:color w:val="0000EE"/>
                </w:rPr>
                <w:t>Experts</w:t>
              </w:r>
            </w:hyperlink>
          </w:p>
        </w:tc>
        <w:tc>
          <w:tcPr>
            <w:tcW w:w="320" w:type="dxa"/>
            <w:vAlign w:val="bottom"/>
          </w:tcPr>
          <w:p>
            <w:pPr>
              <w:jc w:val="right"/>
              <w:spacing w:after="0"/>
              <w:rPr>
                <w:rFonts w:ascii="Arial" w:cs="Arial" w:eastAsia="Arial" w:hAnsi="Arial"/>
                <w:sz w:val="18"/>
                <w:szCs w:val="18"/>
                <w:u w:val="single" w:color="auto"/>
                <w:color w:val="0000EE"/>
                <w:w w:val="93"/>
              </w:rPr>
            </w:pPr>
            <w:hyperlink w:anchor="page313">
              <w:r>
                <w:rPr>
                  <w:rFonts w:ascii="Arial" w:cs="Arial" w:eastAsia="Arial" w:hAnsi="Arial"/>
                  <w:sz w:val="18"/>
                  <w:szCs w:val="18"/>
                  <w:u w:val="single" w:color="auto"/>
                  <w:color w:val="0000EE"/>
                  <w:w w:val="93"/>
                </w:rPr>
                <w:t>309</w:t>
              </w:r>
            </w:hyperlink>
          </w:p>
        </w:tc>
      </w:tr>
      <w:tr>
        <w:trPr>
          <w:trHeight w:val="270"/>
        </w:trPr>
        <w:tc>
          <w:tcPr>
            <w:tcW w:w="7880" w:type="dxa"/>
            <w:vAlign w:val="bottom"/>
            <w:shd w:val="clear" w:color="auto" w:fill="CCEEFF"/>
          </w:tcPr>
          <w:p>
            <w:pPr>
              <w:spacing w:after="0"/>
              <w:rPr>
                <w:rFonts w:ascii="Arial" w:cs="Arial" w:eastAsia="Arial" w:hAnsi="Arial"/>
                <w:sz w:val="18"/>
                <w:szCs w:val="18"/>
                <w:u w:val="single" w:color="auto"/>
                <w:color w:val="0000EE"/>
              </w:rPr>
            </w:pPr>
            <w:hyperlink w:anchor="page313">
              <w:r>
                <w:rPr>
                  <w:rFonts w:ascii="Arial" w:cs="Arial" w:eastAsia="Arial" w:hAnsi="Arial"/>
                  <w:sz w:val="18"/>
                  <w:szCs w:val="18"/>
                  <w:u w:val="single" w:color="auto"/>
                  <w:color w:val="0000EE"/>
                </w:rPr>
                <w:t>Enforcement of Judgments</w:t>
              </w:r>
            </w:hyperlink>
          </w:p>
        </w:tc>
        <w:tc>
          <w:tcPr>
            <w:tcW w:w="320" w:type="dxa"/>
            <w:vAlign w:val="bottom"/>
            <w:shd w:val="clear" w:color="auto" w:fill="CCEEFF"/>
          </w:tcPr>
          <w:p>
            <w:pPr>
              <w:jc w:val="right"/>
              <w:spacing w:after="0"/>
              <w:rPr>
                <w:rFonts w:ascii="Arial" w:cs="Arial" w:eastAsia="Arial" w:hAnsi="Arial"/>
                <w:sz w:val="18"/>
                <w:szCs w:val="18"/>
                <w:u w:val="single" w:color="auto"/>
                <w:color w:val="0000EE"/>
                <w:w w:val="93"/>
              </w:rPr>
            </w:pPr>
            <w:hyperlink w:anchor="page313">
              <w:r>
                <w:rPr>
                  <w:rFonts w:ascii="Arial" w:cs="Arial" w:eastAsia="Arial" w:hAnsi="Arial"/>
                  <w:sz w:val="18"/>
                  <w:szCs w:val="18"/>
                  <w:u w:val="single" w:color="auto"/>
                  <w:color w:val="0000EE"/>
                  <w:w w:val="93"/>
                </w:rPr>
                <w:t>309</w:t>
              </w:r>
            </w:hyperlink>
          </w:p>
        </w:tc>
      </w:tr>
      <w:tr>
        <w:trPr>
          <w:trHeight w:val="270"/>
        </w:trPr>
        <w:tc>
          <w:tcPr>
            <w:tcW w:w="7880" w:type="dxa"/>
            <w:vAlign w:val="bottom"/>
          </w:tcPr>
          <w:p>
            <w:pPr>
              <w:spacing w:after="0"/>
              <w:rPr>
                <w:rFonts w:ascii="Arial" w:cs="Arial" w:eastAsia="Arial" w:hAnsi="Arial"/>
                <w:sz w:val="18"/>
                <w:szCs w:val="18"/>
                <w:u w:val="single" w:color="auto"/>
                <w:color w:val="0000EE"/>
              </w:rPr>
            </w:pPr>
            <w:hyperlink w:anchor="page314">
              <w:r>
                <w:rPr>
                  <w:rFonts w:ascii="Arial" w:cs="Arial" w:eastAsia="Arial" w:hAnsi="Arial"/>
                  <w:sz w:val="18"/>
                  <w:szCs w:val="18"/>
                  <w:u w:val="single" w:color="auto"/>
                  <w:color w:val="0000EE"/>
                </w:rPr>
                <w:t>Where You Can Find More Information</w:t>
              </w:r>
            </w:hyperlink>
          </w:p>
        </w:tc>
        <w:tc>
          <w:tcPr>
            <w:tcW w:w="320" w:type="dxa"/>
            <w:vAlign w:val="bottom"/>
          </w:tcPr>
          <w:p>
            <w:pPr>
              <w:jc w:val="right"/>
              <w:spacing w:after="0"/>
              <w:rPr>
                <w:rFonts w:ascii="Arial" w:cs="Arial" w:eastAsia="Arial" w:hAnsi="Arial"/>
                <w:sz w:val="18"/>
                <w:szCs w:val="18"/>
                <w:u w:val="single" w:color="auto"/>
                <w:color w:val="0000EE"/>
                <w:w w:val="93"/>
              </w:rPr>
            </w:pPr>
            <w:hyperlink w:anchor="page314">
              <w:r>
                <w:rPr>
                  <w:rFonts w:ascii="Arial" w:cs="Arial" w:eastAsia="Arial" w:hAnsi="Arial"/>
                  <w:sz w:val="18"/>
                  <w:szCs w:val="18"/>
                  <w:u w:val="single" w:color="auto"/>
                  <w:color w:val="0000EE"/>
                  <w:w w:val="93"/>
                </w:rPr>
                <w:t>310</w:t>
              </w:r>
            </w:hyperlink>
          </w:p>
        </w:tc>
      </w:tr>
      <w:tr>
        <w:trPr>
          <w:trHeight w:val="270"/>
        </w:trPr>
        <w:tc>
          <w:tcPr>
            <w:tcW w:w="7880" w:type="dxa"/>
            <w:vAlign w:val="bottom"/>
            <w:shd w:val="clear" w:color="auto" w:fill="CCEEFF"/>
          </w:tcPr>
          <w:p>
            <w:pPr>
              <w:spacing w:after="0"/>
              <w:rPr>
                <w:rFonts w:ascii="Arial" w:cs="Arial" w:eastAsia="Arial" w:hAnsi="Arial"/>
                <w:sz w:val="18"/>
                <w:szCs w:val="18"/>
                <w:u w:val="single" w:color="auto"/>
                <w:color w:val="0000EE"/>
              </w:rPr>
            </w:pPr>
            <w:hyperlink w:anchor="page315">
              <w:r>
                <w:rPr>
                  <w:rFonts w:ascii="Arial" w:cs="Arial" w:eastAsia="Arial" w:hAnsi="Arial"/>
                  <w:sz w:val="18"/>
                  <w:szCs w:val="18"/>
                  <w:u w:val="single" w:color="auto"/>
                  <w:color w:val="0000EE"/>
                </w:rPr>
                <w:t>Index to Financial Statements</w:t>
              </w:r>
            </w:hyperlink>
          </w:p>
        </w:tc>
        <w:tc>
          <w:tcPr>
            <w:tcW w:w="320" w:type="dxa"/>
            <w:vAlign w:val="bottom"/>
            <w:shd w:val="clear" w:color="auto" w:fill="CCEEFF"/>
          </w:tcPr>
          <w:p>
            <w:pPr>
              <w:jc w:val="right"/>
              <w:spacing w:after="0"/>
              <w:rPr>
                <w:rFonts w:ascii="Arial" w:cs="Arial" w:eastAsia="Arial" w:hAnsi="Arial"/>
                <w:sz w:val="18"/>
                <w:szCs w:val="18"/>
                <w:u w:val="single" w:color="auto"/>
                <w:color w:val="0000EE"/>
              </w:rPr>
            </w:pPr>
            <w:hyperlink w:anchor="page315">
              <w:r>
                <w:rPr>
                  <w:rFonts w:ascii="Arial" w:cs="Arial" w:eastAsia="Arial" w:hAnsi="Arial"/>
                  <w:sz w:val="18"/>
                  <w:szCs w:val="18"/>
                  <w:u w:val="single" w:color="auto"/>
                  <w:color w:val="0000EE"/>
                </w:rPr>
                <w:t>F-1</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-4268470</wp:posOffset>
            </wp:positionV>
            <wp:extent cx="50063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006340" cy="8255"/>
                    </a:xfrm>
                    <a:prstGeom prst="rect">
                      <a:avLst/>
                    </a:prstGeom>
                    <a:noFill/>
                  </pic:spPr>
                </pic:pic>
              </a:graphicData>
            </a:graphic>
          </wp:anchor>
        </w:drawing>
      </w:r>
    </w:p>
    <w:p>
      <w:pPr>
        <w:spacing w:after="0" w:line="97" w:lineRule="exact"/>
        <w:rPr>
          <w:sz w:val="20"/>
          <w:szCs w:val="20"/>
          <w:color w:val="auto"/>
        </w:rPr>
      </w:pPr>
    </w:p>
    <w:p>
      <w:pPr>
        <w:ind w:left="1260" w:right="519" w:firstLine="648"/>
        <w:spacing w:after="0" w:line="292" w:lineRule="auto"/>
        <w:rPr>
          <w:sz w:val="20"/>
          <w:szCs w:val="20"/>
          <w:color w:val="auto"/>
        </w:rPr>
      </w:pPr>
      <w:r>
        <w:rPr>
          <w:rFonts w:ascii="Arial" w:cs="Arial" w:eastAsia="Arial" w:hAnsi="Arial"/>
          <w:sz w:val="16"/>
          <w:szCs w:val="16"/>
          <w:b w:val="1"/>
          <w:bCs w:val="1"/>
          <w:color w:val="auto"/>
        </w:rPr>
        <w:t>We and the underwriters have not authorized anyone to provide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provide you. We are offering to sell, and seeking offers to buy, common shares only in jurisdictions where offers and sales are permitted. The information contained in this prospectus is accurate only as of the date of this prospectus, regardless of the time of delivery of this prospectus or of any sale of our common shares.</w:t>
      </w:r>
    </w:p>
    <w:p>
      <w:pPr>
        <w:spacing w:after="0" w:line="94" w:lineRule="exact"/>
        <w:rPr>
          <w:sz w:val="20"/>
          <w:szCs w:val="20"/>
          <w:color w:val="auto"/>
        </w:rPr>
      </w:pPr>
    </w:p>
    <w:p>
      <w:pPr>
        <w:ind w:left="1260" w:right="499" w:firstLine="648"/>
        <w:spacing w:after="0" w:line="317" w:lineRule="auto"/>
        <w:rPr>
          <w:sz w:val="20"/>
          <w:szCs w:val="20"/>
          <w:color w:val="auto"/>
        </w:rPr>
      </w:pPr>
      <w:r>
        <w:rPr>
          <w:rFonts w:ascii="Arial" w:cs="Arial" w:eastAsia="Arial" w:hAnsi="Arial"/>
          <w:sz w:val="15"/>
          <w:szCs w:val="15"/>
          <w:b w:val="1"/>
          <w:bCs w:val="1"/>
          <w:color w:val="auto"/>
        </w:rPr>
        <w:t>For investors outside the United States: Neither we nor any of the underwriters have done anything that would permit this offering or possession or distribution of this prospectus or any free writing prospectus in any jurisdiction where action for that purpose is required, other than in the United States. Persons outside the United States who come into possession of this prospectus or any free writing prospectus must inform themselves about, and observe any restrictions relating to, the offering of the common shares and the distribution of this prospectus and any free writing prospectus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ABOUT THIS PROSPECTUS</w:t>
      </w:r>
    </w:p>
    <w:p>
      <w:pPr>
        <w:spacing w:after="0" w:line="162" w:lineRule="exact"/>
        <w:rPr>
          <w:sz w:val="20"/>
          <w:szCs w:val="20"/>
          <w:color w:val="auto"/>
        </w:rPr>
      </w:pPr>
    </w:p>
    <w:p>
      <w:pPr>
        <w:ind w:left="1260" w:right="439" w:firstLine="648"/>
        <w:spacing w:after="0" w:line="259" w:lineRule="auto"/>
        <w:rPr>
          <w:sz w:val="20"/>
          <w:szCs w:val="20"/>
          <w:color w:val="auto"/>
        </w:rPr>
      </w:pPr>
      <w:r>
        <w:rPr>
          <w:rFonts w:ascii="Arial" w:cs="Arial" w:eastAsia="Arial" w:hAnsi="Arial"/>
          <w:sz w:val="18"/>
          <w:szCs w:val="18"/>
          <w:color w:val="auto"/>
        </w:rPr>
        <w:t>In connection with our initial public offering, or IPO, in August 2020, we effected certain organizational transactions. Unless otherwise stated or the context otherwise requires, all information in this prospectus reflects the consummation of the organizational transactions, including the IPO, which we refer to collectively as the “Corporate Reorganization.” See “Corporate Reorganization.”</w:t>
      </w:r>
    </w:p>
    <w:p>
      <w:pPr>
        <w:spacing w:after="0" w:line="119" w:lineRule="exact"/>
        <w:rPr>
          <w:sz w:val="20"/>
          <w:szCs w:val="20"/>
          <w:color w:val="auto"/>
        </w:rPr>
      </w:pPr>
    </w:p>
    <w:p>
      <w:pPr>
        <w:ind w:left="1260" w:right="579" w:firstLine="648"/>
        <w:spacing w:after="0" w:line="279" w:lineRule="auto"/>
        <w:rPr>
          <w:sz w:val="20"/>
          <w:szCs w:val="20"/>
          <w:color w:val="auto"/>
        </w:rPr>
      </w:pPr>
      <w:r>
        <w:rPr>
          <w:rFonts w:ascii="Arial" w:cs="Arial" w:eastAsia="Arial" w:hAnsi="Arial"/>
          <w:sz w:val="17"/>
          <w:szCs w:val="17"/>
          <w:color w:val="auto"/>
        </w:rPr>
        <w:t>Unless otherwise indicated or the context otherwise requires, all references in this prospectus to “CureVac” or the “Company,” “we,” “our,” “ours,” “ourselves,” “us” or similar terms refer to: (1) on or following the consummation of the Corporate Reorganization, CureVac N.V. together with its subsidiaries, including CureVac AG, and (2) prior to the consummation of the Corporate Reorganization, CureVac AG.</w:t>
      </w:r>
    </w:p>
    <w:p>
      <w:pPr>
        <w:spacing w:after="0" w:line="90" w:lineRule="exact"/>
        <w:rPr>
          <w:sz w:val="20"/>
          <w:szCs w:val="20"/>
          <w:color w:val="auto"/>
        </w:rPr>
      </w:pPr>
    </w:p>
    <w:p>
      <w:pPr>
        <w:ind w:left="1260" w:right="439" w:firstLine="648"/>
        <w:spacing w:after="0" w:line="271" w:lineRule="auto"/>
        <w:rPr>
          <w:sz w:val="20"/>
          <w:szCs w:val="20"/>
          <w:color w:val="auto"/>
        </w:rPr>
      </w:pPr>
      <w:r>
        <w:rPr>
          <w:rFonts w:ascii="Arial" w:cs="Arial" w:eastAsia="Arial" w:hAnsi="Arial"/>
          <w:sz w:val="17"/>
          <w:szCs w:val="17"/>
          <w:color w:val="auto"/>
        </w:rPr>
        <w:t>We are a holding company and our sole asset is the capital stock of our wholly owned subsidiaries, including CureVac AG. CureVac N.V. operates and controls all of the business and affairs and consolidates the financial results of CureVac AG. We are incorporated in the Netherlands, and a majority of our outstanding securities are owned by non-U.S. residents. Under the rules of the U.S. Securities and Exchange Commission, or the SEC, we are currently eligible for treatment as a “foreign private issuer.” As a foreign private issuer, we are not required to file periodic reports and financial statements with the SEC as frequently or as promptly as domestic registrants whose securities are registered under the Securities Exchange Act of 1934, as amended,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199390</wp:posOffset>
            </wp:positionV>
            <wp:extent cx="1028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1260" w:right="459" w:firstLine="648"/>
        <w:spacing w:after="0" w:line="253" w:lineRule="auto"/>
        <w:rPr>
          <w:sz w:val="20"/>
          <w:szCs w:val="20"/>
          <w:color w:val="auto"/>
        </w:rPr>
      </w:pPr>
      <w:r>
        <w:rPr>
          <w:rFonts w:ascii="Arial" w:cs="Arial" w:eastAsia="Arial" w:hAnsi="Arial"/>
          <w:sz w:val="18"/>
          <w:szCs w:val="18"/>
          <w:color w:val="auto"/>
        </w:rPr>
        <w:t>We have not authorized anyone to provide any information other than that contained in this prospectus or in any free writing prospectus prepared by or on behalf of us or to which we may have referred you. We take no responsibility for, and can provide no assurance as to the reliability of, any other information that others may give you. We and the underwriters have not authorized any other person to provide you with different or additional information. Neither we nor the underwriters are making an offer to sell the common shares in any jurisdiction where the offer or sale is not permitted. This offering is being made in the United States and elsewhere solely on the basis of the information contained in this prospectus. You should assume that the information appearing in this prospectus is accurate only as of the date on the front cover of this prospectus, regardless of the time of delivery of this prospectus or any sale of the common shares. Our business, financial condition, results of operations and prospects may have changed since the date on the front cover of this prospectus.</w:t>
      </w:r>
    </w:p>
    <w:p>
      <w:pPr>
        <w:spacing w:after="0" w:line="188"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48" w:lineRule="exact"/>
        <w:rPr>
          <w:sz w:val="20"/>
          <w:szCs w:val="20"/>
          <w:color w:val="auto"/>
        </w:rPr>
      </w:pPr>
    </w:p>
    <w:p>
      <w:pPr>
        <w:ind w:left="1260" w:right="599" w:firstLine="648"/>
        <w:spacing w:after="0" w:line="259" w:lineRule="auto"/>
        <w:rPr>
          <w:sz w:val="20"/>
          <w:szCs w:val="20"/>
          <w:color w:val="auto"/>
        </w:rPr>
      </w:pPr>
      <w:r>
        <w:rPr>
          <w:rFonts w:ascii="Arial" w:cs="Arial" w:eastAsia="Arial" w:hAnsi="Arial"/>
          <w:sz w:val="18"/>
          <w:szCs w:val="18"/>
          <w:color w:val="auto"/>
        </w:rPr>
        <w:t>We report under International Financial Reporting Standards, or IFRS, as issued by the International Accounting Standards Board, or IASB. We have made rounding adjustments to some of the figures included in this prospectus. Accordingly, numerical figures shown as totals in some tables may not be an arithmetic aggregation of the figures that preceded them.</w:t>
      </w:r>
    </w:p>
    <w:p>
      <w:pPr>
        <w:spacing w:after="0" w:line="119" w:lineRule="exact"/>
        <w:rPr>
          <w:sz w:val="20"/>
          <w:szCs w:val="20"/>
          <w:color w:val="auto"/>
        </w:rPr>
      </w:pPr>
    </w:p>
    <w:p>
      <w:pPr>
        <w:jc w:val="both"/>
        <w:ind w:left="1260" w:right="759" w:firstLine="648"/>
        <w:spacing w:after="0" w:line="311" w:lineRule="auto"/>
        <w:rPr>
          <w:sz w:val="20"/>
          <w:szCs w:val="20"/>
          <w:color w:val="auto"/>
        </w:rPr>
      </w:pPr>
      <w:r>
        <w:rPr>
          <w:rFonts w:ascii="Arial" w:cs="Arial" w:eastAsia="Arial" w:hAnsi="Arial"/>
          <w:sz w:val="16"/>
          <w:szCs w:val="16"/>
          <w:color w:val="auto"/>
        </w:rPr>
        <w:t>Our financial statements included in this prospectus are presented in euro and, unless otherwise specified, all monetary amounts are in euro. All references in this prospectus to “$,” “U.S. dollars” and “dollars” means U.S. dollars and all references to “€” and “euro” mean euro, unless otherwise noted.</w:t>
      </w:r>
    </w:p>
    <w:p>
      <w:pPr>
        <w:spacing w:after="0" w:line="81" w:lineRule="exact"/>
        <w:rPr>
          <w:sz w:val="20"/>
          <w:szCs w:val="20"/>
          <w:color w:val="auto"/>
        </w:rPr>
      </w:pPr>
    </w:p>
    <w:p>
      <w:pPr>
        <w:ind w:left="1260" w:right="659" w:firstLine="648"/>
        <w:spacing w:after="0" w:line="263" w:lineRule="auto"/>
        <w:rPr>
          <w:sz w:val="20"/>
          <w:szCs w:val="20"/>
          <w:color w:val="auto"/>
        </w:rPr>
      </w:pPr>
      <w:r>
        <w:rPr>
          <w:rFonts w:ascii="Arial" w:cs="Arial" w:eastAsia="Arial" w:hAnsi="Arial"/>
          <w:sz w:val="18"/>
          <w:szCs w:val="18"/>
          <w:color w:val="auto"/>
        </w:rPr>
        <w:t>In this prospectus, unless otherwise indicated, some euro amounts have been translated into U.S. dollars at the rate of $1.2271 to €1.00, the official exchange rate quoted as of December 31, 2020 by the European Central Bank.</w:t>
      </w:r>
    </w:p>
    <w:p>
      <w:pPr>
        <w:spacing w:after="0" w:line="103" w:lineRule="exact"/>
        <w:rPr>
          <w:sz w:val="20"/>
          <w:szCs w:val="20"/>
          <w:color w:val="auto"/>
        </w:rPr>
      </w:pPr>
    </w:p>
    <w:p>
      <w:pPr>
        <w:ind w:left="1260" w:right="479" w:firstLine="648"/>
        <w:spacing w:after="0" w:line="257" w:lineRule="auto"/>
        <w:rPr>
          <w:sz w:val="20"/>
          <w:szCs w:val="20"/>
          <w:color w:val="auto"/>
        </w:rPr>
      </w:pPr>
      <w:r>
        <w:rPr>
          <w:rFonts w:ascii="Arial" w:cs="Arial" w:eastAsia="Arial" w:hAnsi="Arial"/>
          <w:sz w:val="18"/>
          <w:szCs w:val="18"/>
          <w:color w:val="auto"/>
        </w:rPr>
        <w:t>This prospectus contains the historical financial statements and other financial information of CureVac AG, which was acquired by CureVac B.V., an entity which converted into CureVac N.V. as part of the consummation of our Corporate Reorganization. Following the Corporate Reorganization, the consolidated financial statements of CureVac N.V. are a continuation of the historical consolidated financial statements of CureVac AG. See “Corporate Reorganization.”</w:t>
      </w:r>
    </w:p>
    <w:p>
      <w:pPr>
        <w:spacing w:after="0" w:line="37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TRADEMARKS</w:t>
      </w:r>
    </w:p>
    <w:p>
      <w:pPr>
        <w:spacing w:after="0" w:line="162" w:lineRule="exact"/>
        <w:rPr>
          <w:sz w:val="20"/>
          <w:szCs w:val="20"/>
          <w:color w:val="auto"/>
        </w:rPr>
      </w:pPr>
    </w:p>
    <w:p>
      <w:pPr>
        <w:ind w:left="1260" w:right="479" w:firstLine="648"/>
        <w:spacing w:after="0" w:line="242" w:lineRule="auto"/>
        <w:rPr>
          <w:sz w:val="20"/>
          <w:szCs w:val="20"/>
          <w:color w:val="auto"/>
        </w:rPr>
      </w:pPr>
      <w:r>
        <w:rPr>
          <w:rFonts w:ascii="Arial" w:cs="Arial" w:eastAsia="Arial" w:hAnsi="Arial"/>
          <w:sz w:val="18"/>
          <w:szCs w:val="18"/>
          <w:color w:val="auto"/>
        </w:rPr>
        <w:t xml:space="preserve">We own or have rights to various trademarks and trade names, including CureVac® and the CureVac logo, that we use in connection with the operation of our business. This prospectus may also contain trademarks, service marks and trade names of third parties, which are the property of their respective owners. We do not intend our use or display of other entities’ trademarks, trade names or service marks to imply a relationship with, or endorsement or sponsorship of us by, any other entity. Solely for convenience, the trademarks, trade names and service marks in this prospectus are referred to without the symbols ® and ™, or </w:t>
      </w:r>
      <w:r>
        <w:rPr>
          <w:rFonts w:ascii="Arial" w:cs="Arial" w:eastAsia="Arial" w:hAnsi="Arial"/>
          <w:sz w:val="26"/>
          <w:szCs w:val="26"/>
          <w:color w:val="auto"/>
          <w:vertAlign w:val="superscript"/>
        </w:rPr>
        <w:t>SM</w:t>
      </w:r>
      <w:r>
        <w:rPr>
          <w:rFonts w:ascii="Arial" w:cs="Arial" w:eastAsia="Arial" w:hAnsi="Arial"/>
          <w:sz w:val="18"/>
          <w:szCs w:val="18"/>
          <w:color w:val="auto"/>
        </w:rPr>
        <w:t>, but the omission of such references should not be construed as any indication that we will not assert, to the fullest extent under applicable law, our rights or the right of the applicable owner of these trademarks, service marks and trade names.</w:t>
      </w:r>
    </w:p>
    <w:p>
      <w:pPr>
        <w:spacing w:after="0" w:line="19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MARKET, INDUSTRY AND OTHER DATA</w:t>
      </w:r>
    </w:p>
    <w:p>
      <w:pPr>
        <w:spacing w:after="0" w:line="162" w:lineRule="exact"/>
        <w:rPr>
          <w:sz w:val="20"/>
          <w:szCs w:val="20"/>
          <w:color w:val="auto"/>
        </w:rPr>
      </w:pPr>
    </w:p>
    <w:p>
      <w:pPr>
        <w:ind w:left="1260" w:right="519" w:firstLine="648"/>
        <w:spacing w:after="0" w:line="269" w:lineRule="auto"/>
        <w:rPr>
          <w:sz w:val="20"/>
          <w:szCs w:val="20"/>
          <w:color w:val="auto"/>
        </w:rPr>
      </w:pPr>
      <w:r>
        <w:rPr>
          <w:rFonts w:ascii="Arial" w:cs="Arial" w:eastAsia="Arial" w:hAnsi="Arial"/>
          <w:sz w:val="17"/>
          <w:szCs w:val="17"/>
          <w:color w:val="auto"/>
        </w:rPr>
        <w:t>Unless otherwise indicated, information contained in this prospectus concerning our industry, including our general expectations and market position, market opportunity and market size estimates, is based on information from independent industry analysts, third-party sources and management estimates. Management estimates are derived from publicly available information released by independent industry analysts and third-party sources, as well as data from our internal research, and are based on assumptions made by us based on such data and our knowledge of such industry and market, which we believe to be reasonable. In addition, while we believe the market opportunity information included in this prospectus is generally reliable and is based on reasonable assumptions, such data involves risks and uncertainties and is subject to change based on various factors, including those discussed under the heading “Risk Factors” and “Cautionary Statement Regarding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329565</wp:posOffset>
            </wp:positionV>
            <wp:extent cx="5516245" cy="8019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16245" cy="801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PROSPECTUS SUMMARY</w:t>
      </w:r>
    </w:p>
    <w:p>
      <w:pPr>
        <w:spacing w:after="0" w:line="162" w:lineRule="exact"/>
        <w:rPr>
          <w:sz w:val="20"/>
          <w:szCs w:val="20"/>
          <w:color w:val="auto"/>
        </w:rPr>
      </w:pPr>
    </w:p>
    <w:p>
      <w:pPr>
        <w:ind w:left="1280" w:right="459" w:firstLine="648"/>
        <w:spacing w:after="0" w:line="255"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may not contain all the information that may be important to you, and we urge you to read this entire prospectus carefully, including the “Risk Factors,” “Business” and “Management’s Discussion and Analysis of Financial Condition and Results of Operations” sections and our audited consolidated financial statements and notes to those statements, included elsewhere in this prospectus, before deciding to invest in our common shares.</w:t>
      </w:r>
    </w:p>
    <w:p>
      <w:pPr>
        <w:spacing w:after="0" w:line="18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Company</w:t>
      </w:r>
    </w:p>
    <w:p>
      <w:pPr>
        <w:spacing w:after="0" w:line="162" w:lineRule="exact"/>
        <w:rPr>
          <w:sz w:val="20"/>
          <w:szCs w:val="20"/>
          <w:color w:val="auto"/>
        </w:rPr>
      </w:pPr>
    </w:p>
    <w:p>
      <w:pPr>
        <w:ind w:left="1280" w:right="499" w:firstLine="648"/>
        <w:spacing w:after="0" w:line="269" w:lineRule="auto"/>
        <w:rPr>
          <w:sz w:val="20"/>
          <w:szCs w:val="20"/>
          <w:color w:val="auto"/>
        </w:rPr>
      </w:pPr>
      <w:r>
        <w:rPr>
          <w:rFonts w:ascii="Arial" w:cs="Arial" w:eastAsia="Arial" w:hAnsi="Arial"/>
          <w:sz w:val="17"/>
          <w:szCs w:val="17"/>
          <w:color w:val="auto"/>
        </w:rPr>
        <w:t>We are a global biopharmaceutical company developing a new class of transformative medicines based on messenger ribonucleic acid that has the potential to improve the lives of people. Our vision is to revolutionize medicine and open new avenues for developing therapies by enabling the body to make its own drugs. Messenger ribonucleic acid, or mRNA, plays a central role in cellular biology in the production of proteins in every living cell. We are the pioneers in successfully harnessing mRNAs designed to prevent infections and to treat diseases by mimicking human biology to synthesize the desired proteins. Our technology platform is based on a natural approach to optimize mRNA constructs that encode functional proteins that either induce a desired immune response or replace defective or missing proteins using the cell’s intrinsic translation machinery. Our current product portfolio includes clinical and preclinical candidates across multiple disease indications in prophylactic vaccines, oncology and protein therapy.</w:t>
      </w:r>
    </w:p>
    <w:p>
      <w:pPr>
        <w:spacing w:after="0" w:line="104" w:lineRule="exact"/>
        <w:rPr>
          <w:sz w:val="20"/>
          <w:szCs w:val="20"/>
          <w:color w:val="auto"/>
        </w:rPr>
      </w:pPr>
    </w:p>
    <w:p>
      <w:pPr>
        <w:ind w:left="1280" w:right="399" w:firstLine="648"/>
        <w:spacing w:after="0" w:line="252" w:lineRule="auto"/>
        <w:rPr>
          <w:sz w:val="20"/>
          <w:szCs w:val="20"/>
          <w:color w:val="auto"/>
        </w:rPr>
      </w:pPr>
      <w:r>
        <w:rPr>
          <w:rFonts w:ascii="Arial" w:cs="Arial" w:eastAsia="Arial" w:hAnsi="Arial"/>
          <w:sz w:val="18"/>
          <w:szCs w:val="18"/>
          <w:color w:val="auto"/>
        </w:rPr>
        <w:t>We are rapidly advancing our mRNA vaccine candidate, CVnCoV against coronavirus (SARS-CoV-2), for which we initiated a Phase 1 clinical trial in healthy volunteers in June 2020, a Phase 2a clinical trial in older adults in September 2020 and a pivotal Phase 2b/3 clinical trial in December 2020. For the Phase 1 clinical trial, we reported positive interim results on November 10, 2020, enabling us to select a recommended dose of 12μg to advance in the pivotal Phase 2b/3 clinical trial. The Phase 2a clinical trial is a partially observer-blind, multi-centered, controlled, dose-confirm trial, and is fully enrolled with 674 participants. We currently expect to report a first data read-out for the Phase 2a clinical trial later in the first quarter of 2021. For our pivotal Phase 2b/3 trial, we currently expect to conduct a first interim analysis later in the first quarter of 2021 or early in the second quarter of 2021, depending on the infection rate of SARS-COV-2 in clinical trial participants. Subject to the clinical trial results of CVnCoV, we expect to apply for regulatory approval in the second quarter of 2021. We are also engaged in a clinical program for CV7202, which we are currently investigating in a Phase 1 clinical trial for potential vaccination against rabies. Additionally, we are investigating our lead oncology clinical program, CV8102 in a Phase 1 clinical trial for the treatment of four types of solid tumors.</w:t>
      </w:r>
    </w:p>
    <w:p>
      <w:pPr>
        <w:spacing w:after="0" w:line="130" w:lineRule="exact"/>
        <w:rPr>
          <w:sz w:val="20"/>
          <w:szCs w:val="20"/>
          <w:color w:val="auto"/>
        </w:rPr>
      </w:pPr>
    </w:p>
    <w:p>
      <w:pPr>
        <w:ind w:left="1280" w:right="439" w:firstLine="648"/>
        <w:spacing w:after="0" w:line="253" w:lineRule="auto"/>
        <w:rPr>
          <w:sz w:val="20"/>
          <w:szCs w:val="20"/>
          <w:color w:val="auto"/>
        </w:rPr>
      </w:pPr>
      <w:r>
        <w:rPr>
          <w:rFonts w:ascii="Arial" w:cs="Arial" w:eastAsia="Arial" w:hAnsi="Arial"/>
          <w:sz w:val="18"/>
          <w:szCs w:val="18"/>
          <w:color w:val="auto"/>
        </w:rPr>
        <w:t>mRNA-based medicines represent a novel class of medicine that have the potential to address limitations of conventional treatment modalities. We believe the modular nature of mRNA has the potential for higher efficacy, greater speed and lower cost of production as compared to conventional treatment modalities. We are leveraging the inherent advantages of mRNA-based medicines in the development of our technology platform. We have built an extensive expertise in the fields of mRNA biology, optimization and production. We have continued to invest in developing our proprietary technology platform, which we refer to as the RNAoptimizer, over the past 20 years. We optimize mRNAs to preserve critical protein-RNA interactions as these are an inherent feature of the natural building blocks we employ. Our differentiated technology platform is designed to optimize each component of the mRNA-based medicine. Our RNA-optimizer platform is built on three core pillars:</w:t>
      </w:r>
    </w:p>
    <w:p>
      <w:pPr>
        <w:spacing w:after="0" w:line="86" w:lineRule="exact"/>
        <w:rPr>
          <w:sz w:val="20"/>
          <w:szCs w:val="20"/>
          <w:color w:val="auto"/>
        </w:rPr>
      </w:pPr>
    </w:p>
    <w:p>
      <w:pPr>
        <w:ind w:left="2280" w:hanging="354"/>
        <w:spacing w:after="0"/>
        <w:tabs>
          <w:tab w:leader="none" w:pos="22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Protein design: </w:t>
      </w:r>
      <w:r>
        <w:rPr>
          <w:rFonts w:ascii="Arial" w:cs="Arial" w:eastAsia="Arial" w:hAnsi="Arial"/>
          <w:sz w:val="18"/>
          <w:szCs w:val="18"/>
          <w:color w:val="auto"/>
        </w:rPr>
        <w:t>optimizing the specific properties of encoded protein;</w:t>
      </w:r>
    </w:p>
    <w:p>
      <w:pPr>
        <w:spacing w:after="0" w:line="117" w:lineRule="exact"/>
        <w:rPr>
          <w:rFonts w:ascii="Arial" w:cs="Arial" w:eastAsia="Arial" w:hAnsi="Arial"/>
          <w:sz w:val="18"/>
          <w:szCs w:val="18"/>
          <w:color w:val="auto"/>
        </w:rPr>
      </w:pPr>
    </w:p>
    <w:p>
      <w:pPr>
        <w:ind w:left="2280" w:hanging="354"/>
        <w:spacing w:after="0"/>
        <w:tabs>
          <w:tab w:leader="none" w:pos="22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mRNA optimization: </w:t>
      </w:r>
      <w:r>
        <w:rPr>
          <w:rFonts w:ascii="Arial" w:cs="Arial" w:eastAsia="Arial" w:hAnsi="Arial"/>
          <w:sz w:val="18"/>
          <w:szCs w:val="18"/>
          <w:color w:val="auto"/>
        </w:rPr>
        <w:t>increasing translation efficacy of the mRNA molecule; and</w:t>
      </w:r>
    </w:p>
    <w:p>
      <w:pPr>
        <w:spacing w:after="0" w:line="117" w:lineRule="exact"/>
        <w:rPr>
          <w:rFonts w:ascii="Arial" w:cs="Arial" w:eastAsia="Arial" w:hAnsi="Arial"/>
          <w:sz w:val="18"/>
          <w:szCs w:val="18"/>
          <w:color w:val="auto"/>
        </w:rPr>
      </w:pPr>
    </w:p>
    <w:p>
      <w:pPr>
        <w:ind w:left="2280" w:right="1139" w:hanging="354"/>
        <w:spacing w:after="0" w:line="277" w:lineRule="auto"/>
        <w:tabs>
          <w:tab w:leader="none" w:pos="22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mRNA delivery: </w:t>
      </w:r>
      <w:r>
        <w:rPr>
          <w:rFonts w:ascii="Arial" w:cs="Arial" w:eastAsia="Arial" w:hAnsi="Arial"/>
          <w:sz w:val="18"/>
          <w:szCs w:val="18"/>
          <w:color w:val="auto"/>
        </w:rPr>
        <w:t>selecting the best-suited delivery system from our diverse portfolio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proprietary and third party delivery systems.</w:t>
      </w:r>
    </w:p>
    <w:p>
      <w:pPr>
        <w:spacing w:after="0" w:line="103" w:lineRule="exact"/>
        <w:rPr>
          <w:sz w:val="20"/>
          <w:szCs w:val="20"/>
          <w:color w:val="auto"/>
        </w:rPr>
      </w:pPr>
    </w:p>
    <w:p>
      <w:pPr>
        <w:ind w:left="1280" w:right="399" w:firstLine="648"/>
        <w:spacing w:after="0" w:line="259" w:lineRule="auto"/>
        <w:rPr>
          <w:sz w:val="20"/>
          <w:szCs w:val="20"/>
          <w:color w:val="auto"/>
        </w:rPr>
      </w:pPr>
      <w:r>
        <w:rPr>
          <w:rFonts w:ascii="Arial" w:cs="Arial" w:eastAsia="Arial" w:hAnsi="Arial"/>
          <w:sz w:val="18"/>
          <w:szCs w:val="18"/>
          <w:color w:val="auto"/>
        </w:rPr>
        <w:t>By leveraging each of these pillars, we have observed improved protein expression levels while modulating the interaction with the immune system in preclinical and clinical trials. We continue to invest in all levels of optimization to improve the methods we currently employ and to further advance our mRNA-based medicines.</w:t>
      </w:r>
    </w:p>
    <w:p>
      <w:pPr>
        <w:sectPr>
          <w:pgSz w:w="11900" w:h="16838" w:orient="portrait"/>
          <w:cols w:equalWidth="0" w:num="1">
            <w:col w:w="9879"/>
          </w:cols>
          <w:pgMar w:left="580" w:top="131" w:right="1440" w:bottom="1440" w:gutter="0" w:footer="0" w:header="0"/>
        </w:sectPr>
      </w:pPr>
    </w:p>
    <w:p>
      <w:pPr>
        <w:spacing w:after="0" w:line="389"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299720</wp:posOffset>
            </wp:positionV>
            <wp:extent cx="68065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329565</wp:posOffset>
            </wp:positionV>
            <wp:extent cx="5516245" cy="80619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16245" cy="806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80" w:right="419" w:firstLine="648"/>
        <w:spacing w:after="0" w:line="267" w:lineRule="auto"/>
        <w:rPr>
          <w:sz w:val="20"/>
          <w:szCs w:val="20"/>
          <w:color w:val="auto"/>
        </w:rPr>
      </w:pPr>
      <w:r>
        <w:rPr>
          <w:rFonts w:ascii="Arial" w:cs="Arial" w:eastAsia="Arial" w:hAnsi="Arial"/>
          <w:sz w:val="17"/>
          <w:szCs w:val="17"/>
          <w:color w:val="auto"/>
        </w:rPr>
        <w:t>We consider our manufacturing process an important part of our strategy that allows us to continuously improve our technology platform and maintain flexibility in clinical development. In the context of COVID-19, we are currently producing material for our vaccine candidate in our GMP III facility and building a broad and integrated European vaccine manufacturing network with highly experienced Contract Development and Manufacturing Organization partners for each of the key manufacturing steps for CVnCoV. With this strategy, we are expecting to significantly increase our existing manufacturing capacities for CVnCoV to an annual output of up to 300 million doses in 2021 and up to 600 million doses in 2022, while managing potential supply chain risks. Our manufacturing setup allows us to drive innovation and to maintain flexibility as well as to pivot quickly in clinical development and potential commercialization. In house, we currently operate three GMP-certified suites, with the capacity to supply our clinical programs and support potential early commercialization activities. We are in the process of building a fourth GMP large-scale production facility, at CureVac’s headquarters in Tübingen, which is being designed to cover all manufacturing steps from starting material to formulation, and which could potentially supply materials for hundreds of millions of doses of our vaccine product candidates to support our future commercial launches. The GMP IV large-scale production facility is supported by the European Investment Bank. In addition to our GMP manufacturing facilities, we are developing a novel downsized, mobile and automated process for producing our mRNA, which we refer to as the RNA Printer.</w:t>
      </w:r>
    </w:p>
    <w:p>
      <w:pPr>
        <w:spacing w:after="0" w:line="110" w:lineRule="exact"/>
        <w:rPr>
          <w:sz w:val="20"/>
          <w:szCs w:val="20"/>
          <w:color w:val="auto"/>
        </w:rPr>
      </w:pPr>
    </w:p>
    <w:p>
      <w:pPr>
        <w:ind w:left="1280" w:right="459" w:firstLine="648"/>
        <w:spacing w:after="0" w:line="268" w:lineRule="auto"/>
        <w:rPr>
          <w:sz w:val="20"/>
          <w:szCs w:val="20"/>
          <w:color w:val="auto"/>
        </w:rPr>
      </w:pPr>
      <w:r>
        <w:rPr>
          <w:rFonts w:ascii="Arial" w:cs="Arial" w:eastAsia="Arial" w:hAnsi="Arial"/>
          <w:sz w:val="17"/>
          <w:szCs w:val="17"/>
          <w:color w:val="auto"/>
        </w:rPr>
        <w:t>Our approach seeks to mitigate clinical and developmental risk across multiple levels to advance and expand our broad product portfolio through rational disease selection. We consider a number of factors in our disease selection process including unmet medical need, immune response, duration of expression, dosing requirements, delivery, and targeted tissue types, among other factors. Our programs target the underlying modes of action of the disease that play a critical role in the pathology of the disease. We are initially targeting diseases that require an active immune response (such as prophylactic vaccines and oncology) and require transient expression of mRNA in tissue types that are more easily accessible. We believe these initial indications are amenable to localized delivery using a lipid nanoparticle, or LNP, delivery system. Following the encouraging results from our prophylactic vaccines program in clinical studies and based on our advanced understanding of mRNA biology and immune stimulation control, we have expanded our product portfolio to target indications that require an immune silent approach (such as protein delivery), given the need for higher doses, repeated dosing and longer expression of the protein. These initial indications are using LNP delivery systems, or our proprietary polymer based delivery system, which we refer to as the CureVac Carrier Molecule, or CVCM. Our access to a broad range of delivery systems allows us to target multiple tissue types.</w:t>
      </w:r>
    </w:p>
    <w:p>
      <w:pPr>
        <w:spacing w:after="0" w:line="114" w:lineRule="exact"/>
        <w:rPr>
          <w:sz w:val="20"/>
          <w:szCs w:val="20"/>
          <w:color w:val="auto"/>
        </w:rPr>
      </w:pPr>
    </w:p>
    <w:p>
      <w:pPr>
        <w:ind w:left="1280" w:right="419" w:firstLine="648"/>
        <w:spacing w:after="0" w:line="267" w:lineRule="auto"/>
        <w:rPr>
          <w:sz w:val="20"/>
          <w:szCs w:val="20"/>
          <w:color w:val="auto"/>
        </w:rPr>
      </w:pPr>
      <w:r>
        <w:rPr>
          <w:rFonts w:ascii="Arial" w:cs="Arial" w:eastAsia="Arial" w:hAnsi="Arial"/>
          <w:sz w:val="17"/>
          <w:szCs w:val="17"/>
          <w:color w:val="auto"/>
        </w:rPr>
        <w:t>We are exploring a range of potential approaches in oncology including intratumoral therapy and novel cancer vaccines targeting neoepitopes and tumor associated antigens. Our lead oncology candidate, CV8102, is a complex of single-stranded non-coding RNA which has been optimized to maximize activation of cellular receptors that normally detect viral pathogens entering the cells (such as toll-like receptor 7, or TLR7, TLR8, and retinoic acid inducible gene I, or RIG-I pathways), mimicking a viral infection of the tumor. CV8102 is designed to recruit and activate antigen-presenting cells at the site of injection to present tumor antigens released from tumor cells to T cells in the draining lymph node. This potentially leads to activation of tumor specific T cells, which can kill tumor cells at the injected site, but also at distant non-injected tumor lesions or metastases. CV8102 is currently being evaluated in a Phase 1 clinical trial for the treatment of four types of solid tumors — cutaneous melanoma, or cMEL, adenoidcystic carcinoma, or ACC, squamous cell carcinoma of skin, or SCC, and squamous cell carcinoma of head and neck, or HNSCC. As of October 5, 2020, we have enrolled 50 patients (29 in the single agent cohort and 21 in the combination cohort with anti-PD-1) in the Phase 1 dose-escalation portion of the study. As of the cutoff date of October 5, 2020, in the single agent CV8102 cohort, we observed one patient with a complete response and two patients with a partial response according to RECIST 1.1. In addition, nine patients experienced a best response of stable disease after 8 weeks of treatment (associated with shrinkage of non-injected lesions in one patient, shrinkage of injected lesion in one patient and shrinkage of both the non-injected and injected lesions in one patient). Of the 29 patients treated with single agent CV8102, nine (31%) remained free of progression for ≥ six months as of the cutoff date. In the PD-1 combination cohort, one PD1 refractory melanoma patient experienced a partial response according to RECIST 1.1. As of the cutoff date, one PD-1 pre-treated patient with HNSCC and one PD-1 refractory melanoma patient experienced stable disease after the eight-week treatment period and the melanoma patient showed regression of the injected and some</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299720</wp:posOffset>
            </wp:positionV>
            <wp:extent cx="68065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329565</wp:posOffset>
            </wp:positionV>
            <wp:extent cx="5516245" cy="79590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80" w:right="399"/>
        <w:spacing w:after="0" w:line="308" w:lineRule="auto"/>
        <w:rPr>
          <w:sz w:val="20"/>
          <w:szCs w:val="20"/>
          <w:color w:val="auto"/>
        </w:rPr>
      </w:pPr>
      <w:r>
        <w:rPr>
          <w:rFonts w:ascii="Arial" w:cs="Arial" w:eastAsia="Arial" w:hAnsi="Arial"/>
          <w:sz w:val="17"/>
          <w:szCs w:val="17"/>
          <w:color w:val="auto"/>
        </w:rPr>
        <w:t>non-injected lesions, while other non-injected lesions showed progression. Based on the interim results from the Phase 1 clinical trial, we plan to determine the recommended dose for Phase 2 in the near future.</w:t>
      </w:r>
    </w:p>
    <w:p>
      <w:pPr>
        <w:spacing w:after="0" w:line="65" w:lineRule="exact"/>
        <w:rPr>
          <w:sz w:val="20"/>
          <w:szCs w:val="20"/>
          <w:color w:val="auto"/>
        </w:rPr>
      </w:pPr>
    </w:p>
    <w:p>
      <w:pPr>
        <w:ind w:left="1280" w:right="399" w:firstLine="648"/>
        <w:spacing w:after="0" w:line="269" w:lineRule="auto"/>
        <w:rPr>
          <w:sz w:val="20"/>
          <w:szCs w:val="20"/>
          <w:color w:val="auto"/>
        </w:rPr>
      </w:pPr>
      <w:r>
        <w:rPr>
          <w:rFonts w:ascii="Arial" w:cs="Arial" w:eastAsia="Arial" w:hAnsi="Arial"/>
          <w:sz w:val="17"/>
          <w:szCs w:val="17"/>
          <w:color w:val="auto"/>
        </w:rPr>
        <w:t>Our mRNA technology platform has shown potential in the development and production of prophylactic vaccines against infectious diseases. Our first vaccine program, CV7202, is being developed for prophylactic vaccination against rabies. CV7202 is an mRNA that encodes the rabies virus glycoprotein, RABV-G, formulated with LNPs. We are currently investigating CV7202 in Phase 1 clinical trial, evaluating safety, including reactogenicity, and immunogenicity. In January 2020, we reported preliminary data from our Phase 1 trial of CV7202 in rabies. CV7202 induced adaptive immune response as shown by rabies-specific virus-neutralizing antibody titers, or VNTs, above the World Health Organization, or WHO, thresholds considered to be protective, after the second dose in all subjects, at the lowest 1μg and 2μg dose levels. We also showed that the lowest dose levels (1μg and 2μg mRNA) were generally well tolerated. We have submitted a manuscript with Phase 1 data for publication in a scientific journal and are currently assessing the timeline for advancing CV7202 into a Phase 2 clinical trial.</w:t>
      </w:r>
    </w:p>
    <w:p>
      <w:pPr>
        <w:spacing w:after="0" w:line="114" w:lineRule="exact"/>
        <w:rPr>
          <w:sz w:val="20"/>
          <w:szCs w:val="20"/>
          <w:color w:val="auto"/>
        </w:rPr>
      </w:pPr>
    </w:p>
    <w:p>
      <w:pPr>
        <w:ind w:left="1280" w:right="499" w:firstLine="648"/>
        <w:spacing w:after="0" w:line="267" w:lineRule="auto"/>
        <w:rPr>
          <w:sz w:val="20"/>
          <w:szCs w:val="20"/>
          <w:color w:val="auto"/>
        </w:rPr>
      </w:pPr>
      <w:r>
        <w:rPr>
          <w:rFonts w:ascii="Arial" w:cs="Arial" w:eastAsia="Arial" w:hAnsi="Arial"/>
          <w:sz w:val="17"/>
          <w:szCs w:val="17"/>
          <w:color w:val="auto"/>
        </w:rPr>
        <w:t>In response to the global pandemic due to novel coronavirus 2019 disease, or COVID-19, we have rapidly advanced our mRNA vaccine program against the novel coronavirus, or SARS-CoV-2. Upon publication of the sequence of SARS-CoV-2 at the end of January 2020, we designed and optimized a variety of potential antigenic constructs based on the spike (S) protein to elicit high immunogenicity. Early exploratory data on these constructs indicated high immunogenicity and titers of S specific binding and neutralizing antibodies in mice after a single vaccination. The results of our preclinical studies suggested that our vaccine candidate against SARS-CoV-2 was active at low dose and triggered fast induction of a balanced immune response with high levels of VNTs and T-cell responses. Based on the preclinical results, we initiated a Phase 1 clinical trial in healthy volunteers in June 2020, and a Phase 2a clinical trial in older adults above 60 years old in September 2020 and a pivotal Phase 2b/3 clinical trial in December 2020. On November 10, 2020, we reported positive interim Phase 1 data, which showed that, as of the cutoff date of October 31, 2020, our vaccine candidate induced relevant antibody titers. The quality of the immune responses observed in vaccinated and healthy volunteers was found to be comparable to the immune response identified or detected in convalescent sera taken from recovered COVID-19 patients, thereby mimicking the immune response observed after a natural COVID-19 infection. We believe these interim data support our decision to advance a 12µg dose to the pivotal clinical trial. For the Phase 2a clinical trial, we currently expect to report a first data read-out later in the first quarter of 2021.</w:t>
      </w:r>
    </w:p>
    <w:p>
      <w:pPr>
        <w:spacing w:after="0" w:line="124" w:lineRule="exact"/>
        <w:rPr>
          <w:sz w:val="20"/>
          <w:szCs w:val="20"/>
          <w:color w:val="auto"/>
        </w:rPr>
      </w:pPr>
    </w:p>
    <w:p>
      <w:pPr>
        <w:ind w:left="1280" w:right="459" w:firstLine="648"/>
        <w:spacing w:after="0" w:line="270" w:lineRule="auto"/>
        <w:rPr>
          <w:sz w:val="20"/>
          <w:szCs w:val="20"/>
          <w:color w:val="auto"/>
        </w:rPr>
      </w:pPr>
      <w:r>
        <w:rPr>
          <w:rFonts w:ascii="Arial" w:cs="Arial" w:eastAsia="Arial" w:hAnsi="Arial"/>
          <w:sz w:val="17"/>
          <w:szCs w:val="17"/>
          <w:color w:val="auto"/>
        </w:rPr>
        <w:t>Our Phase 2b/3 study, called HERALD, is expected to enroll more than 37,000 participants, above the age of 18, at sites in Europe and Latin America. The study is randomized, observer blind, placebo-controlled, on a two-dose schedule and was started with an initial Phase 2b safety part, which is expected to merge into a Phase 3 efficacy trial. The Phase 2b/3 study has a primary safety objective and two primary efficacy objectives: the demonstration of the efficacy of preventing first episodes of confirmed cases of COVID-19 of any severity and preventing moderate to severe confirmed cases of COVID-19 in participants who have never been infected with SARS-CoV-2. We currently expect to conduct a first interim analysis of the pivotal Phase 2b/3 study later in the first quarter of 2021 or early in the second quarter of 2021, depending on the infection rate of SARS-COV-2 in clinical trial participants.</w:t>
      </w:r>
    </w:p>
    <w:p>
      <w:pPr>
        <w:spacing w:after="0" w:line="100" w:lineRule="exact"/>
        <w:rPr>
          <w:sz w:val="20"/>
          <w:szCs w:val="20"/>
          <w:color w:val="auto"/>
        </w:rPr>
      </w:pPr>
    </w:p>
    <w:p>
      <w:pPr>
        <w:ind w:left="1280" w:right="579" w:firstLine="648"/>
        <w:spacing w:after="0" w:line="270" w:lineRule="auto"/>
        <w:rPr>
          <w:sz w:val="20"/>
          <w:szCs w:val="20"/>
          <w:color w:val="auto"/>
        </w:rPr>
      </w:pPr>
      <w:r>
        <w:rPr>
          <w:rFonts w:ascii="Arial" w:cs="Arial" w:eastAsia="Arial" w:hAnsi="Arial"/>
          <w:sz w:val="17"/>
          <w:szCs w:val="17"/>
          <w:color w:val="auto"/>
        </w:rPr>
        <w:t>Our development efforts for protein therapy are based on delivering optimized mRNAs to trigger production of antibodies or therapeutic proteins. Based on this “healthy” information delivered by mRNA, our cells can produce proteins, which are required to treat the disease caused by missing or inactive proteins. Protein therapy has the potential to be used as a treatment against infectious diseases and toxins and to be applied in many disease indications including cancer, cardiovascular diseases and autoimmune diseases. In preclinical studies in non-human primates, we have demonstrated that antibodies encoded by mRNA can be produced in hepatocytes very rapidly and can reach therapeutic levels in the blood stream. We are also currently advancing multiple undisclosed programs in preclinical studies across eye disorders and lung diseases as well as delivering therapeutic antibodies.</w:t>
      </w:r>
    </w:p>
    <w:p>
      <w:pPr>
        <w:spacing w:after="0" w:line="113" w:lineRule="exact"/>
        <w:rPr>
          <w:sz w:val="20"/>
          <w:szCs w:val="20"/>
          <w:color w:val="auto"/>
        </w:rPr>
      </w:pPr>
    </w:p>
    <w:p>
      <w:pPr>
        <w:ind w:left="1280" w:right="779" w:firstLine="648"/>
        <w:spacing w:after="0" w:line="263" w:lineRule="auto"/>
        <w:rPr>
          <w:sz w:val="20"/>
          <w:szCs w:val="20"/>
          <w:color w:val="auto"/>
        </w:rPr>
      </w:pPr>
      <w:r>
        <w:rPr>
          <w:rFonts w:ascii="Arial" w:cs="Arial" w:eastAsia="Arial" w:hAnsi="Arial"/>
          <w:sz w:val="18"/>
          <w:szCs w:val="18"/>
          <w:color w:val="auto"/>
        </w:rPr>
        <w:t>We have built an intellectual property portfolio in the United States, Europe and other major geographies. Our patent portfolio includes claims relating to our RNA technology platform, our CVCM delivery system and our CV8102, CV7202, CV-SSIV and CVnCoV product candidates.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299720</wp:posOffset>
            </wp:positionV>
            <wp:extent cx="68065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329565</wp:posOffset>
            </wp:positionV>
            <wp:extent cx="5516245" cy="79590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80" w:right="419" w:firstLine="648"/>
        <w:spacing w:after="0" w:line="271" w:lineRule="auto"/>
        <w:rPr>
          <w:sz w:val="20"/>
          <w:szCs w:val="20"/>
          <w:color w:val="auto"/>
        </w:rPr>
      </w:pPr>
      <w:r>
        <w:rPr>
          <w:rFonts w:ascii="Arial" w:cs="Arial" w:eastAsia="Arial" w:hAnsi="Arial"/>
          <w:sz w:val="17"/>
          <w:szCs w:val="17"/>
          <w:color w:val="auto"/>
        </w:rPr>
        <w:t>We have a history of partnering with leading biopharmaceutical companies such as Boehringer Ingelheim GmbH, or Boehringer Ingelheim, GlaxoSmithKline Biologicals SA, or GSK, CRISPR Therapeutics AG, or CRISPR Therapeutics, Genmab B.V., or Genmab, and most recently, Bayer AG. We also have received research grants from the Bill &amp; Melinda Gates Foundation and CEPI for the development of several prophylactic vaccines. In addition, we have collaborations with the Schepens Eye Research Institute, Harvard Medical School and the Massachusetts Eye and Ear Infirmary, collectively SERI, as well as Yale University. Our approach of partnering with a number of biopharmaceutical companies allows us to execute on a broad range of programs simultaneously, while mitigating our drug development risk.</w:t>
      </w:r>
    </w:p>
    <w:p>
      <w:pPr>
        <w:spacing w:after="0" w:line="97" w:lineRule="exact"/>
        <w:rPr>
          <w:sz w:val="20"/>
          <w:szCs w:val="20"/>
          <w:color w:val="auto"/>
        </w:rPr>
      </w:pPr>
    </w:p>
    <w:p>
      <w:pPr>
        <w:ind w:left="1280" w:right="419" w:firstLine="648"/>
        <w:spacing w:after="0" w:line="254" w:lineRule="auto"/>
        <w:rPr>
          <w:sz w:val="20"/>
          <w:szCs w:val="20"/>
          <w:color w:val="auto"/>
        </w:rPr>
      </w:pPr>
      <w:r>
        <w:rPr>
          <w:rFonts w:ascii="Arial" w:cs="Arial" w:eastAsia="Arial" w:hAnsi="Arial"/>
          <w:sz w:val="18"/>
          <w:szCs w:val="18"/>
          <w:color w:val="auto"/>
        </w:rPr>
        <w:t>We are led by a team of veterans with extensive experience in the biopharmaceutical industry, including experience in nucleic acid therapy, oncology, rare and infectious diseases, and antibodies. Our management team as well as our supervisory board members have broad expertise in the clinical, regulatory, and commercialization aspects of oncology, prophylactic vaccines and protein therapy as well as in drug development, process development, and manufacturing for mRNA therapies. We currently have over 500 employees, including 164 employees with advanced scientific degrees. Since our founding in 2000, we have raised €1.25 billion in gross proceeds from a combination of equity and debt financings with an additional €50 million of external committed financing outstanding.</w:t>
      </w:r>
    </w:p>
    <w:p>
      <w:pPr>
        <w:spacing w:after="0" w:line="18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Product Portfolio</w:t>
      </w:r>
    </w:p>
    <w:p>
      <w:pPr>
        <w:spacing w:after="0" w:line="162" w:lineRule="exact"/>
        <w:rPr>
          <w:sz w:val="20"/>
          <w:szCs w:val="20"/>
          <w:color w:val="auto"/>
        </w:rPr>
      </w:pPr>
    </w:p>
    <w:p>
      <w:pPr>
        <w:ind w:left="1280" w:right="459" w:firstLine="648"/>
        <w:spacing w:after="0" w:line="257" w:lineRule="auto"/>
        <w:rPr>
          <w:sz w:val="20"/>
          <w:szCs w:val="20"/>
          <w:color w:val="auto"/>
        </w:rPr>
      </w:pPr>
      <w:r>
        <w:rPr>
          <w:rFonts w:ascii="Arial" w:cs="Arial" w:eastAsia="Arial" w:hAnsi="Arial"/>
          <w:sz w:val="18"/>
          <w:szCs w:val="18"/>
          <w:color w:val="auto"/>
        </w:rPr>
        <w:t>Our differentiated mRNA technology platform is designed to address a broad range of diseases across multiple therapeutic areas. Given the strengths of our platform, the broad potential of mRNA-based medicines, and our rational approach to disease selection, we have chosen to leverage our platform to initially focus on advancing our product candidates in the areas of infectious diseases, oncology and protein therapy.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920" w:right="559" w:hanging="642"/>
        <w:spacing w:after="0" w:line="263" w:lineRule="auto"/>
        <w:tabs>
          <w:tab w:leader="none" w:pos="1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further details on our collaboration agreements, see “Business — Collaborations” and “Management’s Discussion and Analysis of Financial Condition and Results of Operations — Our Collaborations and Related License Agreements”</w:t>
      </w:r>
    </w:p>
    <w:p>
      <w:pPr>
        <w:spacing w:after="0" w:line="49" w:lineRule="exact"/>
        <w:rPr>
          <w:sz w:val="20"/>
          <w:szCs w:val="20"/>
          <w:color w:val="auto"/>
        </w:rPr>
      </w:pPr>
    </w:p>
    <w:p>
      <w:pPr>
        <w:ind w:left="1920" w:hanging="642"/>
        <w:spacing w:after="0"/>
        <w:tabs>
          <w:tab w:leader="none" w:pos="1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Unidentified indication.</w:t>
      </w:r>
    </w:p>
    <w:p>
      <w:pPr>
        <w:spacing w:after="0" w:line="104" w:lineRule="exact"/>
        <w:rPr>
          <w:sz w:val="20"/>
          <w:szCs w:val="20"/>
          <w:color w:val="auto"/>
        </w:rPr>
      </w:pPr>
    </w:p>
    <w:p>
      <w:pPr>
        <w:ind w:left="1920" w:right="419" w:hanging="642"/>
        <w:spacing w:after="0" w:line="263" w:lineRule="auto"/>
        <w:tabs>
          <w:tab w:leader="none" w:pos="1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initiated a combined Phase 2b/3 clinical trial, called HERALD, for our COVID-19 vaccine candidate, CVnCoV, see “Business — RNA-Based Prophylactic Vaccines — COVID-19 Vaccines Program — CVnCoV Phase 2b/3 Clinical Trial.”</w:t>
      </w:r>
    </w:p>
    <w:p>
      <w:pPr>
        <w:spacing w:after="0" w:line="62" w:lineRule="exact"/>
        <w:rPr>
          <w:rFonts w:ascii="Arial" w:cs="Arial" w:eastAsia="Arial" w:hAnsi="Arial"/>
          <w:sz w:val="18"/>
          <w:szCs w:val="18"/>
          <w:color w:val="auto"/>
        </w:rPr>
      </w:pPr>
    </w:p>
    <w:p>
      <w:pPr>
        <w:ind w:left="1920" w:right="679" w:hanging="642"/>
        <w:spacing w:after="0" w:line="286" w:lineRule="auto"/>
        <w:tabs>
          <w:tab w:leader="none" w:pos="1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CEPI has committed to provide funding, which has been used for a Phase 1 clinical trial. See “Business — Collaborations — Coalition for Epidemic Preparedness Innovations Framework Partnering Agreement” and “Management’s Discussion and Analysis of Financial Condition and</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299720</wp:posOffset>
            </wp:positionV>
            <wp:extent cx="68065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329565</wp:posOffset>
            </wp:positionV>
            <wp:extent cx="5516245" cy="7959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920" w:right="839"/>
        <w:spacing w:after="0" w:line="261" w:lineRule="auto"/>
        <w:rPr>
          <w:sz w:val="20"/>
          <w:szCs w:val="20"/>
          <w:color w:val="auto"/>
        </w:rPr>
      </w:pPr>
      <w:r>
        <w:rPr>
          <w:rFonts w:ascii="Arial" w:cs="Arial" w:eastAsia="Arial" w:hAnsi="Arial"/>
          <w:sz w:val="18"/>
          <w:szCs w:val="18"/>
          <w:color w:val="auto"/>
        </w:rPr>
        <w:t>Results of Operations — Our Collaborations and Related License Agreements — Coalition for Epidemic Preparedness Innovations.”</w:t>
      </w:r>
    </w:p>
    <w:p>
      <w:pPr>
        <w:spacing w:after="0" w:line="16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Strengths</w:t>
      </w:r>
    </w:p>
    <w:p>
      <w:pPr>
        <w:spacing w:after="0" w:line="148" w:lineRule="exact"/>
        <w:rPr>
          <w:sz w:val="20"/>
          <w:szCs w:val="20"/>
          <w:color w:val="auto"/>
        </w:rPr>
      </w:pPr>
    </w:p>
    <w:p>
      <w:pPr>
        <w:ind w:left="1280" w:right="419" w:firstLine="648"/>
        <w:spacing w:after="0" w:line="248" w:lineRule="auto"/>
        <w:rPr>
          <w:sz w:val="20"/>
          <w:szCs w:val="20"/>
          <w:color w:val="auto"/>
        </w:rPr>
      </w:pPr>
      <w:r>
        <w:rPr>
          <w:rFonts w:ascii="Arial" w:cs="Arial" w:eastAsia="Arial" w:hAnsi="Arial"/>
          <w:sz w:val="18"/>
          <w:szCs w:val="18"/>
          <w:color w:val="auto"/>
        </w:rPr>
        <w:t>We are developing a broad portfolio of product candidates currently in preclinical or clinical development stages that we believe position us at the forefront of targeted immune active and immune silent mRNA medicines. Our key strengths include:</w:t>
      </w:r>
    </w:p>
    <w:p>
      <w:pPr>
        <w:spacing w:after="0" w:line="74" w:lineRule="exact"/>
        <w:rPr>
          <w:sz w:val="20"/>
          <w:szCs w:val="20"/>
          <w:color w:val="auto"/>
        </w:rPr>
      </w:pPr>
    </w:p>
    <w:p>
      <w:pPr>
        <w:ind w:left="2280" w:right="619" w:hanging="354"/>
        <w:spacing w:after="0" w:line="277" w:lineRule="auto"/>
        <w:tabs>
          <w:tab w:leader="none" w:pos="2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differentiated mRNA technology platform that has the potential to address a wide range of diseases.</w:t>
      </w:r>
    </w:p>
    <w:p>
      <w:pPr>
        <w:spacing w:after="0" w:line="62" w:lineRule="exact"/>
        <w:rPr>
          <w:rFonts w:ascii="Arial" w:cs="Arial" w:eastAsia="Arial" w:hAnsi="Arial"/>
          <w:sz w:val="18"/>
          <w:szCs w:val="18"/>
          <w:color w:val="auto"/>
        </w:rPr>
      </w:pPr>
    </w:p>
    <w:p>
      <w:pPr>
        <w:ind w:left="2280" w:right="659" w:hanging="354"/>
        <w:spacing w:after="0" w:line="308" w:lineRule="auto"/>
        <w:tabs>
          <w:tab w:leader="none" w:pos="2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have a broad portfolio of mRNA-based medicines in preclinical or clinical development stages being designed for efficacy, safety and protein expression at relatively low doses.</w:t>
      </w:r>
    </w:p>
    <w:p>
      <w:pPr>
        <w:spacing w:after="0" w:line="38" w:lineRule="exact"/>
        <w:rPr>
          <w:rFonts w:ascii="Arial" w:cs="Arial" w:eastAsia="Arial" w:hAnsi="Arial"/>
          <w:sz w:val="17"/>
          <w:szCs w:val="17"/>
          <w:color w:val="auto"/>
        </w:rPr>
      </w:pPr>
    </w:p>
    <w:p>
      <w:pPr>
        <w:ind w:left="2280" w:hanging="354"/>
        <w:spacing w:after="0"/>
        <w:tabs>
          <w:tab w:leader="none" w:pos="2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the ability to target different tissue types based on our delivery systems.</w:t>
      </w:r>
    </w:p>
    <w:p>
      <w:pPr>
        <w:spacing w:after="0" w:line="103" w:lineRule="exact"/>
        <w:rPr>
          <w:rFonts w:ascii="Arial" w:cs="Arial" w:eastAsia="Arial" w:hAnsi="Arial"/>
          <w:sz w:val="18"/>
          <w:szCs w:val="18"/>
          <w:color w:val="auto"/>
        </w:rPr>
      </w:pPr>
    </w:p>
    <w:p>
      <w:pPr>
        <w:ind w:left="2280" w:right="919" w:hanging="354"/>
        <w:spacing w:after="0" w:line="263" w:lineRule="auto"/>
        <w:tabs>
          <w:tab w:leader="none" w:pos="2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invested in building our in-house manufacturing infrastructure, capabilities and expertise to rapidly, efficiently and cost-effectively produce mRNA-based medicines at commercial scale.</w:t>
      </w:r>
    </w:p>
    <w:p>
      <w:pPr>
        <w:spacing w:after="0" w:line="75" w:lineRule="exact"/>
        <w:rPr>
          <w:rFonts w:ascii="Arial" w:cs="Arial" w:eastAsia="Arial" w:hAnsi="Arial"/>
          <w:sz w:val="18"/>
          <w:szCs w:val="18"/>
          <w:color w:val="auto"/>
        </w:rPr>
      </w:pPr>
    </w:p>
    <w:p>
      <w:pPr>
        <w:ind w:left="2280" w:right="759" w:hanging="354"/>
        <w:spacing w:after="0" w:line="342" w:lineRule="auto"/>
        <w:tabs>
          <w:tab w:leader="none" w:pos="228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have entered into strategic partnerships with leading biopharmaceutical companies and research and nonprofit institutions to expand the applications of our technology platform.</w:t>
      </w:r>
    </w:p>
    <w:p>
      <w:pPr>
        <w:spacing w:after="0" w:line="15" w:lineRule="exact"/>
        <w:rPr>
          <w:rFonts w:ascii="Arial" w:cs="Arial" w:eastAsia="Arial" w:hAnsi="Arial"/>
          <w:sz w:val="16"/>
          <w:szCs w:val="16"/>
          <w:color w:val="auto"/>
        </w:rPr>
      </w:pPr>
    </w:p>
    <w:p>
      <w:pPr>
        <w:ind w:left="2280" w:right="699" w:hanging="354"/>
        <w:spacing w:after="0" w:line="277" w:lineRule="auto"/>
        <w:tabs>
          <w:tab w:leader="none" w:pos="2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built an intellectual property portfolio in a variety of markets for our platform and product candidates.</w:t>
      </w:r>
    </w:p>
    <w:p>
      <w:pPr>
        <w:spacing w:after="0" w:line="48" w:lineRule="exact"/>
        <w:rPr>
          <w:rFonts w:ascii="Arial" w:cs="Arial" w:eastAsia="Arial" w:hAnsi="Arial"/>
          <w:sz w:val="18"/>
          <w:szCs w:val="18"/>
          <w:color w:val="auto"/>
        </w:rPr>
      </w:pPr>
    </w:p>
    <w:p>
      <w:pPr>
        <w:ind w:left="2280" w:right="759" w:hanging="354"/>
        <w:spacing w:after="0" w:line="277" w:lineRule="auto"/>
        <w:tabs>
          <w:tab w:leader="none" w:pos="2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long history of mRNA research and development and are led by an experienced management team.</w:t>
      </w:r>
    </w:p>
    <w:p>
      <w:pPr>
        <w:spacing w:after="0" w:line="16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Strategy</w:t>
      </w:r>
    </w:p>
    <w:p>
      <w:pPr>
        <w:spacing w:after="0" w:line="162" w:lineRule="exact"/>
        <w:rPr>
          <w:sz w:val="20"/>
          <w:szCs w:val="20"/>
          <w:color w:val="auto"/>
        </w:rPr>
      </w:pPr>
    </w:p>
    <w:p>
      <w:pPr>
        <w:ind w:left="1280" w:right="459" w:firstLine="648"/>
        <w:spacing w:after="0" w:line="261" w:lineRule="auto"/>
        <w:rPr>
          <w:sz w:val="20"/>
          <w:szCs w:val="20"/>
          <w:color w:val="auto"/>
        </w:rPr>
      </w:pPr>
      <w:r>
        <w:rPr>
          <w:rFonts w:ascii="Arial" w:cs="Arial" w:eastAsia="Arial" w:hAnsi="Arial"/>
          <w:sz w:val="18"/>
          <w:szCs w:val="18"/>
          <w:color w:val="auto"/>
        </w:rPr>
        <w:t>Our goal is to build a leading, fully integrated mRNA-based medicines company that can transform the lives of people. The key components of our strategy include:</w:t>
      </w:r>
    </w:p>
    <w:p>
      <w:pPr>
        <w:spacing w:after="0" w:line="63" w:lineRule="exact"/>
        <w:rPr>
          <w:sz w:val="20"/>
          <w:szCs w:val="20"/>
          <w:color w:val="auto"/>
        </w:rPr>
      </w:pPr>
    </w:p>
    <w:p>
      <w:pPr>
        <w:ind w:left="2280" w:right="659" w:hanging="354"/>
        <w:spacing w:after="0" w:line="277" w:lineRule="auto"/>
        <w:tabs>
          <w:tab w:leader="none" w:pos="2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invest in our proprietary technology platform to be the leading mRNA platform company.</w:t>
      </w:r>
    </w:p>
    <w:p>
      <w:pPr>
        <w:spacing w:after="0" w:line="62" w:lineRule="exact"/>
        <w:rPr>
          <w:rFonts w:ascii="Arial" w:cs="Arial" w:eastAsia="Arial" w:hAnsi="Arial"/>
          <w:sz w:val="18"/>
          <w:szCs w:val="18"/>
          <w:color w:val="auto"/>
        </w:rPr>
      </w:pPr>
    </w:p>
    <w:p>
      <w:pPr>
        <w:ind w:left="2280" w:right="559" w:hanging="354"/>
        <w:spacing w:after="0" w:line="277" w:lineRule="auto"/>
        <w:tabs>
          <w:tab w:leader="none" w:pos="2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Utilize a rational disease selection approach to minimize clinical and commercial risk for our programs and broader platform.</w:t>
      </w:r>
    </w:p>
    <w:p>
      <w:pPr>
        <w:spacing w:after="0" w:line="48" w:lineRule="exact"/>
        <w:rPr>
          <w:rFonts w:ascii="Arial" w:cs="Arial" w:eastAsia="Arial" w:hAnsi="Arial"/>
          <w:sz w:val="18"/>
          <w:szCs w:val="18"/>
          <w:color w:val="auto"/>
        </w:rPr>
      </w:pPr>
    </w:p>
    <w:p>
      <w:pPr>
        <w:ind w:left="2280" w:right="799" w:hanging="354"/>
        <w:spacing w:after="0" w:line="277" w:lineRule="auto"/>
        <w:tabs>
          <w:tab w:leader="none" w:pos="2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Rapidly advance our lead product candidates through clinical development and regulatory approval.</w:t>
      </w:r>
    </w:p>
    <w:p>
      <w:pPr>
        <w:spacing w:after="0" w:line="62" w:lineRule="exact"/>
        <w:rPr>
          <w:rFonts w:ascii="Arial" w:cs="Arial" w:eastAsia="Arial" w:hAnsi="Arial"/>
          <w:sz w:val="18"/>
          <w:szCs w:val="18"/>
          <w:color w:val="auto"/>
        </w:rPr>
      </w:pPr>
    </w:p>
    <w:p>
      <w:pPr>
        <w:ind w:left="2280" w:right="919" w:hanging="354"/>
        <w:spacing w:after="0" w:line="263" w:lineRule="auto"/>
        <w:tabs>
          <w:tab w:leader="none" w:pos="2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invest in our manufacturing capabilities across all manufacturing steps from starting material to formulation to further add scale and flexibility for potential commercialization.</w:t>
      </w:r>
    </w:p>
    <w:p>
      <w:pPr>
        <w:spacing w:after="0" w:line="75" w:lineRule="exact"/>
        <w:rPr>
          <w:rFonts w:ascii="Arial" w:cs="Arial" w:eastAsia="Arial" w:hAnsi="Arial"/>
          <w:sz w:val="18"/>
          <w:szCs w:val="18"/>
          <w:color w:val="auto"/>
        </w:rPr>
      </w:pPr>
    </w:p>
    <w:p>
      <w:pPr>
        <w:ind w:left="2280" w:right="479" w:hanging="354"/>
        <w:spacing w:after="0" w:line="277" w:lineRule="auto"/>
        <w:tabs>
          <w:tab w:leader="none" w:pos="2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Selectively seek strategic partners to develop and commercialize product candidates in certain therapeutic areas and geographies.</w:t>
      </w:r>
    </w:p>
    <w:p>
      <w:pPr>
        <w:spacing w:after="0" w:line="62" w:lineRule="exact"/>
        <w:rPr>
          <w:rFonts w:ascii="Arial" w:cs="Arial" w:eastAsia="Arial" w:hAnsi="Arial"/>
          <w:sz w:val="18"/>
          <w:szCs w:val="18"/>
          <w:color w:val="auto"/>
        </w:rPr>
      </w:pPr>
    </w:p>
    <w:p>
      <w:pPr>
        <w:ind w:left="2280" w:right="419" w:hanging="354"/>
        <w:spacing w:after="0" w:line="277" w:lineRule="auto"/>
        <w:tabs>
          <w:tab w:leader="none" w:pos="2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Seek strategic acquisitions or in-licenses of technology or assets that are complementary to our programs and technology platform.</w:t>
      </w:r>
    </w:p>
    <w:p>
      <w:pPr>
        <w:spacing w:after="0" w:line="62" w:lineRule="exact"/>
        <w:rPr>
          <w:rFonts w:ascii="Arial" w:cs="Arial" w:eastAsia="Arial" w:hAnsi="Arial"/>
          <w:sz w:val="18"/>
          <w:szCs w:val="18"/>
          <w:color w:val="auto"/>
        </w:rPr>
      </w:pPr>
    </w:p>
    <w:p>
      <w:pPr>
        <w:ind w:left="2280" w:right="419" w:hanging="354"/>
        <w:spacing w:after="0" w:line="277" w:lineRule="auto"/>
        <w:tabs>
          <w:tab w:leader="none" w:pos="2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Strengthen and expand our intellectual property portfolio to protect our scientific and technical know-how.</w:t>
      </w:r>
    </w:p>
    <w:p>
      <w:pPr>
        <w:spacing w:after="0" w:line="16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Advance Purchase Agreement for our COVID-19 Vaccine Candidate</w:t>
      </w:r>
    </w:p>
    <w:p>
      <w:pPr>
        <w:spacing w:after="0" w:line="144" w:lineRule="exact"/>
        <w:rPr>
          <w:sz w:val="20"/>
          <w:szCs w:val="20"/>
          <w:color w:val="auto"/>
        </w:rPr>
      </w:pPr>
    </w:p>
    <w:p>
      <w:pPr>
        <w:ind w:left="1280" w:right="639" w:firstLine="648"/>
        <w:spacing w:after="0" w:line="270" w:lineRule="auto"/>
        <w:rPr>
          <w:sz w:val="20"/>
          <w:szCs w:val="20"/>
          <w:color w:val="auto"/>
        </w:rPr>
      </w:pPr>
      <w:r>
        <w:rPr>
          <w:rFonts w:ascii="Arial" w:cs="Arial" w:eastAsia="Arial" w:hAnsi="Arial"/>
          <w:sz w:val="17"/>
          <w:szCs w:val="17"/>
          <w:color w:val="auto"/>
        </w:rPr>
        <w:t>On November 30, 2020, we entered into an advance purchase agreement, or APA, with the European Commission, or the EC, acting on behalf and in the name of all Member States of the European Union. The APA provides for the advance purchase by the Member States of 225 million doses of our</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299720</wp:posOffset>
            </wp:positionV>
            <wp:extent cx="68065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329565</wp:posOffset>
            </wp:positionV>
            <wp:extent cx="5516245" cy="79590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80" w:right="459"/>
        <w:spacing w:after="0" w:line="268" w:lineRule="auto"/>
        <w:rPr>
          <w:sz w:val="20"/>
          <w:szCs w:val="20"/>
          <w:color w:val="auto"/>
        </w:rPr>
      </w:pPr>
      <w:r>
        <w:rPr>
          <w:rFonts w:ascii="Arial" w:cs="Arial" w:eastAsia="Arial" w:hAnsi="Arial"/>
          <w:sz w:val="17"/>
          <w:szCs w:val="17"/>
          <w:color w:val="auto"/>
        </w:rPr>
        <w:t>COVID-19 vaccine candidate, or CVnCoV, to be allocated among the Member States, and the option to purchase up to an additional 180 million doses. The option may be exercised by the EC on behalf and in the name of the Member States. In order to support our accelerated efforts to develop a safe and effective vaccine, the APA provides for support to our operations in the form of two up-front payments. The first up-front payment of a mid nine-figure euro amount has already been paid by the EC on behalf of the Member States. The second up-front payment of a mid nine-figure euro amount is to be paid directly by the Member States and is due after an interim data package has been submitted by us to the EMA for the purpose of obtaining EU marketing authorization for CVnCoV. Such up-front payments must be used solely for the development and commercial supply of CVnCoV. We will be required to return any unspent amounts of the up-front payments if, among others, we fail to successfully develop CVnCoV or if we successfully develop CVnCoV, but we do not receive EU marketing authorization or fail to supply any doses of CVnCoV to any of the Member States by late 2021, unless we and the EC mutually agree to a later date. In addition, if any Member State decides to purchase additional doses pursuant to the option granted under the APA, we will be entitled to additional up-front payments that are not subject to such restrictions on use or return of unused amounts upon termination of the APA.</w:t>
      </w:r>
    </w:p>
    <w:p>
      <w:pPr>
        <w:spacing w:after="0" w:line="101" w:lineRule="exact"/>
        <w:rPr>
          <w:sz w:val="20"/>
          <w:szCs w:val="20"/>
          <w:color w:val="auto"/>
        </w:rPr>
      </w:pPr>
    </w:p>
    <w:p>
      <w:pPr>
        <w:ind w:left="1280" w:right="579" w:firstLine="648"/>
        <w:spacing w:after="0" w:line="259" w:lineRule="auto"/>
        <w:rPr>
          <w:sz w:val="20"/>
          <w:szCs w:val="20"/>
          <w:color w:val="auto"/>
        </w:rPr>
      </w:pPr>
      <w:r>
        <w:rPr>
          <w:rFonts w:ascii="Arial" w:cs="Arial" w:eastAsia="Arial" w:hAnsi="Arial"/>
          <w:sz w:val="18"/>
          <w:szCs w:val="18"/>
          <w:color w:val="auto"/>
        </w:rPr>
        <w:t>We currently estimate the total value of the APA to be in the low 10-figure euro amount assuming no exercise of the option discussed above, but this estimate is subject to our ability to successfully deliver CVnCoV pursuant to the terms of the APA, including obtaining EU marketing authorization and establishing manufacturing capacities to supply sufficient quantities of CVnCoV.</w:t>
      </w:r>
    </w:p>
    <w:p>
      <w:pPr>
        <w:spacing w:after="0" w:line="187"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Collaboration and Service Agreement</w:t>
      </w:r>
    </w:p>
    <w:p>
      <w:pPr>
        <w:spacing w:after="0" w:line="158" w:lineRule="exact"/>
        <w:rPr>
          <w:sz w:val="20"/>
          <w:szCs w:val="20"/>
          <w:color w:val="auto"/>
        </w:rPr>
      </w:pPr>
    </w:p>
    <w:p>
      <w:pPr>
        <w:ind w:left="1280" w:right="479" w:firstLine="648"/>
        <w:spacing w:after="0" w:line="255" w:lineRule="auto"/>
        <w:rPr>
          <w:sz w:val="20"/>
          <w:szCs w:val="20"/>
          <w:color w:val="auto"/>
        </w:rPr>
      </w:pPr>
      <w:r>
        <w:rPr>
          <w:rFonts w:ascii="Arial" w:cs="Arial" w:eastAsia="Arial" w:hAnsi="Arial"/>
          <w:sz w:val="18"/>
          <w:szCs w:val="18"/>
          <w:color w:val="auto"/>
        </w:rPr>
        <w:t>On January 7, 2021, we entered into a collaboration and service agreement with Bayer AG, which is expected to support the further development, supply and key territory operations of our COVID-19 vaccine candidate, CVnCoV. Pursuant to such agreement, Bayer will contribute expertise and infrastructure in areas such as clinical operations, regulatory affairs and pharmacovigilance. To further accelerate market availability and distribution of CVnCoV, Bayer AG will support our operations within the member states of the European Union and selected additional markets.</w:t>
      </w:r>
    </w:p>
    <w:p>
      <w:pPr>
        <w:spacing w:after="0" w:line="192"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Cash and Cash Equivalents for December 31, 2020</w:t>
      </w:r>
    </w:p>
    <w:p>
      <w:pPr>
        <w:spacing w:after="0" w:line="158" w:lineRule="exact"/>
        <w:rPr>
          <w:sz w:val="20"/>
          <w:szCs w:val="20"/>
          <w:color w:val="auto"/>
        </w:rPr>
      </w:pPr>
    </w:p>
    <w:p>
      <w:pPr>
        <w:ind w:left="1280" w:right="639" w:firstLine="648"/>
        <w:spacing w:after="0" w:line="277" w:lineRule="auto"/>
        <w:rPr>
          <w:sz w:val="20"/>
          <w:szCs w:val="20"/>
          <w:color w:val="auto"/>
        </w:rPr>
      </w:pPr>
      <w:r>
        <w:rPr>
          <w:rFonts w:ascii="Arial" w:cs="Arial" w:eastAsia="Arial" w:hAnsi="Arial"/>
          <w:sz w:val="18"/>
          <w:szCs w:val="18"/>
          <w:color w:val="auto"/>
        </w:rPr>
        <w:t>As of December 31, 2020, our cash and cash equivalents were €1.32 billion, inclusive of the first up-front payment under the APA.</w:t>
      </w:r>
    </w:p>
    <w:p>
      <w:pPr>
        <w:spacing w:after="0" w:line="16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GlaxoSmithKline Collaboration Agreement</w:t>
      </w:r>
    </w:p>
    <w:p>
      <w:pPr>
        <w:spacing w:after="0" w:line="148" w:lineRule="exact"/>
        <w:rPr>
          <w:sz w:val="20"/>
          <w:szCs w:val="20"/>
          <w:color w:val="auto"/>
        </w:rPr>
      </w:pPr>
    </w:p>
    <w:p>
      <w:pPr>
        <w:ind w:left="1280" w:right="599" w:firstLine="648"/>
        <w:spacing w:after="0" w:line="257" w:lineRule="auto"/>
        <w:rPr>
          <w:sz w:val="20"/>
          <w:szCs w:val="20"/>
          <w:color w:val="auto"/>
        </w:rPr>
      </w:pPr>
      <w:r>
        <w:rPr>
          <w:rFonts w:ascii="Arial" w:cs="Arial" w:eastAsia="Arial" w:hAnsi="Arial"/>
          <w:sz w:val="18"/>
          <w:szCs w:val="18"/>
          <w:color w:val="auto"/>
        </w:rPr>
        <w:t>As part of the GSK Investment, we agreed to enter into a new collaboration agreement with GSK pursuant to which we will collaborate with GSK to research, develop and commercialize prophylactic and therapeutic non-replicating mRNA-based vaccines and antibodies targeting infectious disease pathogens. For information regarding our existing collaboration agreement with GSK please refer to “Business — Collaborations.”</w:t>
      </w:r>
    </w:p>
    <w:p>
      <w:pPr>
        <w:spacing w:after="0" w:line="18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2020 Private Investment</w:t>
      </w:r>
    </w:p>
    <w:p>
      <w:pPr>
        <w:spacing w:after="0" w:line="162" w:lineRule="exact"/>
        <w:rPr>
          <w:sz w:val="20"/>
          <w:szCs w:val="20"/>
          <w:color w:val="auto"/>
        </w:rPr>
      </w:pPr>
    </w:p>
    <w:p>
      <w:pPr>
        <w:ind w:left="1280" w:right="439" w:firstLine="648"/>
        <w:spacing w:after="0" w:line="269" w:lineRule="auto"/>
        <w:rPr>
          <w:sz w:val="20"/>
          <w:szCs w:val="20"/>
          <w:color w:val="auto"/>
        </w:rPr>
      </w:pPr>
      <w:r>
        <w:rPr>
          <w:rFonts w:ascii="Arial" w:cs="Arial" w:eastAsia="Arial" w:hAnsi="Arial"/>
          <w:sz w:val="17"/>
          <w:szCs w:val="17"/>
          <w:color w:val="auto"/>
        </w:rPr>
        <w:t>On July 17, 2020, prior to our IPO, we entered into a binding agreement with Kreditanstalt für Wiederaufbau, or KfW, Glaxo Group Limited, Qatar Holding LLC and other investors, pursuant to which we agreed to issue new Series B shares in CureVac AG representing approximately 36% of the shares in CureVac AG in exchange for an aggregate investment of €560 million. As part of the investment, those investors who have subscribed for our Series A, B and C shares, or pre-IPO shareholders, became parties to an Investment and Shareholders’ Agreement, as amended, or the ISA. In addition, we entered into a relationship agreement with KfW and dievini, and KfW entered into a separate shareholders’ agreement with dievini and Mr. Hopp pursuant to which, among others, Mr. Hopp, through DH-LT-Investments GmbH, an affiliated entity, purchased an aggregate of €100 million of our common shares in a private placement concurrent with our IPO. In connection with such concurrent private placement DH-LT-Investments GmbH became a party to the KfW dievini Shareholders’ Agreement.</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299720</wp:posOffset>
            </wp:positionV>
            <wp:extent cx="68065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329565</wp:posOffset>
            </wp:positionV>
            <wp:extent cx="5516245" cy="80448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16245" cy="804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80" w:right="419" w:firstLine="648"/>
        <w:spacing w:after="0" w:line="268" w:lineRule="auto"/>
        <w:rPr>
          <w:sz w:val="20"/>
          <w:szCs w:val="20"/>
          <w:color w:val="auto"/>
        </w:rPr>
      </w:pPr>
      <w:r>
        <w:rPr>
          <w:rFonts w:ascii="Arial" w:cs="Arial" w:eastAsia="Arial" w:hAnsi="Arial"/>
          <w:sz w:val="17"/>
          <w:szCs w:val="17"/>
          <w:color w:val="auto"/>
        </w:rPr>
        <w:t>Pursuant to the ISA, we also entered into a registration rights agreement with certain shareholders. Such agreements are further described under the “Related Party Transactions.” We refer to the investment of KfW as the KfW Investment, the investment by Glaxo Group Limited as the GSK Investment and the KfW Investment and GSK Investment, together with the other concurrent investments, the 2020 Private Investment. We are obligated to use the funds raised in the 2020 Private Investment solely to fund the</w:t>
      </w:r>
    </w:p>
    <w:p>
      <w:pPr>
        <w:spacing w:after="0" w:line="3" w:lineRule="exact"/>
        <w:rPr>
          <w:sz w:val="20"/>
          <w:szCs w:val="20"/>
          <w:color w:val="auto"/>
        </w:rPr>
      </w:pPr>
    </w:p>
    <w:p>
      <w:pPr>
        <w:ind w:left="1500" w:hanging="222"/>
        <w:spacing w:after="0"/>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development of our proprietary pipeline, including earlier stage assets currently in preclinical</w:t>
      </w:r>
    </w:p>
    <w:p>
      <w:pPr>
        <w:spacing w:after="0" w:line="9" w:lineRule="exact"/>
        <w:rPr>
          <w:rFonts w:ascii="Arial" w:cs="Arial" w:eastAsia="Arial" w:hAnsi="Arial"/>
          <w:sz w:val="18"/>
          <w:szCs w:val="18"/>
          <w:color w:val="auto"/>
        </w:rPr>
      </w:pPr>
    </w:p>
    <w:p>
      <w:pPr>
        <w:ind w:left="1280" w:right="839"/>
        <w:spacing w:after="0" w:line="281" w:lineRule="auto"/>
        <w:rPr>
          <w:rFonts w:ascii="Arial" w:cs="Arial" w:eastAsia="Arial" w:hAnsi="Arial"/>
          <w:sz w:val="18"/>
          <w:szCs w:val="18"/>
          <w:color w:val="auto"/>
        </w:rPr>
      </w:pPr>
      <w:r>
        <w:rPr>
          <w:rFonts w:ascii="Arial" w:cs="Arial" w:eastAsia="Arial" w:hAnsi="Arial"/>
          <w:sz w:val="16"/>
          <w:szCs w:val="16"/>
          <w:color w:val="auto"/>
        </w:rPr>
        <w:t>development, (ii) research and development activities to expand our mRNA platform technology, in particular with respect to our vaccine candidate against SARS-CoV-2 and other infectious diseases and</w:t>
      </w:r>
    </w:p>
    <w:p>
      <w:pPr>
        <w:spacing w:after="0" w:line="1" w:lineRule="exact"/>
        <w:rPr>
          <w:rFonts w:ascii="Arial" w:cs="Arial" w:eastAsia="Arial" w:hAnsi="Arial"/>
          <w:sz w:val="18"/>
          <w:szCs w:val="18"/>
          <w:color w:val="auto"/>
        </w:rPr>
      </w:pPr>
    </w:p>
    <w:p>
      <w:pPr>
        <w:ind w:left="1620" w:hanging="342"/>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manufacturing capacities for mRNA-based drug product candidates and products.</w:t>
      </w:r>
    </w:p>
    <w:p>
      <w:pPr>
        <w:spacing w:after="0" w:line="20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Risks Associated with Our Business</w:t>
      </w:r>
    </w:p>
    <w:p>
      <w:pPr>
        <w:spacing w:after="0" w:line="148" w:lineRule="exact"/>
        <w:rPr>
          <w:sz w:val="20"/>
          <w:szCs w:val="20"/>
          <w:color w:val="auto"/>
        </w:rPr>
      </w:pPr>
    </w:p>
    <w:p>
      <w:pPr>
        <w:ind w:left="1280" w:right="399" w:firstLine="648"/>
        <w:spacing w:after="0" w:line="270" w:lineRule="auto"/>
        <w:rPr>
          <w:sz w:val="20"/>
          <w:szCs w:val="20"/>
          <w:color w:val="auto"/>
        </w:rPr>
      </w:pPr>
      <w:r>
        <w:rPr>
          <w:rFonts w:ascii="Arial" w:cs="Arial" w:eastAsia="Arial" w:hAnsi="Arial"/>
          <w:sz w:val="17"/>
          <w:szCs w:val="17"/>
          <w:color w:val="auto"/>
        </w:rPr>
        <w:t>All of our product candidates are currently in preclinical or clinical development stages. We have not yet demonstrated an ability to successfully conduct late-stage clinical trials, obtain marketing approvals, manufacture a commercial-scale product, or arrange for a third party to do so on our behalf, or conduct sales and marketing activities necessary for successful product commercialization. Accordingly, you should consider our prospects in light of the costs, uncertainties, delays and difficulties frequently encountered by companies in the early stages of development, especially clinical-stage biopharmaceutical companies such as ours. Our business is subject to a number of risks of which you should be aware before making an investment decision. These risks are discussed more fully in the “Risk Factors” section of this prospectus immediately following this prospectus summary. These risks include the following:</w:t>
      </w:r>
    </w:p>
    <w:p>
      <w:pPr>
        <w:spacing w:after="0" w:line="86" w:lineRule="exact"/>
        <w:rPr>
          <w:sz w:val="20"/>
          <w:szCs w:val="20"/>
          <w:color w:val="auto"/>
        </w:rPr>
      </w:pPr>
    </w:p>
    <w:p>
      <w:pPr>
        <w:ind w:left="2280" w:right="1059" w:hanging="354"/>
        <w:spacing w:after="0" w:line="308" w:lineRule="auto"/>
        <w:tabs>
          <w:tab w:leader="none" w:pos="22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adequacy of our capital resources to successfully complete the development and commercialization of our product candidates, and a failure to obtain additional capital;</w:t>
      </w:r>
    </w:p>
    <w:p>
      <w:pPr>
        <w:spacing w:after="0" w:line="38" w:lineRule="exact"/>
        <w:rPr>
          <w:rFonts w:ascii="Arial" w:cs="Arial" w:eastAsia="Arial" w:hAnsi="Arial"/>
          <w:sz w:val="17"/>
          <w:szCs w:val="17"/>
          <w:color w:val="auto"/>
        </w:rPr>
      </w:pPr>
    </w:p>
    <w:p>
      <w:pPr>
        <w:ind w:left="2280" w:right="739" w:hanging="354"/>
        <w:spacing w:after="0" w:line="277" w:lineRule="auto"/>
        <w:tabs>
          <w:tab w:leader="none" w:pos="2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history of operating losses and our need for additional funding before we can expect to become profitable from the sales of our products;</w:t>
      </w:r>
    </w:p>
    <w:p>
      <w:pPr>
        <w:spacing w:after="0" w:line="62" w:lineRule="exact"/>
        <w:rPr>
          <w:rFonts w:ascii="Arial" w:cs="Arial" w:eastAsia="Arial" w:hAnsi="Arial"/>
          <w:sz w:val="18"/>
          <w:szCs w:val="18"/>
          <w:color w:val="auto"/>
        </w:rPr>
      </w:pPr>
    </w:p>
    <w:p>
      <w:pPr>
        <w:ind w:left="2280" w:right="679" w:hanging="354"/>
        <w:spacing w:after="0" w:line="254" w:lineRule="auto"/>
        <w:tabs>
          <w:tab w:leader="none" w:pos="2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rely on existing strategic partnerships for the funding, research, development and commercialization of our platform and certain of our product candidates, including with Genmab, Arcturus Therapeutics, Inc., or Arcturus, Acuitas Therapeutics Inc., or Acuitas, CRISPR Therapeutics, Boehringer Ingelheim, GSK, the Bill &amp; Melinda Gates Foundation, CEPI, and Tesla Grohmann Automation GmbH, or Tesla Grohmann, among others; if our partners are unsuccessful in their efforts or chose to terminate their agreements with us, our business will be materially harmed;</w:t>
      </w:r>
    </w:p>
    <w:p>
      <w:pPr>
        <w:spacing w:after="0" w:line="86" w:lineRule="exact"/>
        <w:rPr>
          <w:rFonts w:ascii="Arial" w:cs="Arial" w:eastAsia="Arial" w:hAnsi="Arial"/>
          <w:sz w:val="18"/>
          <w:szCs w:val="18"/>
          <w:color w:val="auto"/>
        </w:rPr>
      </w:pPr>
    </w:p>
    <w:p>
      <w:pPr>
        <w:ind w:left="2280" w:right="539" w:hanging="354"/>
        <w:spacing w:after="0" w:line="263" w:lineRule="auto"/>
        <w:tabs>
          <w:tab w:leader="none" w:pos="2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approach to the discovery and development of product candidates based on mRNA technology is unproven, and we do not know whether we will be able to successfully develop any products;</w:t>
      </w:r>
    </w:p>
    <w:p>
      <w:pPr>
        <w:spacing w:after="0" w:line="75" w:lineRule="exact"/>
        <w:rPr>
          <w:rFonts w:ascii="Arial" w:cs="Arial" w:eastAsia="Arial" w:hAnsi="Arial"/>
          <w:sz w:val="18"/>
          <w:szCs w:val="18"/>
          <w:color w:val="auto"/>
        </w:rPr>
      </w:pPr>
    </w:p>
    <w:p>
      <w:pPr>
        <w:ind w:left="2280" w:right="779" w:hanging="354"/>
        <w:spacing w:after="0" w:line="277" w:lineRule="auto"/>
        <w:tabs>
          <w:tab w:leader="none" w:pos="2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clinical drug development is a lengthy and expensive process with uncertain timelines and uncertain outcomes;</w:t>
      </w:r>
    </w:p>
    <w:p>
      <w:pPr>
        <w:spacing w:after="0" w:line="62" w:lineRule="exact"/>
        <w:rPr>
          <w:rFonts w:ascii="Arial" w:cs="Arial" w:eastAsia="Arial" w:hAnsi="Arial"/>
          <w:sz w:val="18"/>
          <w:szCs w:val="18"/>
          <w:color w:val="auto"/>
        </w:rPr>
      </w:pPr>
    </w:p>
    <w:p>
      <w:pPr>
        <w:ind w:left="2280" w:right="479" w:hanging="354"/>
        <w:spacing w:after="0" w:line="308" w:lineRule="auto"/>
        <w:tabs>
          <w:tab w:leader="none" w:pos="22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all of our proprietary product candidates are in preclinical or clinical development and we cannot give any assurance that any of our product candidates will receive regulatory approval;</w:t>
      </w:r>
    </w:p>
    <w:p>
      <w:pPr>
        <w:spacing w:after="0" w:line="38" w:lineRule="exact"/>
        <w:rPr>
          <w:rFonts w:ascii="Arial" w:cs="Arial" w:eastAsia="Arial" w:hAnsi="Arial"/>
          <w:sz w:val="17"/>
          <w:szCs w:val="17"/>
          <w:color w:val="auto"/>
        </w:rPr>
      </w:pPr>
    </w:p>
    <w:p>
      <w:pPr>
        <w:ind w:left="2280" w:right="919" w:hanging="354"/>
        <w:spacing w:after="0" w:line="263" w:lineRule="auto"/>
        <w:tabs>
          <w:tab w:leader="none" w:pos="2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are unable to obtain regulatory approval and ultimately commercialize our product candidates or experience significant delays in doing so, our business will be materially harmed;</w:t>
      </w:r>
    </w:p>
    <w:p>
      <w:pPr>
        <w:spacing w:after="0" w:line="75" w:lineRule="exact"/>
        <w:rPr>
          <w:rFonts w:ascii="Arial" w:cs="Arial" w:eastAsia="Arial" w:hAnsi="Arial"/>
          <w:sz w:val="18"/>
          <w:szCs w:val="18"/>
          <w:color w:val="auto"/>
        </w:rPr>
      </w:pPr>
    </w:p>
    <w:p>
      <w:pPr>
        <w:ind w:left="2280" w:right="459" w:hanging="354"/>
        <w:spacing w:after="0" w:line="255" w:lineRule="auto"/>
        <w:tabs>
          <w:tab w:leader="none" w:pos="2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date, a limited number of products that utilize mRNA as a prophylactic vaccine against COVID-19 have been approved in the United States and Europe, subject to certain limitations. In addition, no product that utilizes mRNA as a therapeutic vaccine has been approved in the United States or Europe. As such, mRNA drug development has substantial clinical development and regulatory risks due to the novel and unprecedented nature of this new category of medicines;</w:t>
      </w:r>
    </w:p>
    <w:p>
      <w:pPr>
        <w:spacing w:after="0" w:line="84" w:lineRule="exact"/>
        <w:rPr>
          <w:rFonts w:ascii="Arial" w:cs="Arial" w:eastAsia="Arial" w:hAnsi="Arial"/>
          <w:sz w:val="18"/>
          <w:szCs w:val="18"/>
          <w:color w:val="auto"/>
        </w:rPr>
      </w:pPr>
    </w:p>
    <w:p>
      <w:pPr>
        <w:ind w:left="2280" w:right="579" w:hanging="354"/>
        <w:spacing w:after="0" w:line="279" w:lineRule="auto"/>
        <w:tabs>
          <w:tab w:leader="none" w:pos="22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regulatory approval processes of the U.S. Food and Drug Administration, or FDA, the European Medicines Agency, or EMA, and comparable foreign authorities are lengthy, time consuming and inherently unpredictable, and if we are ultimately unable to obtain regulatory approval for our product candidates, our business will be substantially harmed;</w:t>
      </w:r>
    </w:p>
    <w:p>
      <w:pPr>
        <w:sectPr>
          <w:pgSz w:w="11900" w:h="16838" w:orient="portrait"/>
          <w:cols w:equalWidth="0" w:num="1">
            <w:col w:w="9879"/>
          </w:cols>
          <w:pgMar w:left="580" w:top="132" w:right="1440" w:bottom="1440" w:gutter="0" w:footer="0" w:header="0"/>
        </w:sectPr>
      </w:pPr>
    </w:p>
    <w:p>
      <w:pPr>
        <w:spacing w:after="0" w:line="374"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299720</wp:posOffset>
            </wp:positionV>
            <wp:extent cx="68065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329565</wp:posOffset>
            </wp:positionV>
            <wp:extent cx="5516245" cy="79590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280" w:right="419" w:hanging="354"/>
        <w:spacing w:after="0" w:line="257" w:lineRule="auto"/>
        <w:tabs>
          <w:tab w:leader="none" w:pos="2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some of our product candidates are classified as gene therapies by the FDA and the EMA. Even though our mRNA product candidates are designed to have a different mechanism of action from gene therapies, the association of our product candidates with gene therapies could result in increased regulatory burdens, impair the reputation of our product candidates or negatively impact our platform or our business;</w:t>
      </w:r>
    </w:p>
    <w:p>
      <w:pPr>
        <w:spacing w:after="0" w:line="79" w:lineRule="exact"/>
        <w:rPr>
          <w:rFonts w:ascii="Arial" w:cs="Arial" w:eastAsia="Arial" w:hAnsi="Arial"/>
          <w:sz w:val="18"/>
          <w:szCs w:val="18"/>
          <w:color w:val="auto"/>
        </w:rPr>
      </w:pPr>
    </w:p>
    <w:p>
      <w:pPr>
        <w:ind w:left="2280" w:right="579" w:hanging="354"/>
        <w:spacing w:after="0" w:line="259" w:lineRule="auto"/>
        <w:tabs>
          <w:tab w:leader="none" w:pos="2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developing product candidates for the treatment or prevention of diseases in which there is little clinical experience using new technologies, which means there is increased risk that the FDA, EMA or other regulatory authorities may not consider the endpoints of our clinical trials to provide clinically meaningful results;</w:t>
      </w:r>
    </w:p>
    <w:p>
      <w:pPr>
        <w:spacing w:after="0" w:line="65" w:lineRule="exact"/>
        <w:rPr>
          <w:rFonts w:ascii="Arial" w:cs="Arial" w:eastAsia="Arial" w:hAnsi="Arial"/>
          <w:sz w:val="18"/>
          <w:szCs w:val="18"/>
          <w:color w:val="auto"/>
        </w:rPr>
      </w:pPr>
    </w:p>
    <w:p>
      <w:pPr>
        <w:ind w:left="2280" w:right="419" w:hanging="354"/>
        <w:spacing w:after="0" w:line="263" w:lineRule="auto"/>
        <w:tabs>
          <w:tab w:leader="none" w:pos="2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manufacture of mRNA-based medicines is complex and manufacturers often encounter difficulties in production and we may further encounter logistical challenges in the distribution of our future mRNA products;</w:t>
      </w:r>
    </w:p>
    <w:p>
      <w:pPr>
        <w:spacing w:after="0" w:line="75" w:lineRule="exact"/>
        <w:rPr>
          <w:rFonts w:ascii="Arial" w:cs="Arial" w:eastAsia="Arial" w:hAnsi="Arial"/>
          <w:sz w:val="18"/>
          <w:szCs w:val="18"/>
          <w:color w:val="auto"/>
        </w:rPr>
      </w:pPr>
    </w:p>
    <w:p>
      <w:pPr>
        <w:ind w:left="2280" w:right="399" w:hanging="354"/>
        <w:spacing w:after="0" w:line="277" w:lineRule="auto"/>
        <w:tabs>
          <w:tab w:leader="none" w:pos="2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or milestones on, our future products, if any;</w:t>
      </w:r>
    </w:p>
    <w:p>
      <w:pPr>
        <w:spacing w:after="0" w:line="62" w:lineRule="exact"/>
        <w:rPr>
          <w:rFonts w:ascii="Arial" w:cs="Arial" w:eastAsia="Arial" w:hAnsi="Arial"/>
          <w:sz w:val="18"/>
          <w:szCs w:val="18"/>
          <w:color w:val="auto"/>
        </w:rPr>
      </w:pPr>
    </w:p>
    <w:p>
      <w:pPr>
        <w:ind w:left="2280" w:right="579" w:hanging="354"/>
        <w:spacing w:after="0" w:line="277" w:lineRule="auto"/>
        <w:tabs>
          <w:tab w:leader="none" w:pos="2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obtain, maintain, protect and defend our intellectual property, which is difficult and costly;</w:t>
      </w:r>
    </w:p>
    <w:p>
      <w:pPr>
        <w:spacing w:after="0" w:line="48" w:lineRule="exact"/>
        <w:rPr>
          <w:rFonts w:ascii="Arial" w:cs="Arial" w:eastAsia="Arial" w:hAnsi="Arial"/>
          <w:sz w:val="18"/>
          <w:szCs w:val="18"/>
          <w:color w:val="auto"/>
        </w:rPr>
      </w:pPr>
    </w:p>
    <w:p>
      <w:pPr>
        <w:ind w:left="2280" w:right="579" w:hanging="354"/>
        <w:spacing w:after="0" w:line="277" w:lineRule="auto"/>
        <w:tabs>
          <w:tab w:leader="none" w:pos="2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concentration of ownership by our principal shareholders may conflict with your interest and may prevent you from influencing significant corporate decisions;</w:t>
      </w:r>
    </w:p>
    <w:p>
      <w:pPr>
        <w:spacing w:after="0" w:line="62" w:lineRule="exact"/>
        <w:rPr>
          <w:rFonts w:ascii="Arial" w:cs="Arial" w:eastAsia="Arial" w:hAnsi="Arial"/>
          <w:sz w:val="18"/>
          <w:szCs w:val="18"/>
          <w:color w:val="auto"/>
        </w:rPr>
      </w:pPr>
    </w:p>
    <w:p>
      <w:pPr>
        <w:ind w:left="2280" w:right="1259" w:hanging="354"/>
        <w:spacing w:after="0" w:line="308" w:lineRule="auto"/>
        <w:tabs>
          <w:tab w:leader="none" w:pos="22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develop and commercialize our product candidates without infringing, misappropriating or otherwise violating the intellectual property of third parties;</w:t>
      </w:r>
    </w:p>
    <w:p>
      <w:pPr>
        <w:spacing w:after="0" w:line="38" w:lineRule="exact"/>
        <w:rPr>
          <w:rFonts w:ascii="Arial" w:cs="Arial" w:eastAsia="Arial" w:hAnsi="Arial"/>
          <w:sz w:val="17"/>
          <w:szCs w:val="17"/>
          <w:color w:val="auto"/>
        </w:rPr>
      </w:pPr>
    </w:p>
    <w:p>
      <w:pPr>
        <w:ind w:left="2280" w:right="659" w:hanging="354"/>
        <w:spacing w:after="0" w:line="263" w:lineRule="auto"/>
        <w:tabs>
          <w:tab w:leader="none" w:pos="2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currently devoting significant resources to the development of CVnCoV, our vaccine against COVID-19 and such development may impair our ability to timely progress other product candidates in clinical trials; and</w:t>
      </w:r>
    </w:p>
    <w:p>
      <w:pPr>
        <w:spacing w:after="0" w:line="75" w:lineRule="exact"/>
        <w:rPr>
          <w:rFonts w:ascii="Arial" w:cs="Arial" w:eastAsia="Arial" w:hAnsi="Arial"/>
          <w:sz w:val="18"/>
          <w:szCs w:val="18"/>
          <w:color w:val="auto"/>
        </w:rPr>
      </w:pPr>
    </w:p>
    <w:p>
      <w:pPr>
        <w:ind w:left="2280" w:right="499" w:hanging="354"/>
        <w:spacing w:after="0" w:line="277" w:lineRule="auto"/>
        <w:tabs>
          <w:tab w:leader="none" w:pos="2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recent outbreak of the COVID-19, which may cause business disruptions and could have a material adverse effect on our business plan or clinical trials.</w:t>
      </w:r>
    </w:p>
    <w:p>
      <w:pPr>
        <w:spacing w:after="0" w:line="89" w:lineRule="exact"/>
        <w:rPr>
          <w:sz w:val="20"/>
          <w:szCs w:val="20"/>
          <w:color w:val="auto"/>
        </w:rPr>
      </w:pPr>
    </w:p>
    <w:p>
      <w:pPr>
        <w:jc w:val="both"/>
        <w:ind w:left="1280" w:right="539" w:firstLine="648"/>
        <w:spacing w:after="0" w:line="248" w:lineRule="auto"/>
        <w:rPr>
          <w:sz w:val="20"/>
          <w:szCs w:val="20"/>
          <w:color w:val="auto"/>
        </w:rPr>
      </w:pPr>
      <w:r>
        <w:rPr>
          <w:rFonts w:ascii="Arial" w:cs="Arial" w:eastAsia="Arial" w:hAnsi="Arial"/>
          <w:sz w:val="18"/>
          <w:szCs w:val="18"/>
          <w:color w:val="auto"/>
        </w:rPr>
        <w:t>A change in the outcome of any of these variables with respect to the development of any product candidate that we may develop could mean a significant change in the costs and timing associated with the development of such product candidate.</w:t>
      </w:r>
    </w:p>
    <w:p>
      <w:pPr>
        <w:spacing w:after="0" w:line="114" w:lineRule="exact"/>
        <w:rPr>
          <w:sz w:val="20"/>
          <w:szCs w:val="20"/>
          <w:color w:val="auto"/>
        </w:rPr>
      </w:pPr>
    </w:p>
    <w:p>
      <w:pPr>
        <w:ind w:left="1280" w:right="399" w:firstLine="648"/>
        <w:spacing w:after="0" w:line="236" w:lineRule="auto"/>
        <w:rPr>
          <w:sz w:val="20"/>
          <w:szCs w:val="20"/>
          <w:color w:val="auto"/>
        </w:rPr>
      </w:pPr>
      <w:r>
        <w:rPr>
          <w:rFonts w:ascii="Arial" w:cs="Arial" w:eastAsia="Arial" w:hAnsi="Arial"/>
          <w:sz w:val="18"/>
          <w:szCs w:val="18"/>
          <w:color w:val="auto"/>
        </w:rPr>
        <w:t>Upon the outbreak of the COVID-19 pandemic, we determined to make the development of a vaccine candidate against COVID-19 a priority and to use our large scale GMP III facility to provide required material for a potential vaccine product candidate. We are also building an integrated European network with highly experienced Contract Development and Manufacturing Organization partners for each of the key manufacturing steps for CVnCoV. While there is currently no larger production batch required for our other product candidates, this prioritization could impact clinical development of our other product candidates if such a production need arises. Our research personnel dedicated to infectious diseases initially focused its efforts on optimizing vaccine constructs in preparation of a Phase 1 clinical trial. Such team is currently focused on our ongoing Phase 2b/3 clinical trial for our COVID-19 vaccine candidate and finalizing the analysis of the Phase 1 clinical trial and the first data read-out for the Phase 2a clinical trial. This focus may delay development of other potential infectious disease product candidates such as advancing our rabies candidate into a Phase 2 clinical trial. We also postponed initially planned preclinical work on an influenza vaccine to later in 2021. We can provide no assurances that our focus on clinical development of a vaccine candidate against COVID-19 will not adversely impact clinical development of our other product candidates.</w:t>
      </w:r>
    </w:p>
    <w:p>
      <w:pPr>
        <w:spacing w:after="0" w:line="133" w:lineRule="exact"/>
        <w:rPr>
          <w:sz w:val="20"/>
          <w:szCs w:val="20"/>
          <w:color w:val="auto"/>
        </w:rPr>
      </w:pPr>
    </w:p>
    <w:p>
      <w:pPr>
        <w:ind w:left="1280" w:right="639" w:firstLine="648"/>
        <w:spacing w:after="0" w:line="238" w:lineRule="auto"/>
        <w:rPr>
          <w:sz w:val="20"/>
          <w:szCs w:val="20"/>
          <w:color w:val="auto"/>
        </w:rPr>
      </w:pPr>
      <w:r>
        <w:rPr>
          <w:rFonts w:ascii="Arial" w:cs="Arial" w:eastAsia="Arial" w:hAnsi="Arial"/>
          <w:sz w:val="18"/>
          <w:szCs w:val="18"/>
          <w:color w:val="auto"/>
        </w:rPr>
        <w:t>Furthermore, the biotechnology and pharmaceutical industries are characterized by rapidly advancing technologies, intense competition and a strong emphasis on proprietary products. We face and will continue to face competition from third parties that use mRNA, gene editing or gene therapy development platforms and from third parties focused on other therapeutic modalities, such as small molecules, antibodies, biologics and nucleic acid-based therapies. The competition is likely to come from multiple sources, including large and specialty pharmaceutical and biotechnology companies, academic research institutions, government agencies and public and private research institutions. Many of our potential</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299720</wp:posOffset>
            </wp:positionV>
            <wp:extent cx="68065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329565</wp:posOffset>
            </wp:positionV>
            <wp:extent cx="5516245" cy="79590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80" w:right="399"/>
        <w:spacing w:after="0" w:line="238" w:lineRule="auto"/>
        <w:rPr>
          <w:sz w:val="20"/>
          <w:szCs w:val="20"/>
          <w:color w:val="auto"/>
        </w:rPr>
      </w:pPr>
      <w:r>
        <w:rPr>
          <w:rFonts w:ascii="Arial" w:cs="Arial" w:eastAsia="Arial" w:hAnsi="Arial"/>
          <w:sz w:val="18"/>
          <w:szCs w:val="18"/>
          <w:color w:val="auto"/>
        </w:rPr>
        <w:t>competitors, alone or with their strategic partners, have substantially greater financial, technical and other resources, such as larger research and development, clinical, marketing and manufacturing organizations. Our commercial opportunity could be reduced or eliminated if competitors develop and commercialize products that are safer, more effective, have fewer or less severe side effects, are more convenient or are less expensive than any products that we may develop. Our competitors also obtained FDA or other regulatory approvals for their products (including competitive vaccines to our COVID-19 vaccine candidate, CVnCoV), which could result in our competitors establishing a strong market position before we are able to enter the market.</w:t>
      </w:r>
    </w:p>
    <w:p>
      <w:pPr>
        <w:spacing w:after="0" w:line="19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Corporate Information</w:t>
      </w:r>
    </w:p>
    <w:p>
      <w:pPr>
        <w:spacing w:after="0" w:line="148" w:lineRule="exact"/>
        <w:rPr>
          <w:sz w:val="20"/>
          <w:szCs w:val="20"/>
          <w:color w:val="auto"/>
        </w:rPr>
      </w:pPr>
    </w:p>
    <w:p>
      <w:pPr>
        <w:ind w:left="1280" w:right="499" w:firstLine="648"/>
        <w:spacing w:after="0" w:line="241" w:lineRule="auto"/>
        <w:rPr>
          <w:sz w:val="20"/>
          <w:szCs w:val="20"/>
          <w:color w:val="auto"/>
        </w:rPr>
      </w:pPr>
      <w:r>
        <w:rPr>
          <w:rFonts w:ascii="Arial" w:cs="Arial" w:eastAsia="Arial" w:hAnsi="Arial"/>
          <w:sz w:val="18"/>
          <w:szCs w:val="18"/>
          <w:color w:val="auto"/>
        </w:rPr>
        <w:t>We were incorporated pursuant to the laws of the Netherlands as CureVac B.V. and were converted into CureVac N.V. as part of the Corporate Reorganization. Our principal executive offices are located at Friedrich-Miescher-Strasse 15, 72076 Tübingen, Germany. Our telephone number at this address is +49 7071 9883 0. Our principal website is www.curevac.com. The information contained on our website is not part of this prospectus.</w:t>
      </w:r>
    </w:p>
    <w:p>
      <w:pPr>
        <w:spacing w:after="0" w:line="185"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62" w:lineRule="exact"/>
        <w:rPr>
          <w:sz w:val="20"/>
          <w:szCs w:val="20"/>
          <w:color w:val="auto"/>
        </w:rPr>
      </w:pPr>
    </w:p>
    <w:p>
      <w:pPr>
        <w:ind w:left="1280" w:right="599" w:firstLine="648"/>
        <w:spacing w:after="0" w:line="243"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An emerging growth company may take advantage of specified reduced reporting and other burdens that are otherwise applicable generally to public companies. These provisions include:</w:t>
      </w:r>
    </w:p>
    <w:p>
      <w:pPr>
        <w:spacing w:after="0" w:line="80" w:lineRule="exact"/>
        <w:rPr>
          <w:sz w:val="20"/>
          <w:szCs w:val="20"/>
          <w:color w:val="auto"/>
        </w:rPr>
      </w:pPr>
    </w:p>
    <w:p>
      <w:pPr>
        <w:ind w:left="2280" w:right="759" w:hanging="354"/>
        <w:spacing w:after="0" w:line="263" w:lineRule="auto"/>
        <w:tabs>
          <w:tab w:leader="none" w:pos="2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requirement to have only two years of audited financial statements and only two years of related Management’s Discussion and Analysis of Financial Condition and Results of Operations disclosure in a prospectus;</w:t>
      </w:r>
    </w:p>
    <w:p>
      <w:pPr>
        <w:spacing w:after="0" w:line="75" w:lineRule="exact"/>
        <w:rPr>
          <w:rFonts w:ascii="Arial" w:cs="Arial" w:eastAsia="Arial" w:hAnsi="Arial"/>
          <w:sz w:val="18"/>
          <w:szCs w:val="18"/>
          <w:color w:val="auto"/>
        </w:rPr>
      </w:pPr>
    </w:p>
    <w:p>
      <w:pPr>
        <w:ind w:left="2280" w:right="439" w:hanging="354"/>
        <w:spacing w:after="0" w:line="277" w:lineRule="auto"/>
        <w:tabs>
          <w:tab w:leader="none" w:pos="2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 pursuant to the Sarbanes-Oxley Act of 2002; and</w:t>
      </w:r>
    </w:p>
    <w:p>
      <w:pPr>
        <w:spacing w:after="0" w:line="62" w:lineRule="exact"/>
        <w:rPr>
          <w:rFonts w:ascii="Arial" w:cs="Arial" w:eastAsia="Arial" w:hAnsi="Arial"/>
          <w:sz w:val="18"/>
          <w:szCs w:val="18"/>
          <w:color w:val="auto"/>
        </w:rPr>
      </w:pPr>
    </w:p>
    <w:p>
      <w:pPr>
        <w:ind w:left="2280" w:right="419" w:hanging="354"/>
        <w:spacing w:after="0" w:line="259" w:lineRule="auto"/>
        <w:tabs>
          <w:tab w:leader="none" w:pos="2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the extent that we no longer qualify as a foreign private issuer, (i) reduced disclosure obligations regarding executive compensation in our periodic reports and proxy statements and (ii) exemptions from the requirements of holding a nonbinding advisory vote on executive compensation, including golden parachute compensation.</w:t>
      </w:r>
    </w:p>
    <w:p>
      <w:pPr>
        <w:spacing w:after="0" w:line="106" w:lineRule="exact"/>
        <w:rPr>
          <w:sz w:val="20"/>
          <w:szCs w:val="20"/>
          <w:color w:val="auto"/>
        </w:rPr>
      </w:pPr>
    </w:p>
    <w:p>
      <w:pPr>
        <w:jc w:val="both"/>
        <w:ind w:left="1280" w:right="519" w:firstLine="648"/>
        <w:spacing w:after="0" w:line="271" w:lineRule="auto"/>
        <w:rPr>
          <w:sz w:val="20"/>
          <w:szCs w:val="20"/>
          <w:color w:val="auto"/>
        </w:rPr>
      </w:pPr>
      <w:r>
        <w:rPr>
          <w:rFonts w:ascii="Arial" w:cs="Arial" w:eastAsia="Arial" w:hAnsi="Arial"/>
          <w:sz w:val="16"/>
          <w:szCs w:val="16"/>
          <w:color w:val="auto"/>
        </w:rPr>
        <w:t>We may take advantage of these provisions for up to five years or such earlier time that we are no longer an emerging growth company. We would cease to be an emerging growth company upon the earliest to occur of (i) the last day of the fiscal year in which we have more than $1.07 billion in annual revenue;</w:t>
      </w:r>
    </w:p>
    <w:p>
      <w:pPr>
        <w:ind w:left="1280" w:right="539" w:hanging="2"/>
        <w:spacing w:after="0" w:line="252" w:lineRule="auto"/>
        <w:tabs>
          <w:tab w:leader="none" w:pos="1563"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date we qualify as a “large accelerated filer” with at least $700 million of equity securities; (iii) the issuance, in any three-year period, by our company of more than $1.0 billion in non-convertible debt securities held by non-affiliates; and (iv) the last day of the fiscal year ending after the fifth anniversary of our initial public offering. We may choose to take advantage of some but not all of these reduced burdens. We cannot predict if investors will find our common shares less attractive because we will rely on these exemptions. If some investors find our common shares less attractive as a result, there may be a less active trading market for our common shares and our share price may be more volatile.</w:t>
      </w:r>
    </w:p>
    <w:p>
      <w:pPr>
        <w:spacing w:after="0" w:line="113" w:lineRule="exact"/>
        <w:rPr>
          <w:sz w:val="20"/>
          <w:szCs w:val="20"/>
          <w:color w:val="auto"/>
        </w:rPr>
      </w:pPr>
    </w:p>
    <w:p>
      <w:pPr>
        <w:ind w:left="1280" w:right="479" w:firstLine="648"/>
        <w:spacing w:after="0" w:line="254" w:lineRule="auto"/>
        <w:rPr>
          <w:sz w:val="20"/>
          <w:szCs w:val="20"/>
          <w:color w:val="auto"/>
        </w:rPr>
      </w:pPr>
      <w:r>
        <w:rPr>
          <w:rFonts w:ascii="Arial" w:cs="Arial" w:eastAsia="Arial" w:hAnsi="Arial"/>
          <w:sz w:val="17"/>
          <w:szCs w:val="17"/>
          <w:color w:val="auto"/>
        </w:rPr>
        <w:t>In addition, Section 107 of the JOBS Act provides that an emerging growth company can use the extended transition period provided in Section 7(a)(2)(B) of the Securities Act for complying with new or revised accounting standards. Given that we currently report and expect to continue to report under IFRS as issued by the IASB, we have irrevocably elected not to avail ourselves of this extended transition period and, as a result, we will adopt new or revised accounting standards on the relevant dates on which adoption of such standards is required by the IASB. Since IFRS makes no distinction between public and private companies for purposes of compliance with new or revised accounting standards, the requirements for our compliance as a private company and as a public company are the same.</w:t>
      </w:r>
    </w:p>
    <w:p>
      <w:pPr>
        <w:spacing w:after="0" w:line="17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Implications of Being a Foreign Private Issuer</w:t>
      </w:r>
    </w:p>
    <w:p>
      <w:pPr>
        <w:spacing w:after="0" w:line="162" w:lineRule="exact"/>
        <w:rPr>
          <w:sz w:val="20"/>
          <w:szCs w:val="20"/>
          <w:color w:val="auto"/>
        </w:rPr>
      </w:pPr>
    </w:p>
    <w:p>
      <w:pPr>
        <w:ind w:left="1280" w:right="439" w:firstLine="648"/>
        <w:spacing w:after="0" w:line="291" w:lineRule="auto"/>
        <w:rPr>
          <w:sz w:val="20"/>
          <w:szCs w:val="20"/>
          <w:color w:val="auto"/>
        </w:rPr>
      </w:pPr>
      <w:r>
        <w:rPr>
          <w:rFonts w:ascii="Arial" w:cs="Arial" w:eastAsia="Arial" w:hAnsi="Arial"/>
          <w:sz w:val="17"/>
          <w:szCs w:val="17"/>
          <w:color w:val="auto"/>
        </w:rPr>
        <w:t>We are also considered a “foreign private issuer.” In our capacity as a foreign private issuer, we are exempt from certain rules under the Exchange Act that impose certain disclosure obligations and procedural</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299720</wp:posOffset>
            </wp:positionV>
            <wp:extent cx="68065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329565</wp:posOffset>
            </wp:positionV>
            <wp:extent cx="5516245" cy="79590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80" w:right="539"/>
        <w:spacing w:after="0" w:line="272" w:lineRule="auto"/>
        <w:rPr>
          <w:sz w:val="20"/>
          <w:szCs w:val="20"/>
          <w:color w:val="auto"/>
        </w:rPr>
      </w:pPr>
      <w:r>
        <w:rPr>
          <w:rFonts w:ascii="Arial" w:cs="Arial" w:eastAsia="Arial" w:hAnsi="Arial"/>
          <w:sz w:val="17"/>
          <w:szCs w:val="17"/>
          <w:color w:val="auto"/>
        </w:rPr>
        <w:t>requirements for proxy solicitations under Section 14 of the Exchange Act. In addition, our managing directors, supervisory directors and our principal shareholders are exempt from the reporting and “short-swing” profit recovery provisions of Section 16 of the Exchange Act and the rules under the Exchange Act with respect to their purchases and sales of our common shares. Moreover, we are not required to file periodic reports and financial statements with the SEC as frequently or as promptly as U.S. companies whose securities are registered under the Exchange Act. In addition, we are not required to comply with Regulation FD, which restricts the selective disclosure of material information.</w:t>
      </w:r>
    </w:p>
    <w:p>
      <w:pPr>
        <w:spacing w:after="0" w:line="96" w:lineRule="exact"/>
        <w:rPr>
          <w:sz w:val="20"/>
          <w:szCs w:val="20"/>
          <w:color w:val="auto"/>
        </w:rPr>
      </w:pPr>
    </w:p>
    <w:p>
      <w:pPr>
        <w:ind w:left="1280" w:right="419" w:firstLine="648"/>
        <w:spacing w:after="0" w:line="275" w:lineRule="auto"/>
        <w:rPr>
          <w:sz w:val="20"/>
          <w:szCs w:val="20"/>
          <w:color w:val="auto"/>
        </w:rPr>
      </w:pPr>
      <w:r>
        <w:rPr>
          <w:rFonts w:ascii="Arial" w:cs="Arial" w:eastAsia="Arial" w:hAnsi="Arial"/>
          <w:sz w:val="17"/>
          <w:szCs w:val="17"/>
          <w:color w:val="auto"/>
        </w:rPr>
        <w:t>We may take advantage of these exemptions until such time as we are no longer a foreign private issuer. We will remain a foreign private issuer until such time that more than 50% of our outstanding voting securities are held by U.S. residents and any of the following three circumstances applies: (i) the majority of the managing directors or supervisory directors are U.S. citizens or residents; (ii) more than 50% of our assets are located in the United States; or (iii) our business is administered principally in the United States.</w:t>
      </w:r>
    </w:p>
    <w:p>
      <w:pPr>
        <w:spacing w:after="0" w:line="109" w:lineRule="exact"/>
        <w:rPr>
          <w:sz w:val="20"/>
          <w:szCs w:val="20"/>
          <w:color w:val="auto"/>
        </w:rPr>
      </w:pPr>
    </w:p>
    <w:p>
      <w:pPr>
        <w:ind w:left="1280" w:right="459" w:firstLine="648"/>
        <w:spacing w:after="0" w:line="263" w:lineRule="auto"/>
        <w:rPr>
          <w:sz w:val="20"/>
          <w:szCs w:val="20"/>
          <w:color w:val="auto"/>
        </w:rPr>
      </w:pPr>
      <w:r>
        <w:rPr>
          <w:rFonts w:ascii="Arial" w:cs="Arial" w:eastAsia="Arial" w:hAnsi="Arial"/>
          <w:sz w:val="18"/>
          <w:szCs w:val="18"/>
          <w:color w:val="auto"/>
        </w:rPr>
        <w:t>We have taken advantage of certain reduced reporting and other requirements in this prospectus. Accordingly, the information contained herein may be different than the information you receive from other public companies.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329565</wp:posOffset>
            </wp:positionV>
            <wp:extent cx="5516245" cy="79933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16245" cy="799338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Issuer</w:t>
      </w:r>
    </w:p>
    <w:p>
      <w:pPr>
        <w:spacing w:after="0" w:line="11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Common shares offered</w:t>
      </w:r>
    </w:p>
    <w:p>
      <w:pPr>
        <w:spacing w:after="0" w:line="117" w:lineRule="exact"/>
        <w:rPr>
          <w:sz w:val="20"/>
          <w:szCs w:val="20"/>
          <w:color w:val="auto"/>
        </w:rPr>
      </w:pPr>
    </w:p>
    <w:p>
      <w:pPr>
        <w:ind w:left="1460" w:right="40" w:hanging="179"/>
        <w:spacing w:after="0" w:line="386" w:lineRule="auto"/>
        <w:rPr>
          <w:sz w:val="20"/>
          <w:szCs w:val="20"/>
          <w:color w:val="auto"/>
        </w:rPr>
      </w:pPr>
      <w:r>
        <w:rPr>
          <w:rFonts w:ascii="Arial" w:cs="Arial" w:eastAsia="Arial" w:hAnsi="Arial"/>
          <w:sz w:val="15"/>
          <w:szCs w:val="15"/>
          <w:b w:val="1"/>
          <w:bCs w:val="1"/>
          <w:color w:val="auto"/>
        </w:rPr>
        <w:t>Underwriters’ option to purchase additional common shares</w:t>
      </w:r>
    </w:p>
    <w:p>
      <w:pPr>
        <w:spacing w:after="0" w:line="200" w:lineRule="exact"/>
        <w:rPr>
          <w:sz w:val="20"/>
          <w:szCs w:val="20"/>
          <w:color w:val="auto"/>
        </w:rPr>
      </w:pPr>
    </w:p>
    <w:p>
      <w:pPr>
        <w:spacing w:after="0" w:line="217" w:lineRule="exact"/>
        <w:rPr>
          <w:sz w:val="20"/>
          <w:szCs w:val="20"/>
          <w:color w:val="auto"/>
        </w:rPr>
      </w:pPr>
    </w:p>
    <w:p>
      <w:pPr>
        <w:ind w:left="1460" w:hanging="179"/>
        <w:spacing w:after="0" w:line="347" w:lineRule="auto"/>
        <w:rPr>
          <w:sz w:val="20"/>
          <w:szCs w:val="20"/>
          <w:color w:val="auto"/>
        </w:rPr>
      </w:pPr>
      <w:r>
        <w:rPr>
          <w:rFonts w:ascii="Arial" w:cs="Arial" w:eastAsia="Arial" w:hAnsi="Arial"/>
          <w:sz w:val="16"/>
          <w:szCs w:val="16"/>
          <w:b w:val="1"/>
          <w:bCs w:val="1"/>
          <w:color w:val="auto"/>
        </w:rPr>
        <w:t>Common shares to be outstanding after this offering</w:t>
      </w:r>
    </w:p>
    <w:p>
      <w:pPr>
        <w:spacing w:after="0" w:line="200" w:lineRule="exact"/>
        <w:rPr>
          <w:sz w:val="20"/>
          <w:szCs w:val="20"/>
          <w:color w:val="auto"/>
        </w:rPr>
      </w:pPr>
    </w:p>
    <w:p>
      <w:pPr>
        <w:spacing w:after="0" w:line="24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Voting rights</w:t>
      </w:r>
    </w:p>
    <w:p>
      <w:pPr>
        <w:spacing w:after="0" w:line="117"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Nasdaq Global Market symbol</w:t>
      </w:r>
    </w:p>
    <w:p>
      <w:pPr>
        <w:spacing w:after="0" w:line="345"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Dividend policy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THE OFFERING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CureVac N.V.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are offering 5,000,000 common shares.</w:t>
      </w:r>
    </w:p>
    <w:p>
      <w:pPr>
        <w:spacing w:after="0" w:line="333" w:lineRule="exact"/>
        <w:rPr>
          <w:sz w:val="20"/>
          <w:szCs w:val="20"/>
          <w:color w:val="auto"/>
        </w:rPr>
      </w:pPr>
    </w:p>
    <w:p>
      <w:pPr>
        <w:ind w:right="519"/>
        <w:spacing w:after="0" w:line="263" w:lineRule="auto"/>
        <w:rPr>
          <w:sz w:val="20"/>
          <w:szCs w:val="20"/>
          <w:color w:val="auto"/>
        </w:rPr>
      </w:pPr>
      <w:r>
        <w:rPr>
          <w:rFonts w:ascii="Arial" w:cs="Arial" w:eastAsia="Arial" w:hAnsi="Arial"/>
          <w:sz w:val="18"/>
          <w:szCs w:val="18"/>
          <w:color w:val="auto"/>
        </w:rPr>
        <w:t>We have granted the underwriters the right to purchase up to an additional 750,000 common shares from us within 30 days of the date of this prospectus.</w:t>
      </w:r>
    </w:p>
    <w:p>
      <w:pPr>
        <w:spacing w:after="0" w:line="292" w:lineRule="exact"/>
        <w:rPr>
          <w:sz w:val="20"/>
          <w:szCs w:val="20"/>
          <w:color w:val="auto"/>
        </w:rPr>
      </w:pPr>
    </w:p>
    <w:p>
      <w:pPr>
        <w:ind w:right="719"/>
        <w:spacing w:after="0" w:line="263" w:lineRule="auto"/>
        <w:rPr>
          <w:sz w:val="20"/>
          <w:szCs w:val="20"/>
          <w:color w:val="auto"/>
        </w:rPr>
      </w:pPr>
      <w:r>
        <w:rPr>
          <w:rFonts w:ascii="Arial" w:cs="Arial" w:eastAsia="Arial" w:hAnsi="Arial"/>
          <w:sz w:val="18"/>
          <w:szCs w:val="18"/>
          <w:color w:val="auto"/>
        </w:rPr>
        <w:t>186,163,480 common shares (or 186,913,480 common shares if the underwriters exercise their option to purchase additional common shares in full).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Our common shares have one vote per share.</w:t>
      </w:r>
    </w:p>
    <w:p>
      <w:pPr>
        <w:spacing w:after="0" w:line="117" w:lineRule="exact"/>
        <w:rPr>
          <w:sz w:val="20"/>
          <w:szCs w:val="20"/>
          <w:color w:val="auto"/>
        </w:rPr>
      </w:pPr>
    </w:p>
    <w:p>
      <w:pPr>
        <w:ind w:right="959"/>
        <w:spacing w:after="0" w:line="277" w:lineRule="auto"/>
        <w:rPr>
          <w:sz w:val="20"/>
          <w:szCs w:val="20"/>
          <w:color w:val="auto"/>
        </w:rPr>
      </w:pPr>
      <w:r>
        <w:rPr>
          <w:rFonts w:ascii="Arial" w:cs="Arial" w:eastAsia="Arial" w:hAnsi="Arial"/>
          <w:sz w:val="18"/>
          <w:szCs w:val="18"/>
          <w:color w:val="auto"/>
        </w:rPr>
        <w:t>Our common shares are listed for trading on The Nasdaq Global Market under the symbol “CVAC.”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estimate that the net proceeds to us from the offering will be</w:t>
      </w:r>
    </w:p>
    <w:p>
      <w:pPr>
        <w:spacing w:after="0" w:line="23" w:lineRule="exact"/>
        <w:rPr>
          <w:sz w:val="20"/>
          <w:szCs w:val="20"/>
          <w:color w:val="auto"/>
        </w:rPr>
      </w:pPr>
    </w:p>
    <w:p>
      <w:pPr>
        <w:ind w:right="399" w:firstLine="6"/>
        <w:spacing w:after="0" w:line="253" w:lineRule="auto"/>
        <w:tabs>
          <w:tab w:leader="none" w:pos="22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approximately $486.3 million ($559.3 million if the underwriters’ option to purchase additional common shares is exercised in full), assuming an public offering price of $102.69 per common share, which was the last reported sale price of our common shares on The Nasdaq Global Market on January 22, 2021.</w:t>
      </w:r>
    </w:p>
    <w:p>
      <w:pPr>
        <w:spacing w:after="0" w:line="123" w:lineRule="exact"/>
        <w:rPr>
          <w:sz w:val="20"/>
          <w:szCs w:val="20"/>
          <w:color w:val="auto"/>
        </w:rPr>
      </w:pPr>
    </w:p>
    <w:p>
      <w:pPr>
        <w:ind w:right="439"/>
        <w:spacing w:after="0" w:line="250" w:lineRule="auto"/>
        <w:rPr>
          <w:sz w:val="20"/>
          <w:szCs w:val="20"/>
          <w:color w:val="auto"/>
        </w:rPr>
      </w:pPr>
      <w:r>
        <w:rPr>
          <w:rFonts w:ascii="Arial" w:cs="Arial" w:eastAsia="Arial" w:hAnsi="Arial"/>
          <w:sz w:val="17"/>
          <w:szCs w:val="17"/>
          <w:color w:val="auto"/>
        </w:rPr>
        <w:t>We currently intend to use the net proceeds from the offering, together with cash and cash equivalents on hand as follows: (i) to fund the Company’s mRNA vaccine program against SARS-CoV-2, CVnCoV, through the completion of Phase 3 and its associated working capital requirements; (ii) to fund the expansion of the Company’s in-house manufacturing capacities as well as building significant capacities through an integrated European manufacturing network to produce CVnCoV prior to obtaining regulatory approval; (iii) to expand the Company pipeline in oncology led by the Company’s oncology program, CV8102, through the completion of the Phase 2 clinical trial;</w:t>
      </w:r>
    </w:p>
    <w:p>
      <w:pPr>
        <w:spacing w:after="0" w:line="5" w:lineRule="exact"/>
        <w:rPr>
          <w:sz w:val="20"/>
          <w:szCs w:val="20"/>
          <w:color w:val="auto"/>
        </w:rPr>
      </w:pPr>
    </w:p>
    <w:p>
      <w:pPr>
        <w:ind w:right="579" w:firstLine="6"/>
        <w:spacing w:after="0" w:line="237" w:lineRule="auto"/>
        <w:tabs>
          <w:tab w:leader="none" w:pos="32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advance the Company’s vaccine program, CV7202, in rabies through the completion of the Phase 2 clinical trial; (v) to invest in further development of the Company’s mRNA technology platform and to advance the development of other preclinical and clinical programs; and (vi) the remainder for general corporate purposes. See “Use of Proceeds.”</w:t>
      </w:r>
    </w:p>
    <w:p>
      <w:pPr>
        <w:spacing w:after="0" w:line="81" w:lineRule="exact"/>
        <w:rPr>
          <w:sz w:val="20"/>
          <w:szCs w:val="20"/>
          <w:color w:val="auto"/>
        </w:rPr>
      </w:pPr>
    </w:p>
    <w:p>
      <w:pPr>
        <w:ind w:right="419"/>
        <w:spacing w:after="0" w:line="252" w:lineRule="auto"/>
        <w:rPr>
          <w:sz w:val="20"/>
          <w:szCs w:val="20"/>
          <w:color w:val="auto"/>
        </w:rPr>
      </w:pPr>
      <w:r>
        <w:rPr>
          <w:rFonts w:ascii="Arial" w:cs="Arial" w:eastAsia="Arial" w:hAnsi="Arial"/>
          <w:sz w:val="18"/>
          <w:szCs w:val="18"/>
          <w:color w:val="auto"/>
        </w:rPr>
        <w:t>We have never paid or declared any cash dividends on our common shares and we do not anticipate paying any cash dividends on our common shares in the foreseeable future. We intend to retain all available funds and any future earnings to fund the development and expansion of our business. We may only pay dividends to the extent our shareholders’ equity (</w:t>
      </w:r>
      <w:r>
        <w:rPr>
          <w:rFonts w:ascii="Arial" w:cs="Arial" w:eastAsia="Arial" w:hAnsi="Arial"/>
          <w:sz w:val="18"/>
          <w:szCs w:val="18"/>
          <w:i w:val="1"/>
          <w:iCs w:val="1"/>
          <w:color w:val="auto"/>
        </w:rPr>
        <w:t>eigen vermogen</w:t>
      </w:r>
      <w:r>
        <w:rPr>
          <w:rFonts w:ascii="Arial" w:cs="Arial" w:eastAsia="Arial" w:hAnsi="Arial"/>
          <w:sz w:val="18"/>
          <w:szCs w:val="18"/>
          <w:color w:val="auto"/>
        </w:rPr>
        <w:t>) exceeds the sum of the paid-in and called-up share capital plus the reserves required to be maintained by Dutch law or by our articles of association and (if it concerns a distribution of profits) after adoption of the annual accounts by the general meeting from which it appears that such dividend distribution is allowed. Subject to such restrictions, any future determination to pay dividends will be at the discretion of our management board with the approval of our supervisory board and will depend upon a number of factors, including our results of operations, financial condition, future prospects, contractual restrictions, restrictions imposed by</w:t>
      </w:r>
    </w:p>
    <w:p>
      <w:pPr>
        <w:spacing w:after="0" w:line="200" w:lineRule="exact"/>
        <w:rPr>
          <w:sz w:val="20"/>
          <w:szCs w:val="20"/>
          <w:color w:val="auto"/>
        </w:rPr>
      </w:pPr>
    </w:p>
    <w:p>
      <w:pPr>
        <w:sectPr>
          <w:pgSz w:w="11900" w:h="16838" w:orient="portrait"/>
          <w:cols w:equalWidth="0" w:num="2">
            <w:col w:w="3780" w:space="300"/>
            <w:col w:w="5799"/>
          </w:cols>
          <w:pgMar w:left="580" w:top="132" w:right="1440" w:bottom="1440" w:gutter="0" w:footer="0" w:header="0"/>
          <w:type w:val="continuous"/>
        </w:sectPr>
      </w:pPr>
    </w:p>
    <w:p>
      <w:pPr>
        <w:spacing w:after="0" w:line="197"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299720</wp:posOffset>
            </wp:positionV>
            <wp:extent cx="68065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329565</wp:posOffset>
            </wp:positionV>
            <wp:extent cx="5516245" cy="79590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applicable law and other factors our management board and</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supervisory board deem relevant.</w:t>
      </w:r>
    </w:p>
    <w:p>
      <w:pPr>
        <w:spacing w:after="0" w:line="99" w:lineRule="exact"/>
        <w:rPr>
          <w:sz w:val="20"/>
          <w:szCs w:val="20"/>
          <w:color w:val="auto"/>
        </w:rPr>
      </w:pPr>
    </w:p>
    <w:p>
      <w:pPr>
        <w:ind w:left="1280"/>
        <w:spacing w:after="0"/>
        <w:tabs>
          <w:tab w:leader="none" w:pos="4060" w:val="left"/>
        </w:tabs>
        <w:rPr>
          <w:sz w:val="20"/>
          <w:szCs w:val="20"/>
          <w:color w:val="auto"/>
        </w:rPr>
      </w:pPr>
      <w:r>
        <w:rPr>
          <w:rFonts w:ascii="Arial" w:cs="Arial" w:eastAsia="Arial" w:hAnsi="Arial"/>
          <w:sz w:val="18"/>
          <w:szCs w:val="18"/>
          <w:b w:val="1"/>
          <w:bCs w:val="1"/>
          <w:color w:val="auto"/>
        </w:rPr>
        <w:t>Lock-up agreements</w:t>
      </w:r>
      <w:r>
        <w:rPr>
          <w:sz w:val="20"/>
          <w:szCs w:val="20"/>
          <w:color w:val="auto"/>
        </w:rPr>
        <w:tab/>
      </w:r>
      <w:r>
        <w:rPr>
          <w:rFonts w:ascii="Arial" w:cs="Arial" w:eastAsia="Arial" w:hAnsi="Arial"/>
          <w:sz w:val="17"/>
          <w:szCs w:val="17"/>
          <w:color w:val="auto"/>
        </w:rPr>
        <w:t>We have agreed with the underwriters, subject to certain exceptions,</w:t>
      </w:r>
    </w:p>
    <w:p>
      <w:pPr>
        <w:spacing w:after="0" w:line="27" w:lineRule="exact"/>
        <w:rPr>
          <w:sz w:val="20"/>
          <w:szCs w:val="20"/>
          <w:color w:val="auto"/>
        </w:rPr>
      </w:pPr>
    </w:p>
    <w:p>
      <w:pPr>
        <w:ind w:left="4080" w:right="479"/>
        <w:spacing w:after="0" w:line="252" w:lineRule="auto"/>
        <w:rPr>
          <w:sz w:val="20"/>
          <w:szCs w:val="20"/>
          <w:color w:val="auto"/>
        </w:rPr>
      </w:pPr>
      <w:r>
        <w:rPr>
          <w:rFonts w:ascii="Arial" w:cs="Arial" w:eastAsia="Arial" w:hAnsi="Arial"/>
          <w:sz w:val="18"/>
          <w:szCs w:val="18"/>
          <w:color w:val="auto"/>
        </w:rPr>
        <w:t>not to offer, sell or dispose of any shares of our share capital or securities convertible into or exchangeable or exercisable for any shares of our share capital during the 60-day period following the date of this prospectus. Our managing directors and our supervisory directors have agreed to substantially similar lock-up provisions, subject to certain exceptions.</w:t>
      </w:r>
    </w:p>
    <w:p>
      <w:pPr>
        <w:spacing w:after="0" w:line="82" w:lineRule="exact"/>
        <w:rPr>
          <w:sz w:val="20"/>
          <w:szCs w:val="20"/>
          <w:color w:val="auto"/>
        </w:rPr>
      </w:pPr>
    </w:p>
    <w:p>
      <w:pPr>
        <w:ind w:left="1280"/>
        <w:spacing w:after="0"/>
        <w:tabs>
          <w:tab w:leader="none" w:pos="4060" w:val="left"/>
        </w:tabs>
        <w:rPr>
          <w:sz w:val="20"/>
          <w:szCs w:val="20"/>
          <w:color w:val="auto"/>
        </w:rPr>
      </w:pPr>
      <w:r>
        <w:rPr>
          <w:rFonts w:ascii="Arial" w:cs="Arial" w:eastAsia="Arial" w:hAnsi="Arial"/>
          <w:sz w:val="18"/>
          <w:szCs w:val="18"/>
          <w:b w:val="1"/>
          <w:bCs w:val="1"/>
          <w:color w:val="auto"/>
        </w:rPr>
        <w:t>Risk factors</w:t>
      </w:r>
      <w:r>
        <w:rPr>
          <w:sz w:val="20"/>
          <w:szCs w:val="20"/>
          <w:color w:val="auto"/>
        </w:rPr>
        <w:tab/>
      </w:r>
      <w:r>
        <w:rPr>
          <w:rFonts w:ascii="Arial" w:cs="Arial" w:eastAsia="Arial" w:hAnsi="Arial"/>
          <w:sz w:val="17"/>
          <w:szCs w:val="17"/>
          <w:color w:val="auto"/>
        </w:rPr>
        <w:t>See “Risk Factors” and the other information included in this</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prospectus for a discussion of factors you should consider before</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deciding to invest in our common shares.</w:t>
      </w:r>
    </w:p>
    <w:p>
      <w:pPr>
        <w:spacing w:after="0" w:line="130" w:lineRule="exact"/>
        <w:rPr>
          <w:sz w:val="20"/>
          <w:szCs w:val="20"/>
          <w:color w:val="auto"/>
        </w:rPr>
      </w:pPr>
    </w:p>
    <w:p>
      <w:pPr>
        <w:ind w:left="1460" w:right="1659" w:firstLine="461"/>
        <w:spacing w:after="0" w:line="277" w:lineRule="auto"/>
        <w:rPr>
          <w:sz w:val="20"/>
          <w:szCs w:val="20"/>
          <w:color w:val="auto"/>
        </w:rPr>
      </w:pPr>
      <w:r>
        <w:rPr>
          <w:rFonts w:ascii="Arial" w:cs="Arial" w:eastAsia="Arial" w:hAnsi="Arial"/>
          <w:sz w:val="18"/>
          <w:szCs w:val="18"/>
          <w:color w:val="auto"/>
        </w:rPr>
        <w:t>Unless otherwise indicated, all information contained in this prospectus is based on common shares outstanding as of December 31, 2020, and assumes:</w:t>
      </w:r>
    </w:p>
    <w:p>
      <w:pPr>
        <w:spacing w:after="0" w:line="62" w:lineRule="exact"/>
        <w:rPr>
          <w:sz w:val="20"/>
          <w:szCs w:val="20"/>
          <w:color w:val="auto"/>
        </w:rPr>
      </w:pPr>
    </w:p>
    <w:p>
      <w:pPr>
        <w:ind w:left="2280" w:right="679" w:hanging="354"/>
        <w:spacing w:after="0" w:line="263" w:lineRule="auto"/>
        <w:tabs>
          <w:tab w:leader="none" w:pos="2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full exercise of 702,917 option awards outstanding and exercisable under the legacy management stock option plan for a purchase price of €0.12 per share divided by 133.0778; and</w:t>
      </w:r>
    </w:p>
    <w:p>
      <w:pPr>
        <w:spacing w:after="0" w:line="75" w:lineRule="exact"/>
        <w:rPr>
          <w:rFonts w:ascii="Arial" w:cs="Arial" w:eastAsia="Arial" w:hAnsi="Arial"/>
          <w:sz w:val="18"/>
          <w:szCs w:val="18"/>
          <w:color w:val="auto"/>
        </w:rPr>
      </w:pPr>
    </w:p>
    <w:p>
      <w:pPr>
        <w:ind w:left="2280" w:right="839" w:hanging="354"/>
        <w:spacing w:after="0" w:line="277" w:lineRule="auto"/>
        <w:tabs>
          <w:tab w:leader="none" w:pos="2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exercise of the option granted to the underwriters to purchase up to 750,000 additional common shares in connection with the offering.</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329565</wp:posOffset>
            </wp:positionV>
            <wp:extent cx="5516245" cy="79590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SUMMARY CONSOLIDATED FINANCIAL INFORMATION</w:t>
      </w:r>
    </w:p>
    <w:p>
      <w:pPr>
        <w:spacing w:after="0" w:line="162" w:lineRule="exact"/>
        <w:rPr>
          <w:sz w:val="20"/>
          <w:szCs w:val="20"/>
          <w:color w:val="auto"/>
        </w:rPr>
      </w:pPr>
    </w:p>
    <w:p>
      <w:pPr>
        <w:ind w:left="1280" w:right="479" w:firstLine="648"/>
        <w:spacing w:after="0" w:line="275" w:lineRule="auto"/>
        <w:rPr>
          <w:sz w:val="20"/>
          <w:szCs w:val="20"/>
          <w:color w:val="auto"/>
        </w:rPr>
      </w:pPr>
      <w:r>
        <w:rPr>
          <w:rFonts w:ascii="Arial" w:cs="Arial" w:eastAsia="Arial" w:hAnsi="Arial"/>
          <w:sz w:val="17"/>
          <w:szCs w:val="17"/>
          <w:color w:val="auto"/>
        </w:rPr>
        <w:t>The following summary consolidated statement of operations and comprehensive income (loss) for the years ended December 31, 2018 and 2019 of CureVac AG is derived from the consolidated financial statements included elsewhere in this prospectus, which have been audited by Ernst &amp; Young GmbH Wirtschaftsprüfungsgesellschaft, or Ernst &amp; Young, and have been retrospectively adjusted to reflect the impact of the share split resulting from the Corporate Reorganization.</w:t>
      </w:r>
    </w:p>
    <w:p>
      <w:pPr>
        <w:spacing w:after="0" w:line="109" w:lineRule="exact"/>
        <w:rPr>
          <w:sz w:val="20"/>
          <w:szCs w:val="20"/>
          <w:color w:val="auto"/>
        </w:rPr>
      </w:pPr>
    </w:p>
    <w:p>
      <w:pPr>
        <w:ind w:left="1280" w:right="419" w:firstLine="648"/>
        <w:spacing w:after="0" w:line="269" w:lineRule="auto"/>
        <w:rPr>
          <w:sz w:val="20"/>
          <w:szCs w:val="20"/>
          <w:color w:val="auto"/>
        </w:rPr>
      </w:pPr>
      <w:r>
        <w:rPr>
          <w:rFonts w:ascii="Arial" w:cs="Arial" w:eastAsia="Arial" w:hAnsi="Arial"/>
          <w:sz w:val="17"/>
          <w:szCs w:val="17"/>
          <w:color w:val="auto"/>
        </w:rPr>
        <w:t>The following summary interim condensed consolidated statement of financial position as of September 30, 2020 and the summary interim condensed consolidated statement of comprehensive income (loss) for the nine months ended September 30, 2019 and 2020 of CureVac N.V. are derived from the unaudited interim condensed consolidated financial statements included elsewhere in this prospectus. The unaudited interim condensed consolidated financial statements have been prepared on the same basis as the audited consolidated financial statements referred to above, including being retrospectively adjusted to reflect the impact of the share split resulting from the Corporate Reorganization, and, in the opinion of management, reflect all adjustments necessary to state fairly our financial position as of September 30, 2020 and our results of operations for the nine months ended September 30, 2019 and 2020. Our historical results for the nine months ended September 30, 2019 and 2020 are not necessarily indicative of results to be expected for a full year or any other interim period. We maintain our books and records in euros, and we prepare our financial statements under IFRS as issued by the IASB.</w:t>
      </w:r>
    </w:p>
    <w:p>
      <w:pPr>
        <w:spacing w:after="0" w:line="98" w:lineRule="exact"/>
        <w:rPr>
          <w:sz w:val="20"/>
          <w:szCs w:val="20"/>
          <w:color w:val="auto"/>
        </w:rPr>
      </w:pPr>
    </w:p>
    <w:p>
      <w:pPr>
        <w:ind w:left="1280" w:right="579" w:firstLine="648"/>
        <w:spacing w:after="0" w:line="259" w:lineRule="auto"/>
        <w:rPr>
          <w:sz w:val="20"/>
          <w:szCs w:val="20"/>
          <w:color w:val="auto"/>
        </w:rPr>
      </w:pPr>
      <w:r>
        <w:rPr>
          <w:rFonts w:ascii="Arial" w:cs="Arial" w:eastAsia="Arial" w:hAnsi="Arial"/>
          <w:sz w:val="18"/>
          <w:szCs w:val="18"/>
          <w:color w:val="auto"/>
        </w:rPr>
        <w:t>Financial information presented in the consolidated financial statements of CureVac N.V. for periods prior to the completion of our Corporate Reorganization is that of CureVac AG, our wholly owned subsidiary. The consolidated financial statements of CureVac N.V. are a continuation of the historical consolidated financial statements of CureVac AG.</w:t>
      </w:r>
    </w:p>
    <w:p>
      <w:pPr>
        <w:spacing w:after="0" w:line="119" w:lineRule="exact"/>
        <w:rPr>
          <w:sz w:val="20"/>
          <w:szCs w:val="20"/>
          <w:color w:val="auto"/>
        </w:rPr>
      </w:pPr>
    </w:p>
    <w:p>
      <w:pPr>
        <w:jc w:val="both"/>
        <w:ind w:left="1280" w:right="879" w:firstLine="648"/>
        <w:spacing w:after="0" w:line="263" w:lineRule="auto"/>
        <w:rPr>
          <w:sz w:val="20"/>
          <w:szCs w:val="20"/>
          <w:color w:val="auto"/>
        </w:rPr>
      </w:pPr>
      <w:r>
        <w:rPr>
          <w:rFonts w:ascii="Arial" w:cs="Arial" w:eastAsia="Arial" w:hAnsi="Arial"/>
          <w:sz w:val="18"/>
          <w:szCs w:val="18"/>
          <w:color w:val="auto"/>
        </w:rPr>
        <w:t>This financial information should be read in conjunction with “Management’s Discussion and Analysis of Financial Condition and Results of Operations” and our consolidated financial statements, including the notes thereto, included elsewhere in this prospectus.</w:t>
      </w:r>
    </w:p>
    <w:p>
      <w:pPr>
        <w:spacing w:after="0" w:line="135"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4"/>
          </w:tcPr>
          <w:p>
            <w:pPr>
              <w:jc w:val="right"/>
              <w:ind w:right="241"/>
              <w:spacing w:after="0"/>
              <w:rPr>
                <w:sz w:val="20"/>
                <w:szCs w:val="20"/>
                <w:color w:val="auto"/>
              </w:rPr>
            </w:pPr>
            <w:r>
              <w:rPr>
                <w:rFonts w:ascii="Arial" w:cs="Arial" w:eastAsia="Arial" w:hAnsi="Arial"/>
                <w:sz w:val="14"/>
                <w:szCs w:val="14"/>
                <w:b w:val="1"/>
                <w:bCs w:val="1"/>
                <w:color w:val="auto"/>
                <w:w w:val="95"/>
              </w:rPr>
              <w:t>For the Years Ended</w:t>
            </w:r>
          </w:p>
        </w:tc>
        <w:tc>
          <w:tcPr>
            <w:tcW w:w="172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91"/>
              </w:rPr>
              <w:t>For the Nine Months Ended</w:t>
            </w:r>
          </w:p>
        </w:tc>
      </w:tr>
      <w:tr>
        <w:trPr>
          <w:trHeight w:val="185"/>
        </w:trPr>
        <w:tc>
          <w:tcPr>
            <w:tcW w:w="4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4"/>
          </w:tcPr>
          <w:p>
            <w:pPr>
              <w:jc w:val="right"/>
              <w:ind w:right="441"/>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6"/>
                <w:szCs w:val="16"/>
                <w:color w:val="auto"/>
              </w:rPr>
            </w:pPr>
          </w:p>
        </w:tc>
        <w:tc>
          <w:tcPr>
            <w:tcW w:w="16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7"/>
              </w:rPr>
              <w:t>September 30,</w:t>
            </w:r>
          </w:p>
        </w:tc>
      </w:tr>
      <w:tr>
        <w:trPr>
          <w:trHeight w:val="169"/>
        </w:trPr>
        <w:tc>
          <w:tcPr>
            <w:tcW w:w="4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4"/>
                <w:szCs w:val="14"/>
                <w:color w:val="auto"/>
              </w:rPr>
            </w:pPr>
          </w:p>
        </w:tc>
        <w:tc>
          <w:tcPr>
            <w:tcW w:w="660" w:type="dxa"/>
            <w:vAlign w:val="bottom"/>
            <w:tcBorders>
              <w:top w:val="single" w:sz="8" w:color="auto"/>
              <w:bottom w:val="single" w:sz="8" w:color="auto"/>
            </w:tcBorders>
            <w:gridSpan w:val="2"/>
          </w:tcPr>
          <w:p>
            <w:pPr>
              <w:jc w:val="right"/>
              <w:ind w:right="55"/>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r>
      <w:tr>
        <w:trPr>
          <w:trHeight w:val="160"/>
        </w:trPr>
        <w:tc>
          <w:tcPr>
            <w:tcW w:w="4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360" w:type="dxa"/>
            <w:vAlign w:val="bottom"/>
            <w:gridSpan w:val="10"/>
          </w:tcPr>
          <w:p>
            <w:pPr>
              <w:jc w:val="right"/>
              <w:ind w:right="220"/>
              <w:spacing w:after="0" w:line="160" w:lineRule="exact"/>
              <w:rPr>
                <w:sz w:val="20"/>
                <w:szCs w:val="20"/>
                <w:color w:val="auto"/>
              </w:rPr>
            </w:pPr>
            <w:r>
              <w:rPr>
                <w:rFonts w:ascii="Arial" w:cs="Arial" w:eastAsia="Arial" w:hAnsi="Arial"/>
                <w:sz w:val="14"/>
                <w:szCs w:val="14"/>
                <w:b w:val="1"/>
                <w:bCs w:val="1"/>
                <w:color w:val="auto"/>
                <w:w w:val="92"/>
              </w:rPr>
              <w:t>(in thousands of euros, except per share amounts)</w:t>
            </w:r>
          </w:p>
        </w:tc>
      </w:tr>
      <w:tr>
        <w:trPr>
          <w:trHeight w:val="171"/>
        </w:trPr>
        <w:tc>
          <w:tcPr>
            <w:tcW w:w="4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9"/>
              </w:rPr>
              <w:t>(unaudited)</w:t>
            </w:r>
          </w:p>
        </w:tc>
      </w:tr>
      <w:tr>
        <w:trPr>
          <w:trHeight w:val="198"/>
        </w:trPr>
        <w:tc>
          <w:tcPr>
            <w:tcW w:w="4840" w:type="dxa"/>
            <w:vAlign w:val="bottom"/>
            <w:tcBorders>
              <w:right w:val="single" w:sz="8" w:color="CCEEFF"/>
            </w:tcBorders>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3"/>
              </w:rPr>
              <w:t>Statement of Operations and Comprehensive Income (Loss)</w:t>
            </w: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8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Data:</w:t>
            </w:r>
          </w:p>
        </w:tc>
        <w:tc>
          <w:tcPr>
            <w:tcW w:w="5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03"/>
        </w:trPr>
        <w:tc>
          <w:tcPr>
            <w:tcW w:w="4840" w:type="dxa"/>
            <w:vAlign w:val="bottom"/>
            <w:gridSpan w:val="2"/>
          </w:tcPr>
          <w:p>
            <w:pPr>
              <w:spacing w:after="0" w:line="202" w:lineRule="exact"/>
              <w:rPr>
                <w:sz w:val="20"/>
                <w:szCs w:val="20"/>
                <w:color w:val="auto"/>
              </w:rPr>
            </w:pPr>
            <w:r>
              <w:rPr>
                <w:rFonts w:ascii="Arial" w:cs="Arial" w:eastAsia="Arial" w:hAnsi="Arial"/>
                <w:sz w:val="18"/>
                <w:szCs w:val="18"/>
                <w:color w:val="auto"/>
              </w:rPr>
              <w:t>Revenue</w:t>
            </w:r>
          </w:p>
        </w:tc>
        <w:tc>
          <w:tcPr>
            <w:tcW w:w="8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12,871</w:t>
            </w:r>
          </w:p>
        </w:tc>
        <w:tc>
          <w:tcPr>
            <w:tcW w:w="840" w:type="dxa"/>
            <w:vAlign w:val="bottom"/>
            <w:gridSpan w:val="2"/>
          </w:tcPr>
          <w:p>
            <w:pPr>
              <w:jc w:val="right"/>
              <w:ind w:right="121"/>
              <w:spacing w:after="0" w:line="202" w:lineRule="exact"/>
              <w:rPr>
                <w:sz w:val="20"/>
                <w:szCs w:val="20"/>
                <w:color w:val="auto"/>
              </w:rPr>
            </w:pPr>
            <w:r>
              <w:rPr>
                <w:rFonts w:ascii="Arial" w:cs="Arial" w:eastAsia="Arial" w:hAnsi="Arial"/>
                <w:sz w:val="18"/>
                <w:szCs w:val="18"/>
                <w:color w:val="auto"/>
              </w:rPr>
              <w:t>17,416</w:t>
            </w:r>
          </w:p>
        </w:tc>
        <w:tc>
          <w:tcPr>
            <w:tcW w:w="1060" w:type="dxa"/>
            <w:vAlign w:val="bottom"/>
            <w:gridSpan w:val="3"/>
          </w:tcPr>
          <w:p>
            <w:pPr>
              <w:jc w:val="right"/>
              <w:ind w:right="321"/>
              <w:spacing w:after="0" w:line="202" w:lineRule="exact"/>
              <w:rPr>
                <w:sz w:val="20"/>
                <w:szCs w:val="20"/>
                <w:color w:val="auto"/>
              </w:rPr>
            </w:pPr>
            <w:r>
              <w:rPr>
                <w:rFonts w:ascii="Arial" w:cs="Arial" w:eastAsia="Arial" w:hAnsi="Arial"/>
                <w:sz w:val="18"/>
                <w:szCs w:val="18"/>
                <w:color w:val="auto"/>
              </w:rPr>
              <w:t>10,600</w:t>
            </w: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42,830</w:t>
            </w:r>
          </w:p>
        </w:tc>
        <w:tc>
          <w:tcPr>
            <w:tcW w:w="80" w:type="dxa"/>
            <w:vAlign w:val="bottom"/>
          </w:tcPr>
          <w:p>
            <w:pPr>
              <w:spacing w:after="0"/>
              <w:rPr>
                <w:sz w:val="17"/>
                <w:szCs w:val="17"/>
                <w:color w:val="auto"/>
              </w:rPr>
            </w:pPr>
          </w:p>
        </w:tc>
      </w:tr>
      <w:tr>
        <w:trPr>
          <w:trHeight w:val="203"/>
        </w:trPr>
        <w:tc>
          <w:tcPr>
            <w:tcW w:w="4840" w:type="dxa"/>
            <w:vAlign w:val="bottom"/>
            <w:tcBorders>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Cost of sales</w:t>
            </w:r>
          </w:p>
        </w:tc>
        <w:tc>
          <w:tcPr>
            <w:tcW w:w="80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92"/>
              </w:rPr>
              <w:t>(17,744)</w:t>
            </w:r>
          </w:p>
        </w:tc>
        <w:tc>
          <w:tcPr>
            <w:tcW w:w="840" w:type="dxa"/>
            <w:vAlign w:val="bottom"/>
            <w:gridSpan w:val="2"/>
            <w:shd w:val="clear" w:color="auto" w:fill="CCEEFF"/>
          </w:tcPr>
          <w:p>
            <w:pPr>
              <w:jc w:val="right"/>
              <w:ind w:right="61"/>
              <w:spacing w:after="0" w:line="202" w:lineRule="exact"/>
              <w:rPr>
                <w:sz w:val="20"/>
                <w:szCs w:val="20"/>
                <w:color w:val="auto"/>
              </w:rPr>
            </w:pPr>
            <w:r>
              <w:rPr>
                <w:rFonts w:ascii="Arial" w:cs="Arial" w:eastAsia="Arial" w:hAnsi="Arial"/>
                <w:sz w:val="18"/>
                <w:szCs w:val="18"/>
                <w:color w:val="auto"/>
              </w:rPr>
              <w:t>(27,983)</w:t>
            </w:r>
          </w:p>
        </w:tc>
        <w:tc>
          <w:tcPr>
            <w:tcW w:w="1060" w:type="dxa"/>
            <w:vAlign w:val="bottom"/>
            <w:gridSpan w:val="3"/>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rPr>
              <w:t>(18,872)</w:t>
            </w:r>
          </w:p>
        </w:tc>
        <w:tc>
          <w:tcPr>
            <w:tcW w:w="6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(7,049)</w:t>
            </w:r>
          </w:p>
        </w:tc>
      </w:tr>
      <w:tr>
        <w:trPr>
          <w:trHeight w:val="203"/>
        </w:trPr>
        <w:tc>
          <w:tcPr>
            <w:tcW w:w="4840" w:type="dxa"/>
            <w:vAlign w:val="bottom"/>
            <w:gridSpan w:val="2"/>
          </w:tcPr>
          <w:p>
            <w:pPr>
              <w:spacing w:after="0" w:line="202" w:lineRule="exact"/>
              <w:rPr>
                <w:sz w:val="20"/>
                <w:szCs w:val="20"/>
                <w:color w:val="auto"/>
              </w:rPr>
            </w:pPr>
            <w:r>
              <w:rPr>
                <w:rFonts w:ascii="Arial" w:cs="Arial" w:eastAsia="Arial" w:hAnsi="Arial"/>
                <w:sz w:val="18"/>
                <w:szCs w:val="18"/>
                <w:color w:val="auto"/>
              </w:rPr>
              <w:t>Selling and distribution expenses</w:t>
            </w:r>
          </w:p>
        </w:tc>
        <w:tc>
          <w:tcPr>
            <w:tcW w:w="8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(1,085)</w:t>
            </w:r>
          </w:p>
        </w:tc>
        <w:tc>
          <w:tcPr>
            <w:tcW w:w="84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(1,755)</w:t>
            </w:r>
          </w:p>
        </w:tc>
        <w:tc>
          <w:tcPr>
            <w:tcW w:w="1060" w:type="dxa"/>
            <w:vAlign w:val="bottom"/>
            <w:gridSpan w:val="3"/>
          </w:tcPr>
          <w:p>
            <w:pPr>
              <w:jc w:val="right"/>
              <w:ind w:right="261"/>
              <w:spacing w:after="0" w:line="202" w:lineRule="exact"/>
              <w:rPr>
                <w:sz w:val="20"/>
                <w:szCs w:val="20"/>
                <w:color w:val="auto"/>
              </w:rPr>
            </w:pPr>
            <w:r>
              <w:rPr>
                <w:rFonts w:ascii="Arial" w:cs="Arial" w:eastAsia="Arial" w:hAnsi="Arial"/>
                <w:sz w:val="18"/>
                <w:szCs w:val="18"/>
                <w:color w:val="auto"/>
              </w:rPr>
              <w:t>(485)</w:t>
            </w:r>
          </w:p>
        </w:tc>
        <w:tc>
          <w:tcPr>
            <w:tcW w:w="6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(809)</w:t>
            </w:r>
          </w:p>
        </w:tc>
      </w:tr>
      <w:tr>
        <w:trPr>
          <w:trHeight w:val="203"/>
        </w:trPr>
        <w:tc>
          <w:tcPr>
            <w:tcW w:w="4840" w:type="dxa"/>
            <w:vAlign w:val="bottom"/>
            <w:tcBorders>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80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92"/>
              </w:rPr>
              <w:t>(41,722)</w:t>
            </w:r>
          </w:p>
        </w:tc>
        <w:tc>
          <w:tcPr>
            <w:tcW w:w="840" w:type="dxa"/>
            <w:vAlign w:val="bottom"/>
            <w:gridSpan w:val="2"/>
            <w:shd w:val="clear" w:color="auto" w:fill="CCEEFF"/>
          </w:tcPr>
          <w:p>
            <w:pPr>
              <w:jc w:val="right"/>
              <w:ind w:right="61"/>
              <w:spacing w:after="0" w:line="202" w:lineRule="exact"/>
              <w:rPr>
                <w:sz w:val="20"/>
                <w:szCs w:val="20"/>
                <w:color w:val="auto"/>
              </w:rPr>
            </w:pPr>
            <w:r>
              <w:rPr>
                <w:rFonts w:ascii="Arial" w:cs="Arial" w:eastAsia="Arial" w:hAnsi="Arial"/>
                <w:sz w:val="18"/>
                <w:szCs w:val="18"/>
                <w:color w:val="auto"/>
              </w:rPr>
              <w:t>(43,242)</w:t>
            </w:r>
          </w:p>
        </w:tc>
        <w:tc>
          <w:tcPr>
            <w:tcW w:w="1060" w:type="dxa"/>
            <w:vAlign w:val="bottom"/>
            <w:gridSpan w:val="3"/>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rPr>
              <w:t>(30,665)</w:t>
            </w:r>
          </w:p>
        </w:tc>
        <w:tc>
          <w:tcPr>
            <w:tcW w:w="6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2"/>
              </w:rPr>
              <w:t>(76,337)</w:t>
            </w:r>
          </w:p>
        </w:tc>
      </w:tr>
      <w:tr>
        <w:trPr>
          <w:trHeight w:val="203"/>
        </w:trPr>
        <w:tc>
          <w:tcPr>
            <w:tcW w:w="4840" w:type="dxa"/>
            <w:vAlign w:val="bottom"/>
            <w:gridSpan w:val="2"/>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8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w w:val="92"/>
              </w:rPr>
              <w:t>(25,289)</w:t>
            </w:r>
          </w:p>
        </w:tc>
        <w:tc>
          <w:tcPr>
            <w:tcW w:w="84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(48,969)</w:t>
            </w:r>
          </w:p>
        </w:tc>
        <w:tc>
          <w:tcPr>
            <w:tcW w:w="1060" w:type="dxa"/>
            <w:vAlign w:val="bottom"/>
            <w:gridSpan w:val="3"/>
          </w:tcPr>
          <w:p>
            <w:pPr>
              <w:jc w:val="right"/>
              <w:ind w:right="261"/>
              <w:spacing w:after="0" w:line="202" w:lineRule="exact"/>
              <w:rPr>
                <w:sz w:val="20"/>
                <w:szCs w:val="20"/>
                <w:color w:val="auto"/>
              </w:rPr>
            </w:pPr>
            <w:r>
              <w:rPr>
                <w:rFonts w:ascii="Arial" w:cs="Arial" w:eastAsia="Arial" w:hAnsi="Arial"/>
                <w:sz w:val="18"/>
                <w:szCs w:val="18"/>
                <w:color w:val="auto"/>
              </w:rPr>
              <w:t>(28,504)</w:t>
            </w:r>
          </w:p>
        </w:tc>
        <w:tc>
          <w:tcPr>
            <w:tcW w:w="6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w w:val="92"/>
              </w:rPr>
              <w:t>(33,147)</w:t>
            </w:r>
          </w:p>
        </w:tc>
      </w:tr>
      <w:tr>
        <w:trPr>
          <w:trHeight w:val="203"/>
        </w:trPr>
        <w:tc>
          <w:tcPr>
            <w:tcW w:w="4840" w:type="dxa"/>
            <w:vAlign w:val="bottom"/>
            <w:tcBorders>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operating income</w:t>
            </w:r>
          </w:p>
        </w:tc>
        <w:tc>
          <w:tcPr>
            <w:tcW w:w="80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808</w:t>
            </w:r>
          </w:p>
        </w:tc>
        <w:tc>
          <w:tcPr>
            <w:tcW w:w="840" w:type="dxa"/>
            <w:vAlign w:val="bottom"/>
            <w:gridSpan w:val="2"/>
            <w:shd w:val="clear" w:color="auto" w:fill="CCEEFF"/>
          </w:tcPr>
          <w:p>
            <w:pPr>
              <w:jc w:val="right"/>
              <w:ind w:right="121"/>
              <w:spacing w:after="0" w:line="202" w:lineRule="exact"/>
              <w:rPr>
                <w:sz w:val="20"/>
                <w:szCs w:val="20"/>
                <w:color w:val="auto"/>
              </w:rPr>
            </w:pPr>
            <w:r>
              <w:rPr>
                <w:rFonts w:ascii="Arial" w:cs="Arial" w:eastAsia="Arial" w:hAnsi="Arial"/>
                <w:sz w:val="18"/>
                <w:szCs w:val="18"/>
                <w:color w:val="auto"/>
              </w:rPr>
              <w:t>5,587</w:t>
            </w:r>
          </w:p>
        </w:tc>
        <w:tc>
          <w:tcPr>
            <w:tcW w:w="1060" w:type="dxa"/>
            <w:vAlign w:val="bottom"/>
            <w:gridSpan w:val="3"/>
            <w:shd w:val="clear" w:color="auto" w:fill="CCEEFF"/>
          </w:tcPr>
          <w:p>
            <w:pPr>
              <w:jc w:val="right"/>
              <w:ind w:right="321"/>
              <w:spacing w:after="0" w:line="202" w:lineRule="exact"/>
              <w:rPr>
                <w:sz w:val="20"/>
                <w:szCs w:val="20"/>
                <w:color w:val="auto"/>
              </w:rPr>
            </w:pPr>
            <w:r>
              <w:rPr>
                <w:rFonts w:ascii="Arial" w:cs="Arial" w:eastAsia="Arial" w:hAnsi="Arial"/>
                <w:sz w:val="18"/>
                <w:szCs w:val="18"/>
                <w:color w:val="auto"/>
              </w:rPr>
              <w:t>3,838</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11,695</w:t>
            </w:r>
          </w:p>
        </w:tc>
        <w:tc>
          <w:tcPr>
            <w:tcW w:w="80" w:type="dxa"/>
            <w:vAlign w:val="bottom"/>
            <w:shd w:val="clear" w:color="auto" w:fill="CCEEFF"/>
          </w:tcPr>
          <w:p>
            <w:pPr>
              <w:spacing w:after="0"/>
              <w:rPr>
                <w:sz w:val="17"/>
                <w:szCs w:val="17"/>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Other operating expenses</w:t>
            </w: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(663)</w:t>
            </w: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(552)</w:t>
            </w:r>
          </w:p>
        </w:tc>
        <w:tc>
          <w:tcPr>
            <w:tcW w:w="1060" w:type="dxa"/>
            <w:vAlign w:val="bottom"/>
            <w:gridSpan w:val="3"/>
          </w:tcPr>
          <w:p>
            <w:pPr>
              <w:jc w:val="right"/>
              <w:ind w:right="261"/>
              <w:spacing w:after="0"/>
              <w:rPr>
                <w:sz w:val="20"/>
                <w:szCs w:val="20"/>
                <w:color w:val="auto"/>
              </w:rPr>
            </w:pPr>
            <w:r>
              <w:rPr>
                <w:rFonts w:ascii="Arial" w:cs="Arial" w:eastAsia="Arial" w:hAnsi="Arial"/>
                <w:sz w:val="18"/>
                <w:szCs w:val="18"/>
                <w:color w:val="auto"/>
              </w:rPr>
              <w:t>(339)</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(357)</w:t>
            </w:r>
          </w:p>
        </w:tc>
      </w:tr>
      <w:tr>
        <w:trPr>
          <w:trHeight w:val="210"/>
        </w:trPr>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(72,824</w:t>
            </w:r>
          </w:p>
        </w:tc>
        <w:tc>
          <w:tcPr>
            <w:tcW w:w="24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(99,498)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(64,427</w:t>
            </w:r>
          </w:p>
        </w:tc>
        <w:tc>
          <w:tcPr>
            <w:tcW w:w="400" w:type="dxa"/>
            <w:vAlign w:val="bottom"/>
            <w:tcBorders>
              <w:top w:val="single" w:sz="8" w:color="CCEEFF"/>
              <w:bottom w:val="single" w:sz="8" w:color="CCEEFF"/>
            </w:tcBorders>
            <w:shd w:val="clear" w:color="auto" w:fill="CCEEFF"/>
          </w:tcPr>
          <w:p>
            <w:pPr>
              <w:jc w:val="right"/>
              <w:ind w:right="261"/>
              <w:spacing w:after="0"/>
              <w:rPr>
                <w:sz w:val="20"/>
                <w:szCs w:val="20"/>
                <w:color w:val="auto"/>
              </w:rPr>
            </w:pPr>
            <w:r>
              <w:rPr>
                <w:rFonts w:ascii="Arial" w:cs="Arial" w:eastAsia="Arial" w:hAnsi="Arial"/>
                <w:sz w:val="16"/>
                <w:szCs w:val="16"/>
                <w:b w:val="1"/>
                <w:bCs w:val="1"/>
                <w:color w:val="auto"/>
                <w:w w:val="74"/>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(63,174</w:t>
            </w:r>
          </w:p>
        </w:tc>
        <w:tc>
          <w:tcPr>
            <w:tcW w:w="1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9"/>
              </w:rPr>
              <w:t>)</w:t>
            </w:r>
          </w:p>
        </w:tc>
      </w:tr>
      <w:tr>
        <w:trPr>
          <w:trHeight w:val="196"/>
        </w:trPr>
        <w:tc>
          <w:tcPr>
            <w:tcW w:w="4660" w:type="dxa"/>
            <w:vAlign w:val="bottom"/>
          </w:tcPr>
          <w:p>
            <w:pPr>
              <w:spacing w:after="0" w:line="196" w:lineRule="exact"/>
              <w:rPr>
                <w:sz w:val="20"/>
                <w:szCs w:val="20"/>
                <w:color w:val="auto"/>
              </w:rPr>
            </w:pPr>
            <w:r>
              <w:rPr>
                <w:rFonts w:ascii="Arial" w:cs="Arial" w:eastAsia="Arial" w:hAnsi="Arial"/>
                <w:sz w:val="18"/>
                <w:szCs w:val="18"/>
                <w:color w:val="auto"/>
              </w:rPr>
              <w:t>Finance income</w:t>
            </w:r>
          </w:p>
        </w:tc>
        <w:tc>
          <w:tcPr>
            <w:tcW w:w="18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1,968</w:t>
            </w:r>
          </w:p>
        </w:tc>
        <w:tc>
          <w:tcPr>
            <w:tcW w:w="24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833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3,133</w:t>
            </w:r>
          </w:p>
        </w:tc>
        <w:tc>
          <w:tcPr>
            <w:tcW w:w="40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5,103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18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(275)</w:t>
            </w: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(1,460)</w:t>
            </w:r>
          </w:p>
        </w:tc>
        <w:tc>
          <w:tcPr>
            <w:tcW w:w="1060" w:type="dxa"/>
            <w:vAlign w:val="bottom"/>
            <w:gridSpan w:val="3"/>
            <w:shd w:val="clear" w:color="auto" w:fill="CCEEFF"/>
          </w:tcPr>
          <w:p>
            <w:pPr>
              <w:jc w:val="right"/>
              <w:ind w:right="261"/>
              <w:spacing w:after="0"/>
              <w:rPr>
                <w:sz w:val="20"/>
                <w:szCs w:val="20"/>
                <w:color w:val="auto"/>
              </w:rPr>
            </w:pPr>
            <w:r>
              <w:rPr>
                <w:rFonts w:ascii="Arial" w:cs="Arial" w:eastAsia="Arial" w:hAnsi="Arial"/>
                <w:sz w:val="18"/>
                <w:szCs w:val="18"/>
                <w:color w:val="auto"/>
              </w:rPr>
              <w:t>(2,924)</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2"/>
              </w:rPr>
              <w:t>(14,519)</w:t>
            </w:r>
          </w:p>
        </w:tc>
      </w:tr>
      <w:tr>
        <w:trPr>
          <w:trHeight w:val="210"/>
        </w:trPr>
        <w:tc>
          <w:tcPr>
            <w:tcW w:w="466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Loss before income tax</w:t>
            </w:r>
          </w:p>
        </w:tc>
        <w:tc>
          <w:tcPr>
            <w:tcW w:w="180" w:type="dxa"/>
            <w:vAlign w:val="bottom"/>
            <w:tcBorders>
              <w:top w:val="single" w:sz="8" w:color="CCEEFF"/>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(71,131</w:t>
            </w:r>
          </w:p>
        </w:tc>
        <w:tc>
          <w:tcPr>
            <w:tcW w:w="240" w:type="dxa"/>
            <w:vAlign w:val="bottom"/>
            <w:tcBorders>
              <w:top w:val="single" w:sz="8" w:color="CCEEFF"/>
              <w:bottom w:val="single" w:sz="8" w:color="CCEEFF"/>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(100,125</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(64,218</w:t>
            </w:r>
          </w:p>
        </w:tc>
        <w:tc>
          <w:tcPr>
            <w:tcW w:w="400" w:type="dxa"/>
            <w:vAlign w:val="bottom"/>
            <w:tcBorders>
              <w:top w:val="single" w:sz="8" w:color="CCEEFF"/>
              <w:bottom w:val="single" w:sz="8" w:color="CCEEFF"/>
            </w:tcBorders>
          </w:tcPr>
          <w:p>
            <w:pPr>
              <w:jc w:val="right"/>
              <w:ind w:right="261"/>
              <w:spacing w:after="0"/>
              <w:rPr>
                <w:sz w:val="20"/>
                <w:szCs w:val="20"/>
                <w:color w:val="auto"/>
              </w:rPr>
            </w:pPr>
            <w:r>
              <w:rPr>
                <w:rFonts w:ascii="Arial" w:cs="Arial" w:eastAsia="Arial" w:hAnsi="Arial"/>
                <w:sz w:val="16"/>
                <w:szCs w:val="16"/>
                <w:b w:val="1"/>
                <w:bCs w:val="1"/>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(72,590</w:t>
            </w:r>
          </w:p>
        </w:tc>
        <w:tc>
          <w:tcPr>
            <w:tcW w:w="100" w:type="dxa"/>
            <w:vAlign w:val="bottom"/>
            <w:tcBorders>
              <w:top w:val="single" w:sz="8" w:color="CCEEFF"/>
              <w:bottom w:val="single" w:sz="8" w:color="CCEEFF"/>
            </w:tcBorders>
            <w:gridSpan w:val="2"/>
          </w:tcPr>
          <w:p>
            <w:pPr>
              <w:jc w:val="right"/>
              <w:ind w:right="20"/>
              <w:spacing w:after="0"/>
              <w:rPr>
                <w:sz w:val="20"/>
                <w:szCs w:val="20"/>
                <w:color w:val="auto"/>
              </w:rPr>
            </w:pPr>
            <w:r>
              <w:rPr>
                <w:rFonts w:ascii="Arial" w:cs="Arial" w:eastAsia="Arial" w:hAnsi="Arial"/>
                <w:sz w:val="18"/>
                <w:szCs w:val="18"/>
                <w:b w:val="1"/>
                <w:bCs w:val="1"/>
                <w:color w:val="auto"/>
                <w:w w:val="99"/>
              </w:rPr>
              <w:t>)</w:t>
            </w:r>
          </w:p>
        </w:tc>
      </w:tr>
      <w:tr>
        <w:trPr>
          <w:trHeight w:val="209"/>
        </w:trPr>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4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1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(71,241</w:t>
            </w:r>
          </w:p>
        </w:tc>
        <w:tc>
          <w:tcPr>
            <w:tcW w:w="24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(99,873)</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(63,883</w:t>
            </w:r>
          </w:p>
        </w:tc>
        <w:tc>
          <w:tcPr>
            <w:tcW w:w="400" w:type="dxa"/>
            <w:vAlign w:val="bottom"/>
            <w:tcBorders>
              <w:bottom w:val="single" w:sz="8" w:color="CCEEFF"/>
            </w:tcBorders>
          </w:tcPr>
          <w:p>
            <w:pPr>
              <w:jc w:val="right"/>
              <w:ind w:right="261"/>
              <w:spacing w:after="0"/>
              <w:rPr>
                <w:sz w:val="20"/>
                <w:szCs w:val="20"/>
                <w:color w:val="auto"/>
              </w:rPr>
            </w:pPr>
            <w:r>
              <w:rPr>
                <w:rFonts w:ascii="Arial" w:cs="Arial" w:eastAsia="Arial" w:hAnsi="Arial"/>
                <w:sz w:val="16"/>
                <w:szCs w:val="16"/>
                <w:b w:val="1"/>
                <w:bCs w:val="1"/>
                <w:color w:val="auto"/>
                <w:w w:val="74"/>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(70,975</w:t>
            </w:r>
          </w:p>
        </w:tc>
        <w:tc>
          <w:tcPr>
            <w:tcW w:w="10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b w:val="1"/>
                <w:bCs w:val="1"/>
                <w:color w:val="auto"/>
                <w:w w:val="99"/>
              </w:rPr>
              <w:t>)</w:t>
            </w:r>
          </w:p>
        </w:tc>
      </w:tr>
      <w:tr>
        <w:trPr>
          <w:trHeight w:val="196"/>
        </w:trPr>
        <w:tc>
          <w:tcPr>
            <w:tcW w:w="4840" w:type="dxa"/>
            <w:vAlign w:val="bottom"/>
            <w:tcBorders>
              <w:right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comprehensive income/loss:</w:t>
            </w: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840" w:type="dxa"/>
            <w:vAlign w:val="bottom"/>
            <w:gridSpan w:val="2"/>
          </w:tcPr>
          <w:p>
            <w:pPr>
              <w:ind w:left="180"/>
              <w:spacing w:after="0"/>
              <w:rPr>
                <w:sz w:val="20"/>
                <w:szCs w:val="20"/>
                <w:color w:val="auto"/>
              </w:rPr>
            </w:pPr>
            <w:r>
              <w:rPr>
                <w:rFonts w:ascii="Arial" w:cs="Arial" w:eastAsia="Arial" w:hAnsi="Arial"/>
                <w:sz w:val="18"/>
                <w:szCs w:val="18"/>
                <w:i w:val="1"/>
                <w:iCs w:val="1"/>
                <w:color w:val="auto"/>
                <w:w w:val="97"/>
              </w:rPr>
              <w:t>Items that may be subsequently reclassified to profit or loss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adjustments</w:t>
            </w:r>
          </w:p>
        </w:tc>
        <w:tc>
          <w:tcPr>
            <w:tcW w:w="180" w:type="dxa"/>
            <w:vAlign w:val="bottom"/>
            <w:tcBorders>
              <w:right w:val="single" w:sz="8" w:color="CCEEFF"/>
            </w:tcBorders>
            <w:shd w:val="clear" w:color="auto" w:fill="CCEEFF"/>
          </w:tcPr>
          <w:p>
            <w:pPr>
              <w:spacing w:after="0"/>
              <w:rPr>
                <w:sz w:val="19"/>
                <w:szCs w:val="19"/>
                <w:color w:val="auto"/>
              </w:rPr>
            </w:pPr>
          </w:p>
        </w:tc>
        <w:tc>
          <w:tcPr>
            <w:tcW w:w="8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66</w:t>
            </w: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32</w:t>
            </w:r>
          </w:p>
        </w:tc>
        <w:tc>
          <w:tcPr>
            <w:tcW w:w="1060" w:type="dxa"/>
            <w:vAlign w:val="bottom"/>
            <w:gridSpan w:val="3"/>
            <w:shd w:val="clear" w:color="auto" w:fill="CCEEFF"/>
          </w:tcPr>
          <w:p>
            <w:pPr>
              <w:jc w:val="right"/>
              <w:ind w:right="261"/>
              <w:spacing w:after="0"/>
              <w:rPr>
                <w:sz w:val="20"/>
                <w:szCs w:val="20"/>
                <w:color w:val="auto"/>
              </w:rPr>
            </w:pPr>
            <w:r>
              <w:rPr>
                <w:rFonts w:ascii="Arial" w:cs="Arial" w:eastAsia="Arial" w:hAnsi="Arial"/>
                <w:sz w:val="18"/>
                <w:szCs w:val="18"/>
                <w:color w:val="auto"/>
              </w:rPr>
              <w:t>(20)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9"/>
                <w:szCs w:val="19"/>
                <w:color w:val="auto"/>
              </w:rPr>
            </w:pPr>
          </w:p>
        </w:tc>
      </w:tr>
      <w:tr>
        <w:trPr>
          <w:trHeight w:val="20"/>
        </w:trPr>
        <w:tc>
          <w:tcPr>
            <w:tcW w:w="46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r>
      <w:tr>
        <w:trPr>
          <w:trHeight w:val="236"/>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loss</w:t>
            </w:r>
          </w:p>
        </w:tc>
        <w:tc>
          <w:tcPr>
            <w:tcW w:w="8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2"/>
              </w:rPr>
              <w:t>(71,175)</w:t>
            </w:r>
          </w:p>
        </w:tc>
        <w:tc>
          <w:tcPr>
            <w:tcW w:w="84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(99,841)</w:t>
            </w:r>
          </w:p>
        </w:tc>
        <w:tc>
          <w:tcPr>
            <w:tcW w:w="1060" w:type="dxa"/>
            <w:vAlign w:val="bottom"/>
            <w:gridSpan w:val="3"/>
          </w:tcPr>
          <w:p>
            <w:pPr>
              <w:jc w:val="right"/>
              <w:ind w:right="261"/>
              <w:spacing w:after="0"/>
              <w:rPr>
                <w:sz w:val="20"/>
                <w:szCs w:val="20"/>
                <w:color w:val="auto"/>
              </w:rPr>
            </w:pPr>
            <w:r>
              <w:rPr>
                <w:rFonts w:ascii="Arial" w:cs="Arial" w:eastAsia="Arial" w:hAnsi="Arial"/>
                <w:sz w:val="18"/>
                <w:szCs w:val="18"/>
                <w:b w:val="1"/>
                <w:bCs w:val="1"/>
                <w:color w:val="auto"/>
              </w:rPr>
              <w:t>(63,903)</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92"/>
              </w:rPr>
              <w:t>(70,899)</w:t>
            </w:r>
          </w:p>
        </w:tc>
      </w:tr>
      <w:tr>
        <w:trPr>
          <w:trHeight w:val="20"/>
        </w:trPr>
        <w:tc>
          <w:tcPr>
            <w:tcW w:w="4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329565</wp:posOffset>
            </wp:positionV>
            <wp:extent cx="5516245" cy="79590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128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1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As of September 30, 2020</w:t>
            </w:r>
          </w:p>
        </w:tc>
      </w:tr>
      <w:tr>
        <w:trPr>
          <w:trHeight w:val="26"/>
        </w:trPr>
        <w:tc>
          <w:tcPr>
            <w:tcW w:w="63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320" w:type="dxa"/>
            <w:vAlign w:val="bottom"/>
          </w:tcPr>
          <w:p>
            <w:pPr>
              <w:spacing w:after="0"/>
              <w:rPr>
                <w:sz w:val="20"/>
                <w:szCs w:val="20"/>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Actual</w:t>
            </w:r>
          </w:p>
        </w:tc>
        <w:tc>
          <w:tcPr>
            <w:tcW w:w="10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14"/>
                <w:szCs w:val="14"/>
                <w:b w:val="1"/>
                <w:bCs w:val="1"/>
                <w:color w:val="auto"/>
                <w:w w:val="95"/>
              </w:rPr>
              <w:t>Pro Forma</w:t>
            </w:r>
            <w:r>
              <w:rPr>
                <w:rFonts w:ascii="Arial" w:cs="Arial" w:eastAsia="Arial" w:hAnsi="Arial"/>
                <w:sz w:val="21"/>
                <w:szCs w:val="21"/>
                <w:b w:val="1"/>
                <w:bCs w:val="1"/>
                <w:color w:val="auto"/>
                <w:w w:val="95"/>
                <w:vertAlign w:val="superscript"/>
              </w:rPr>
              <w:t>(1)(2)</w:t>
            </w:r>
          </w:p>
        </w:tc>
      </w:tr>
      <w:tr>
        <w:trPr>
          <w:trHeight w:val="173"/>
        </w:trPr>
        <w:tc>
          <w:tcPr>
            <w:tcW w:w="6320" w:type="dxa"/>
            <w:vAlign w:val="bottom"/>
          </w:tcPr>
          <w:p>
            <w:pPr>
              <w:spacing w:after="0"/>
              <w:rPr>
                <w:sz w:val="15"/>
                <w:szCs w:val="15"/>
                <w:color w:val="auto"/>
              </w:rPr>
            </w:pPr>
          </w:p>
        </w:tc>
        <w:tc>
          <w:tcPr>
            <w:tcW w:w="1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(in thousands of euros)</w:t>
            </w:r>
          </w:p>
        </w:tc>
      </w:tr>
      <w:tr>
        <w:trPr>
          <w:trHeight w:val="186"/>
        </w:trPr>
        <w:tc>
          <w:tcPr>
            <w:tcW w:w="6320" w:type="dxa"/>
            <w:vAlign w:val="bottom"/>
          </w:tcPr>
          <w:p>
            <w:pPr>
              <w:spacing w:after="0"/>
              <w:rPr>
                <w:sz w:val="16"/>
                <w:szCs w:val="16"/>
                <w:color w:val="auto"/>
              </w:rPr>
            </w:pPr>
          </w:p>
        </w:tc>
        <w:tc>
          <w:tcPr>
            <w:tcW w:w="1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(unaudited)</w:t>
            </w:r>
          </w:p>
        </w:tc>
      </w:tr>
      <w:tr>
        <w:trPr>
          <w:trHeight w:val="26"/>
        </w:trPr>
        <w:tc>
          <w:tcPr>
            <w:tcW w:w="6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7"/>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Financial Position Data:</w:t>
            </w:r>
          </w:p>
        </w:tc>
        <w:tc>
          <w:tcPr>
            <w:tcW w:w="8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56"/>
        </w:trPr>
        <w:tc>
          <w:tcPr>
            <w:tcW w:w="63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60" w:type="dxa"/>
            <w:vAlign w:val="bottom"/>
          </w:tcPr>
          <w:p>
            <w:pPr>
              <w:jc w:val="right"/>
              <w:ind w:right="19"/>
              <w:spacing w:after="0"/>
              <w:rPr>
                <w:sz w:val="20"/>
                <w:szCs w:val="20"/>
                <w:color w:val="auto"/>
              </w:rPr>
            </w:pPr>
            <w:r>
              <w:rPr>
                <w:rFonts w:ascii="Arial" w:cs="Arial" w:eastAsia="Arial" w:hAnsi="Arial"/>
                <w:sz w:val="18"/>
                <w:szCs w:val="18"/>
                <w:color w:val="auto"/>
              </w:rPr>
              <w:t>892,399</w:t>
            </w:r>
          </w:p>
        </w:tc>
        <w:tc>
          <w:tcPr>
            <w:tcW w:w="1020" w:type="dxa"/>
            <w:vAlign w:val="bottom"/>
          </w:tcPr>
          <w:p>
            <w:pPr>
              <w:jc w:val="right"/>
              <w:spacing w:after="0"/>
              <w:rPr>
                <w:sz w:val="20"/>
                <w:szCs w:val="20"/>
                <w:color w:val="auto"/>
              </w:rPr>
            </w:pPr>
            <w:r>
              <w:rPr>
                <w:rFonts w:ascii="Arial" w:cs="Arial" w:eastAsia="Arial" w:hAnsi="Arial"/>
                <w:sz w:val="18"/>
                <w:szCs w:val="18"/>
                <w:color w:val="auto"/>
              </w:rPr>
              <w:t>1,288,680</w:t>
            </w:r>
          </w:p>
        </w:tc>
      </w:tr>
      <w:tr>
        <w:trPr>
          <w:trHeight w:val="257"/>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92"/>
              </w:rPr>
              <w:t>1,021,907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1,418,188</w:t>
            </w:r>
          </w:p>
        </w:tc>
      </w:tr>
      <w:tr>
        <w:trPr>
          <w:trHeight w:val="270"/>
        </w:trPr>
        <w:tc>
          <w:tcPr>
            <w:tcW w:w="6320" w:type="dxa"/>
            <w:vAlign w:val="bottom"/>
          </w:tcPr>
          <w:p>
            <w:pPr>
              <w:spacing w:after="0"/>
              <w:rPr>
                <w:sz w:val="20"/>
                <w:szCs w:val="20"/>
                <w:color w:val="auto"/>
              </w:rPr>
            </w:pPr>
            <w:r>
              <w:rPr>
                <w:rFonts w:ascii="Arial" w:cs="Arial" w:eastAsia="Arial" w:hAnsi="Arial"/>
                <w:sz w:val="18"/>
                <w:szCs w:val="18"/>
                <w:color w:val="auto"/>
              </w:rPr>
              <w:t>Total liabilities</w:t>
            </w:r>
          </w:p>
        </w:tc>
        <w:tc>
          <w:tcPr>
            <w:tcW w:w="860" w:type="dxa"/>
            <w:vAlign w:val="bottom"/>
          </w:tcPr>
          <w:p>
            <w:pPr>
              <w:jc w:val="right"/>
              <w:ind w:right="19"/>
              <w:spacing w:after="0"/>
              <w:rPr>
                <w:sz w:val="20"/>
                <w:szCs w:val="20"/>
                <w:color w:val="auto"/>
              </w:rPr>
            </w:pPr>
            <w:r>
              <w:rPr>
                <w:rFonts w:ascii="Arial" w:cs="Arial" w:eastAsia="Arial" w:hAnsi="Arial"/>
                <w:sz w:val="18"/>
                <w:szCs w:val="18"/>
                <w:color w:val="auto"/>
              </w:rPr>
              <w:t>260,557</w:t>
            </w:r>
          </w:p>
        </w:tc>
        <w:tc>
          <w:tcPr>
            <w:tcW w:w="1020" w:type="dxa"/>
            <w:vAlign w:val="bottom"/>
          </w:tcPr>
          <w:p>
            <w:pPr>
              <w:jc w:val="right"/>
              <w:spacing w:after="0"/>
              <w:rPr>
                <w:sz w:val="20"/>
                <w:szCs w:val="20"/>
                <w:color w:val="auto"/>
              </w:rPr>
            </w:pPr>
            <w:r>
              <w:rPr>
                <w:rFonts w:ascii="Arial" w:cs="Arial" w:eastAsia="Arial" w:hAnsi="Arial"/>
                <w:sz w:val="18"/>
                <w:szCs w:val="18"/>
                <w:color w:val="auto"/>
              </w:rPr>
              <w:t>260,557</w:t>
            </w:r>
          </w:p>
        </w:tc>
      </w:tr>
      <w:tr>
        <w:trPr>
          <w:trHeight w:val="27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761,350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1,157,631</w:t>
            </w:r>
          </w:p>
        </w:tc>
      </w:tr>
    </w:tbl>
    <w:p>
      <w:pPr>
        <w:spacing w:after="0" w:line="364" w:lineRule="exact"/>
        <w:rPr>
          <w:sz w:val="20"/>
          <w:szCs w:val="20"/>
          <w:color w:val="auto"/>
        </w:rPr>
      </w:pPr>
    </w:p>
    <w:p>
      <w:pPr>
        <w:ind w:left="1920" w:right="439" w:hanging="642"/>
        <w:spacing w:after="0" w:line="254" w:lineRule="auto"/>
        <w:tabs>
          <w:tab w:leader="none" w:pos="1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 forma to give effect to the issuance and sale of common shares in this offering at the assumed public offering price of $102.69 per common share, which was the last reported sale price of our common shares on the Nasdaq Global Market, after deducting the estimated underwriting discounts and commissions and estimated offering expenses payable by us, assuming no exercise of the underwriters’ option to purchase 750,000 additional common shares. The as adjusted information presented above is illustrative only and will vary based on the actual public offering price, the actual number of common shares offered by us and the other terms of the offering determined at pricing.</w:t>
      </w:r>
    </w:p>
    <w:p>
      <w:pPr>
        <w:spacing w:after="0" w:line="56" w:lineRule="exact"/>
        <w:rPr>
          <w:rFonts w:ascii="Arial" w:cs="Arial" w:eastAsia="Arial" w:hAnsi="Arial"/>
          <w:sz w:val="18"/>
          <w:szCs w:val="18"/>
          <w:color w:val="auto"/>
        </w:rPr>
      </w:pPr>
    </w:p>
    <w:p>
      <w:pPr>
        <w:ind w:left="1920" w:right="419" w:hanging="642"/>
        <w:spacing w:after="0" w:line="269" w:lineRule="auto"/>
        <w:tabs>
          <w:tab w:leader="none" w:pos="1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Each $1.00 increase (decrease) in the assumed public offering price of $102.69 per common share, which was the last reported sale price of our common shares on the Nasdaq Global Market, would increase (decrease) each of cash and cash equivalents, total assets and total equity by $4.7 million, assuming the number of common shares offered by us, as set forth on the cover page of this prospectus, remains the same, and after deducting underwriting discounts and commissions and estimated offering expenses payable by us. We may also increase or decrease the number of common shares we are offering. Each increase (decrease) of 1.0 million in the number of common shares offered by us would increase (decrease) each of cash and cash equivalents, total assets, share capital and total equity by approximately $97.4 million, assuming no change in the assumed initial public offering price and after deducting underwriting discounts and commissions and estimated offering expenses payable by us.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ind w:left="1260" w:right="419" w:firstLine="648"/>
        <w:spacing w:after="0" w:line="262" w:lineRule="auto"/>
        <w:rPr>
          <w:sz w:val="20"/>
          <w:szCs w:val="20"/>
          <w:color w:val="auto"/>
        </w:rPr>
      </w:pPr>
      <w:r>
        <w:rPr>
          <w:rFonts w:ascii="Arial" w:cs="Arial" w:eastAsia="Arial" w:hAnsi="Arial"/>
          <w:sz w:val="17"/>
          <w:szCs w:val="17"/>
          <w:i w:val="1"/>
          <w:iCs w:val="1"/>
          <w:color w:val="auto"/>
        </w:rPr>
        <w:t>You should carefully consider the risks and uncertainties described below and the other information in this prospectus before making an investment in our common shares. Our business, financial condition or results of operations could be materially and adversely affected if any of these risks occurs, and as a result, the market price of our common shares could decline and you could lose all or part of your investment.</w:t>
      </w:r>
    </w:p>
    <w:p>
      <w:pPr>
        <w:spacing w:after="0" w:line="105" w:lineRule="exact"/>
        <w:rPr>
          <w:sz w:val="20"/>
          <w:szCs w:val="20"/>
          <w:color w:val="auto"/>
        </w:rPr>
      </w:pPr>
    </w:p>
    <w:p>
      <w:pPr>
        <w:ind w:left="1260" w:right="479" w:firstLine="648"/>
        <w:spacing w:after="0" w:line="243" w:lineRule="auto"/>
        <w:rPr>
          <w:sz w:val="20"/>
          <w:szCs w:val="20"/>
          <w:color w:val="auto"/>
        </w:rPr>
      </w:pPr>
      <w:r>
        <w:rPr>
          <w:rFonts w:ascii="Arial" w:cs="Arial" w:eastAsia="Arial" w:hAnsi="Arial"/>
          <w:sz w:val="18"/>
          <w:szCs w:val="18"/>
          <w:i w:val="1"/>
          <w:iCs w:val="1"/>
          <w:color w:val="auto"/>
        </w:rPr>
        <w:t>This prospectus also contains forward-looking statements that involve risks and uncertainties. See “Cautionary Statement Regarding Forward-Looking Statements.” Our actual results could differ materially and adversely from those anticipated in these forward-looking statements as a result of certain factors, including the risks facing our company.</w:t>
      </w:r>
    </w:p>
    <w:p>
      <w:pPr>
        <w:spacing w:after="0" w:line="18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Summary of Risk Factors</w:t>
      </w:r>
    </w:p>
    <w:p>
      <w:pPr>
        <w:spacing w:after="0" w:line="148" w:lineRule="exact"/>
        <w:rPr>
          <w:sz w:val="20"/>
          <w:szCs w:val="20"/>
          <w:color w:val="auto"/>
        </w:rPr>
      </w:pPr>
    </w:p>
    <w:p>
      <w:pPr>
        <w:ind w:left="1260" w:right="499" w:firstLine="648"/>
        <w:spacing w:after="0" w:line="308" w:lineRule="auto"/>
        <w:rPr>
          <w:sz w:val="20"/>
          <w:szCs w:val="20"/>
          <w:color w:val="auto"/>
        </w:rPr>
      </w:pPr>
      <w:r>
        <w:rPr>
          <w:rFonts w:ascii="Arial" w:cs="Arial" w:eastAsia="Arial" w:hAnsi="Arial"/>
          <w:sz w:val="17"/>
          <w:szCs w:val="17"/>
          <w:color w:val="auto"/>
        </w:rPr>
        <w:t>The following is a summary of the risk factors our business faces. The list below is not exhaustive, and investors should read this “Risk Factors” section in full. Some of the risks we face include:</w:t>
      </w:r>
    </w:p>
    <w:p>
      <w:pPr>
        <w:spacing w:after="0" w:line="38" w:lineRule="exact"/>
        <w:rPr>
          <w:sz w:val="20"/>
          <w:szCs w:val="20"/>
          <w:color w:val="auto"/>
        </w:rPr>
      </w:pPr>
    </w:p>
    <w:p>
      <w:pPr>
        <w:ind w:left="2260" w:right="539" w:hanging="352"/>
        <w:spacing w:after="0" w:line="286" w:lineRule="auto"/>
        <w:tabs>
          <w:tab w:leader="none" w:pos="2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Interim, “top-line,” and preliminary data from our clinical trials that we announce or publish from time to time may change as more patient data becomes available and are subject to audit and verification procedures that could result in material changes in the final data.</w:t>
      </w:r>
    </w:p>
    <w:p>
      <w:pPr>
        <w:spacing w:after="0" w:line="57" w:lineRule="exact"/>
        <w:rPr>
          <w:rFonts w:ascii="Arial" w:cs="Arial" w:eastAsia="Arial" w:hAnsi="Arial"/>
          <w:sz w:val="17"/>
          <w:szCs w:val="17"/>
          <w:color w:val="auto"/>
        </w:rPr>
      </w:pPr>
    </w:p>
    <w:p>
      <w:pPr>
        <w:ind w:left="2260" w:right="559" w:hanging="352"/>
        <w:spacing w:after="0" w:line="308" w:lineRule="auto"/>
        <w:tabs>
          <w:tab w:leader="none" w:pos="2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face continued business disruption and related risks resulting from of the COVID-19 pandemic, which could have a material adverse effect on our business plan or clinical trials.</w:t>
      </w:r>
    </w:p>
    <w:p>
      <w:pPr>
        <w:spacing w:after="0" w:line="38" w:lineRule="exact"/>
        <w:rPr>
          <w:rFonts w:ascii="Arial" w:cs="Arial" w:eastAsia="Arial" w:hAnsi="Arial"/>
          <w:sz w:val="17"/>
          <w:szCs w:val="17"/>
          <w:color w:val="auto"/>
        </w:rPr>
      </w:pPr>
    </w:p>
    <w:p>
      <w:pPr>
        <w:ind w:left="2260" w:right="439" w:hanging="352"/>
        <w:spacing w:after="0" w:line="255" w:lineRule="auto"/>
        <w:tabs>
          <w:tab w:leader="none" w:pos="2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depend on strategic partnerships with other companies to assist in the research, development and commercialization of our platform and product candidates. If our existing or future partners do not perform as expected, if we fail to maintain any of these collaborations or if these collaborations are not successful, our ability to commercialize our product candidates successfully and to generate revenues through technology licensing or otherwise may be materially adversely affected.</w:t>
      </w:r>
    </w:p>
    <w:p>
      <w:pPr>
        <w:spacing w:after="0" w:line="84" w:lineRule="exact"/>
        <w:rPr>
          <w:rFonts w:ascii="Arial" w:cs="Arial" w:eastAsia="Arial" w:hAnsi="Arial"/>
          <w:sz w:val="18"/>
          <w:szCs w:val="18"/>
          <w:color w:val="auto"/>
        </w:rPr>
      </w:pPr>
    </w:p>
    <w:p>
      <w:pPr>
        <w:ind w:left="2260" w:right="459" w:hanging="352"/>
        <w:spacing w:after="0" w:line="275" w:lineRule="auto"/>
        <w:tabs>
          <w:tab w:leader="none" w:pos="2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Clinical drug development involves a lengthy and expensive process with uncertain timelines and uncertain outcomes, and results of earlier studies and trials may not be predictive of future trial results. If clinical trials of our product candidates or production of our product candidates are prolonged or delayed, we may be unable to obtain required regulatory approvals, and therefore be unable to commercialize our product candidates on a timely basis or at all.</w:t>
      </w:r>
    </w:p>
    <w:p>
      <w:pPr>
        <w:spacing w:after="0" w:line="68" w:lineRule="exact"/>
        <w:rPr>
          <w:rFonts w:ascii="Arial" w:cs="Arial" w:eastAsia="Arial" w:hAnsi="Arial"/>
          <w:sz w:val="17"/>
          <w:szCs w:val="17"/>
          <w:color w:val="auto"/>
        </w:rPr>
      </w:pPr>
    </w:p>
    <w:p>
      <w:pPr>
        <w:ind w:left="2260" w:right="499" w:hanging="352"/>
        <w:spacing w:after="0" w:line="257" w:lineRule="auto"/>
        <w:tabs>
          <w:tab w:leader="none" w:pos="2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of our proprietary product candidates are still in preclinical or clinical development. We cannot give any assurance that any of our product candidates will receive regulatory approval, and if we are unable to obtain regulatory approval and ultimately commercialize our product candidates or experience significant delays in doing so, our business will be materially harmed.</w:t>
      </w:r>
    </w:p>
    <w:p>
      <w:pPr>
        <w:spacing w:after="0" w:line="79" w:lineRule="exact"/>
        <w:rPr>
          <w:rFonts w:ascii="Arial" w:cs="Arial" w:eastAsia="Arial" w:hAnsi="Arial"/>
          <w:sz w:val="18"/>
          <w:szCs w:val="18"/>
          <w:color w:val="auto"/>
        </w:rPr>
      </w:pPr>
    </w:p>
    <w:p>
      <w:pPr>
        <w:ind w:left="2260" w:right="559" w:hanging="352"/>
        <w:spacing w:after="0" w:line="277" w:lineRule="auto"/>
        <w:tabs>
          <w:tab w:leader="none" w:pos="2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no history of commercializing pharmaceutical products, which may make it difficult to evaluate the prospects for our future viability.</w:t>
      </w:r>
    </w:p>
    <w:p>
      <w:pPr>
        <w:spacing w:after="0" w:line="62" w:lineRule="exact"/>
        <w:rPr>
          <w:rFonts w:ascii="Arial" w:cs="Arial" w:eastAsia="Arial" w:hAnsi="Arial"/>
          <w:sz w:val="18"/>
          <w:szCs w:val="18"/>
          <w:color w:val="auto"/>
        </w:rPr>
      </w:pPr>
    </w:p>
    <w:p>
      <w:pPr>
        <w:ind w:left="2260" w:right="599" w:hanging="352"/>
        <w:spacing w:after="0" w:line="263" w:lineRule="auto"/>
        <w:tabs>
          <w:tab w:leader="none" w:pos="2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product candidates may cause undesirable side effects that could delay or prevent their regulatory approval, limit the commercial profile of an approved label or result in significant negative consequences following regulatory approval, if any.</w:t>
      </w:r>
    </w:p>
    <w:p>
      <w:pPr>
        <w:spacing w:after="0" w:line="75" w:lineRule="exact"/>
        <w:rPr>
          <w:rFonts w:ascii="Arial" w:cs="Arial" w:eastAsia="Arial" w:hAnsi="Arial"/>
          <w:sz w:val="18"/>
          <w:szCs w:val="18"/>
          <w:color w:val="auto"/>
        </w:rPr>
      </w:pPr>
    </w:p>
    <w:p>
      <w:pPr>
        <w:ind w:left="2260" w:right="479" w:hanging="352"/>
        <w:spacing w:after="0" w:line="255" w:lineRule="auto"/>
        <w:tabs>
          <w:tab w:leader="none" w:pos="2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date, a limited number of products that utilize mRNA as a prophylactic vaccine against COVID-19 have been approved in the United States and Europe, subject to certain limitations. In addition, no product that utilizes mRNA as a therapeutic vaccine has been approved in the United States or Europe. As such, mRNA drug development has substantial clinical development and regulatory risks due to the novel and unprecedented nature of this new category of medicines.</w:t>
      </w:r>
    </w:p>
    <w:p>
      <w:pPr>
        <w:spacing w:after="0" w:line="84" w:lineRule="exact"/>
        <w:rPr>
          <w:rFonts w:ascii="Arial" w:cs="Arial" w:eastAsia="Arial" w:hAnsi="Arial"/>
          <w:sz w:val="18"/>
          <w:szCs w:val="18"/>
          <w:color w:val="auto"/>
        </w:rPr>
      </w:pPr>
    </w:p>
    <w:p>
      <w:pPr>
        <w:ind w:left="2260" w:right="499" w:hanging="352"/>
        <w:spacing w:after="0" w:line="257" w:lineRule="auto"/>
        <w:tabs>
          <w:tab w:leader="none" w:pos="2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regulatory approval processes of the FDA and comparable foreign authorities are lengthy, time consuming and inherently unpredictable and if we fail to obtain regulatory approval in any jurisdiction, we will not be able to commercialize our products in that jurisdiction and our business, results of operations, financial condition and prospects, may be materially adversely affected.</w:t>
      </w:r>
    </w:p>
    <w:p>
      <w:pPr>
        <w:sectPr>
          <w:pgSz w:w="11900" w:h="16838" w:orient="portrait"/>
          <w:cols w:equalWidth="0" w:num="1">
            <w:col w:w="9879"/>
          </w:cols>
          <w:pgMar w:left="580" w:top="131"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2260" w:right="779" w:hanging="352"/>
        <w:spacing w:after="0" w:line="263" w:lineRule="auto"/>
        <w:tabs>
          <w:tab w:leader="none" w:pos="2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breakthrough therapy designation by the FDA for a product candidate may not lead to a faster development or regulatory review or approval process, and it would not increase the likelihood that the product candidate will receive marketing approval.</w:t>
      </w:r>
    </w:p>
    <w:p>
      <w:pPr>
        <w:spacing w:after="0" w:line="75" w:lineRule="exact"/>
        <w:rPr>
          <w:rFonts w:ascii="Arial" w:cs="Arial" w:eastAsia="Arial" w:hAnsi="Arial"/>
          <w:sz w:val="18"/>
          <w:szCs w:val="18"/>
          <w:color w:val="auto"/>
        </w:rPr>
      </w:pPr>
    </w:p>
    <w:p>
      <w:pPr>
        <w:ind w:left="2260" w:right="679" w:hanging="352"/>
        <w:spacing w:after="0" w:line="279" w:lineRule="auto"/>
        <w:tabs>
          <w:tab w:leader="none" w:pos="2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manufacture of mRNA-based medicines is complex and manufacturers often encounter difficulties in production, especially in the field of biologics. If we or any of our third-party manufacturers encounter difficulties, our ability to provide product candidates for clinical trials or products, if approved, to patients or future customers could be delayed or halted.</w:t>
      </w:r>
    </w:p>
    <w:p>
      <w:pPr>
        <w:spacing w:after="0" w:line="76" w:lineRule="exact"/>
        <w:rPr>
          <w:rFonts w:ascii="Arial" w:cs="Arial" w:eastAsia="Arial" w:hAnsi="Arial"/>
          <w:sz w:val="17"/>
          <w:szCs w:val="17"/>
          <w:color w:val="auto"/>
        </w:rPr>
      </w:pPr>
    </w:p>
    <w:p>
      <w:pPr>
        <w:ind w:left="2260" w:right="919" w:hanging="352"/>
        <w:spacing w:after="0" w:line="277" w:lineRule="auto"/>
        <w:tabs>
          <w:tab w:leader="none" w:pos="2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Undetected errors or defects in our production could harm our reputation or expose us to product liability claims.</w:t>
      </w:r>
    </w:p>
    <w:p>
      <w:pPr>
        <w:spacing w:after="0" w:line="62" w:lineRule="exact"/>
        <w:rPr>
          <w:rFonts w:ascii="Arial" w:cs="Arial" w:eastAsia="Arial" w:hAnsi="Arial"/>
          <w:sz w:val="18"/>
          <w:szCs w:val="18"/>
          <w:color w:val="auto"/>
        </w:rPr>
      </w:pPr>
    </w:p>
    <w:p>
      <w:pPr>
        <w:ind w:left="2260" w:right="619" w:hanging="352"/>
        <w:spacing w:after="0" w:line="257" w:lineRule="auto"/>
        <w:tabs>
          <w:tab w:leader="none" w:pos="2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rely on third parties to conduct our nonclinical and clinical trials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79" w:lineRule="exact"/>
        <w:rPr>
          <w:rFonts w:ascii="Arial" w:cs="Arial" w:eastAsia="Arial" w:hAnsi="Arial"/>
          <w:sz w:val="18"/>
          <w:szCs w:val="18"/>
          <w:color w:val="auto"/>
        </w:rPr>
      </w:pPr>
    </w:p>
    <w:p>
      <w:pPr>
        <w:ind w:left="2260" w:right="519" w:hanging="352"/>
        <w:spacing w:after="0" w:line="259" w:lineRule="auto"/>
        <w:tabs>
          <w:tab w:leader="none" w:pos="2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or any third-party manufacturer of our product candidates is unable to increase the scale of production of our product candidates, and/or increase the product yield of manufacturing, then our costs to manufacture the product may increase and commercialization may be delayed.</w:t>
      </w:r>
    </w:p>
    <w:p>
      <w:pPr>
        <w:spacing w:after="0" w:line="78" w:lineRule="exact"/>
        <w:rPr>
          <w:rFonts w:ascii="Arial" w:cs="Arial" w:eastAsia="Arial" w:hAnsi="Arial"/>
          <w:sz w:val="18"/>
          <w:szCs w:val="18"/>
          <w:color w:val="auto"/>
        </w:rPr>
      </w:pPr>
    </w:p>
    <w:p>
      <w:pPr>
        <w:ind w:left="2260" w:right="459" w:hanging="352"/>
        <w:spacing w:after="0" w:line="259" w:lineRule="auto"/>
        <w:tabs>
          <w:tab w:leader="none" w:pos="2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fail to comply with our obligations under any license, collaboration or other intellectual property agreements, disagree over contract interpretation, or otherwise experience disruptions to our business relationships with our collaborators or licensors, we could lose intellectual property rights that are necessary to our business.</w:t>
      </w:r>
    </w:p>
    <w:p>
      <w:pPr>
        <w:spacing w:after="0" w:line="78" w:lineRule="exact"/>
        <w:rPr>
          <w:rFonts w:ascii="Arial" w:cs="Arial" w:eastAsia="Arial" w:hAnsi="Arial"/>
          <w:sz w:val="18"/>
          <w:szCs w:val="18"/>
          <w:color w:val="auto"/>
        </w:rPr>
      </w:pPr>
    </w:p>
    <w:p>
      <w:pPr>
        <w:ind w:left="2260" w:right="459" w:hanging="352"/>
        <w:spacing w:after="0" w:line="272" w:lineRule="auto"/>
        <w:tabs>
          <w:tab w:leader="none" w:pos="2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Even if we, or any future collaborators, are able to commercialize any product candidate that we, or they, develop, the successful commercialization of our product candidates will depend in part on the extent to which governmental authorities, private health insurers and other third-party payors provide coverage and adequate reimbursement levels and implement pricing policies favorable for our product candidates. Failure to obtain or maintain coverage and adequate reimbursement for our product candidates, if approved, could limit our ability to market those products and decrease our ability to generate revenue.</w:t>
      </w:r>
    </w:p>
    <w:p>
      <w:pPr>
        <w:spacing w:after="0" w:line="69" w:lineRule="exact"/>
        <w:rPr>
          <w:rFonts w:ascii="Arial" w:cs="Arial" w:eastAsia="Arial" w:hAnsi="Arial"/>
          <w:sz w:val="17"/>
          <w:szCs w:val="17"/>
          <w:color w:val="auto"/>
        </w:rPr>
      </w:pPr>
    </w:p>
    <w:p>
      <w:pPr>
        <w:ind w:left="2260" w:right="479" w:hanging="352"/>
        <w:spacing w:after="0" w:line="254" w:lineRule="auto"/>
        <w:tabs>
          <w:tab w:leader="none" w:pos="2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Some of our product candidates are classified as gene therapies by the FDA and the EMA, and the FDA has indicated that products similar to our product candidates will be reviewed within its Center for Biologics Evaluation and Research, or CBER. Even though our mRNA product candidates are designed to have a different mechanism of action from gene therapies, the association of our product candidates with gene therapies could result in increased regulatory burdens, impair the reputation of our product candidates, or negatively impact our platform or our business.</w:t>
      </w:r>
    </w:p>
    <w:p>
      <w:pPr>
        <w:spacing w:after="0" w:line="86" w:lineRule="exact"/>
        <w:rPr>
          <w:rFonts w:ascii="Arial" w:cs="Arial" w:eastAsia="Arial" w:hAnsi="Arial"/>
          <w:sz w:val="18"/>
          <w:szCs w:val="18"/>
          <w:color w:val="auto"/>
        </w:rPr>
      </w:pPr>
    </w:p>
    <w:p>
      <w:pPr>
        <w:ind w:left="2260" w:right="699" w:hanging="352"/>
        <w:spacing w:after="0" w:line="286" w:lineRule="auto"/>
        <w:tabs>
          <w:tab w:leader="none" w:pos="2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trading price of our common shares may be highly volatile, which could result in substantial losses for purchasers of our common shares in this offering, and a decline in our share price and invite securities litigation against our company or our management.</w:t>
      </w:r>
    </w:p>
    <w:p>
      <w:pPr>
        <w:spacing w:after="0" w:line="57" w:lineRule="exact"/>
        <w:rPr>
          <w:rFonts w:ascii="Arial" w:cs="Arial" w:eastAsia="Arial" w:hAnsi="Arial"/>
          <w:sz w:val="17"/>
          <w:szCs w:val="17"/>
          <w:color w:val="auto"/>
        </w:rPr>
      </w:pPr>
    </w:p>
    <w:p>
      <w:pPr>
        <w:ind w:left="2260" w:right="639" w:hanging="352"/>
        <w:spacing w:after="0" w:line="263" w:lineRule="auto"/>
        <w:tabs>
          <w:tab w:leader="none" w:pos="2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significant portion of our total outstanding shares are restricted from immediate resale but may be sold into the market in the near future. This could cause the market price of our common shares to drop significantly, even if our business is doing well.</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ind w:left="1260" w:right="739"/>
        <w:spacing w:after="0" w:line="301" w:lineRule="auto"/>
        <w:rPr>
          <w:sz w:val="20"/>
          <w:szCs w:val="20"/>
          <w:color w:val="auto"/>
        </w:rPr>
      </w:pPr>
      <w:r>
        <w:rPr>
          <w:rFonts w:ascii="Arial" w:cs="Arial" w:eastAsia="Arial" w:hAnsi="Arial"/>
          <w:sz w:val="16"/>
          <w:szCs w:val="16"/>
          <w:b w:val="1"/>
          <w:bCs w:val="1"/>
          <w:i w:val="1"/>
          <w:iCs w:val="1"/>
          <w:color w:val="auto"/>
        </w:rPr>
        <w:t>We cannot assure you of the adequacy of our capital resources, including the proceeds from this offering, to successfully complete the development and commercialization of our product candidates, and a failure to obtain additional capital, if needed, could force us to delay, limit, reduce or terminate one or more of our product development programs or commercialization efforts.</w:t>
      </w:r>
    </w:p>
    <w:p>
      <w:pPr>
        <w:spacing w:after="0" w:line="90" w:lineRule="exact"/>
        <w:rPr>
          <w:sz w:val="20"/>
          <w:szCs w:val="20"/>
          <w:color w:val="auto"/>
        </w:rPr>
      </w:pPr>
    </w:p>
    <w:p>
      <w:pPr>
        <w:jc w:val="both"/>
        <w:ind w:left="1260" w:right="899" w:firstLine="648"/>
        <w:spacing w:after="0" w:line="263" w:lineRule="auto"/>
        <w:rPr>
          <w:sz w:val="20"/>
          <w:szCs w:val="20"/>
          <w:color w:val="auto"/>
        </w:rPr>
      </w:pPr>
      <w:r>
        <w:rPr>
          <w:rFonts w:ascii="Arial" w:cs="Arial" w:eastAsia="Arial" w:hAnsi="Arial"/>
          <w:sz w:val="18"/>
          <w:szCs w:val="18"/>
          <w:color w:val="auto"/>
        </w:rPr>
        <w:t>As of September 30, 2020, we had cash and cash equivalents amounting to €892 million. We believe that we will continue to expend substantial resources for the foreseeable future developing our proprietary</w:t>
      </w:r>
    </w:p>
    <w:p>
      <w:pPr>
        <w:sectPr>
          <w:pgSz w:w="11900" w:h="16838" w:orient="portrait"/>
          <w:cols w:equalWidth="0" w:num="1">
            <w:col w:w="9879"/>
          </w:cols>
          <w:pgMar w:left="580" w:top="131"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39"/>
        <w:spacing w:after="0" w:line="239" w:lineRule="auto"/>
        <w:rPr>
          <w:sz w:val="20"/>
          <w:szCs w:val="20"/>
          <w:color w:val="auto"/>
        </w:rPr>
      </w:pPr>
      <w:r>
        <w:rPr>
          <w:rFonts w:ascii="Arial" w:cs="Arial" w:eastAsia="Arial" w:hAnsi="Arial"/>
          <w:sz w:val="18"/>
          <w:szCs w:val="18"/>
          <w:color w:val="auto"/>
        </w:rPr>
        <w:t>product candidates. These expenditures will include costs associated with research and development, conducting preclinical studies and clinical trials, seeking regulatory approvals, as well as launching and commercializing products approved for sale, if any, costs associated with manufacturing products and maintaining manufacturing facilities. In addition, other unanticipated costs may arise. Because the outcomes of our anticipated clinical trials are highly uncertain, we cannot reasonably estimate the actual amounts necessary to successfully complete the development and commercialization of our proprietary product candidates.</w:t>
      </w:r>
    </w:p>
    <w:p>
      <w:pPr>
        <w:spacing w:after="0" w:line="12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117" w:lineRule="exact"/>
        <w:rPr>
          <w:sz w:val="20"/>
          <w:szCs w:val="20"/>
          <w:color w:val="auto"/>
        </w:rPr>
      </w:pPr>
    </w:p>
    <w:p>
      <w:pPr>
        <w:ind w:left="2260" w:hanging="352"/>
        <w:spacing w:after="0"/>
        <w:tabs>
          <w:tab w:leader="none" w:pos="2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successfully complete this offering;</w:t>
      </w:r>
    </w:p>
    <w:p>
      <w:pPr>
        <w:spacing w:after="0" w:line="117" w:lineRule="exact"/>
        <w:rPr>
          <w:rFonts w:ascii="Arial" w:cs="Arial" w:eastAsia="Arial" w:hAnsi="Arial"/>
          <w:sz w:val="18"/>
          <w:szCs w:val="18"/>
          <w:color w:val="auto"/>
        </w:rPr>
      </w:pPr>
    </w:p>
    <w:p>
      <w:pPr>
        <w:ind w:left="2260" w:right="979" w:hanging="352"/>
        <w:spacing w:after="0" w:line="277" w:lineRule="auto"/>
        <w:tabs>
          <w:tab w:leader="none" w:pos="2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numerous risks and uncertainties associated with developing product candidates and maintaining our mRNA technology platform;</w:t>
      </w:r>
    </w:p>
    <w:p>
      <w:pPr>
        <w:spacing w:after="0" w:line="62" w:lineRule="exact"/>
        <w:rPr>
          <w:rFonts w:ascii="Arial" w:cs="Arial" w:eastAsia="Arial" w:hAnsi="Arial"/>
          <w:sz w:val="18"/>
          <w:szCs w:val="18"/>
          <w:color w:val="auto"/>
        </w:rPr>
      </w:pPr>
    </w:p>
    <w:p>
      <w:pPr>
        <w:ind w:left="2260" w:hanging="352"/>
        <w:spacing w:after="0"/>
        <w:tabs>
          <w:tab w:leader="none" w:pos="2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03" w:lineRule="exact"/>
        <w:rPr>
          <w:rFonts w:ascii="Arial" w:cs="Arial" w:eastAsia="Arial" w:hAnsi="Arial"/>
          <w:sz w:val="18"/>
          <w:szCs w:val="18"/>
          <w:color w:val="auto"/>
        </w:rPr>
      </w:pPr>
    </w:p>
    <w:p>
      <w:pPr>
        <w:ind w:left="2260" w:right="419" w:hanging="352"/>
        <w:spacing w:after="0" w:line="277" w:lineRule="auto"/>
        <w:tabs>
          <w:tab w:leader="none" w:pos="2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rate of enrollment, progress, cost and outcomes of our clinical trials, which may or may not meet their primary end-points;</w:t>
      </w:r>
    </w:p>
    <w:p>
      <w:pPr>
        <w:spacing w:after="0" w:line="62" w:lineRule="exact"/>
        <w:rPr>
          <w:rFonts w:ascii="Arial" w:cs="Arial" w:eastAsia="Arial" w:hAnsi="Arial"/>
          <w:sz w:val="18"/>
          <w:szCs w:val="18"/>
          <w:color w:val="auto"/>
        </w:rPr>
      </w:pPr>
    </w:p>
    <w:p>
      <w:pPr>
        <w:jc w:val="both"/>
        <w:ind w:left="2260" w:right="1119" w:hanging="352"/>
        <w:spacing w:after="0" w:line="263" w:lineRule="auto"/>
        <w:tabs>
          <w:tab w:leader="none" w:pos="2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and cost involved in, conducting non-clinical studies that are regulatory prerequisites to conducting clinical trials of sufficient duration for successful product registration;</w:t>
      </w:r>
    </w:p>
    <w:p>
      <w:pPr>
        <w:spacing w:after="0" w:line="75" w:lineRule="exact"/>
        <w:rPr>
          <w:rFonts w:ascii="Arial" w:cs="Arial" w:eastAsia="Arial" w:hAnsi="Arial"/>
          <w:sz w:val="18"/>
          <w:szCs w:val="18"/>
          <w:color w:val="auto"/>
        </w:rPr>
      </w:pPr>
    </w:p>
    <w:p>
      <w:pPr>
        <w:ind w:left="2260" w:right="639" w:hanging="352"/>
        <w:spacing w:after="0" w:line="277" w:lineRule="auto"/>
        <w:tabs>
          <w:tab w:leader="none" w:pos="2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manufacturing clinical supply and establishing commercial supply of our product candidates;</w:t>
      </w:r>
    </w:p>
    <w:p>
      <w:pPr>
        <w:spacing w:after="0" w:line="62" w:lineRule="exact"/>
        <w:rPr>
          <w:rFonts w:ascii="Arial" w:cs="Arial" w:eastAsia="Arial" w:hAnsi="Arial"/>
          <w:sz w:val="18"/>
          <w:szCs w:val="18"/>
          <w:color w:val="auto"/>
        </w:rPr>
      </w:pPr>
    </w:p>
    <w:p>
      <w:pPr>
        <w:ind w:left="2260" w:right="579" w:hanging="352"/>
        <w:spacing w:after="0" w:line="263" w:lineRule="auto"/>
        <w:tabs>
          <w:tab w:leader="none" w:pos="2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75" w:lineRule="exact"/>
        <w:rPr>
          <w:rFonts w:ascii="Arial" w:cs="Arial" w:eastAsia="Arial" w:hAnsi="Arial"/>
          <w:sz w:val="18"/>
          <w:szCs w:val="18"/>
          <w:color w:val="auto"/>
        </w:rPr>
      </w:pPr>
    </w:p>
    <w:p>
      <w:pPr>
        <w:ind w:left="2260" w:right="1059" w:hanging="352"/>
        <w:spacing w:after="0" w:line="277" w:lineRule="auto"/>
        <w:tabs>
          <w:tab w:leader="none" w:pos="2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 if clinical trials are successful;</w:t>
      </w:r>
    </w:p>
    <w:p>
      <w:pPr>
        <w:spacing w:after="0" w:line="62" w:lineRule="exact"/>
        <w:rPr>
          <w:rFonts w:ascii="Arial" w:cs="Arial" w:eastAsia="Arial" w:hAnsi="Arial"/>
          <w:sz w:val="18"/>
          <w:szCs w:val="18"/>
          <w:color w:val="auto"/>
        </w:rPr>
      </w:pPr>
    </w:p>
    <w:p>
      <w:pPr>
        <w:ind w:left="2260" w:right="519" w:hanging="352"/>
        <w:spacing w:after="0" w:line="277" w:lineRule="auto"/>
        <w:tabs>
          <w:tab w:leader="none" w:pos="2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and costs involved in, conducting post-approval studies that may be required by regulatory authorities;</w:t>
      </w:r>
    </w:p>
    <w:p>
      <w:pPr>
        <w:spacing w:after="0" w:line="62" w:lineRule="exact"/>
        <w:rPr>
          <w:rFonts w:ascii="Arial" w:cs="Arial" w:eastAsia="Arial" w:hAnsi="Arial"/>
          <w:sz w:val="18"/>
          <w:szCs w:val="18"/>
          <w:color w:val="auto"/>
        </w:rPr>
      </w:pPr>
    </w:p>
    <w:p>
      <w:pPr>
        <w:ind w:left="2260" w:right="499" w:hanging="352"/>
        <w:spacing w:after="0" w:line="259" w:lineRule="auto"/>
        <w:tabs>
          <w:tab w:leader="none" w:pos="2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commercialization activities for our product candidates, if any of our product candidates are approved for sale, including product manufacturing, marketing and distribution of product candidates generated from our mRNA technology platform and any other product opportunity for which we receive marketing approval in the future;</w:t>
      </w:r>
    </w:p>
    <w:p>
      <w:pPr>
        <w:spacing w:after="0" w:line="65" w:lineRule="exact"/>
        <w:rPr>
          <w:rFonts w:ascii="Arial" w:cs="Arial" w:eastAsia="Arial" w:hAnsi="Arial"/>
          <w:sz w:val="18"/>
          <w:szCs w:val="18"/>
          <w:color w:val="auto"/>
        </w:rPr>
      </w:pPr>
    </w:p>
    <w:p>
      <w:pPr>
        <w:ind w:left="2260" w:right="759" w:hanging="352"/>
        <w:spacing w:after="0" w:line="263" w:lineRule="auto"/>
        <w:tabs>
          <w:tab w:leader="none" w:pos="2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are currently party to or may establish, including any required milestone and royalty payments thereunder and any non-dilutive funding that we may receive;</w:t>
      </w:r>
    </w:p>
    <w:p>
      <w:pPr>
        <w:spacing w:after="0" w:line="75" w:lineRule="exact"/>
        <w:rPr>
          <w:rFonts w:ascii="Arial" w:cs="Arial" w:eastAsia="Arial" w:hAnsi="Arial"/>
          <w:sz w:val="18"/>
          <w:szCs w:val="18"/>
          <w:color w:val="auto"/>
        </w:rPr>
      </w:pPr>
    </w:p>
    <w:p>
      <w:pPr>
        <w:ind w:left="2260" w:right="859" w:hanging="352"/>
        <w:spacing w:after="0" w:line="308" w:lineRule="auto"/>
        <w:tabs>
          <w:tab w:leader="none" w:pos="2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costs involved in preparing, filing, prosecuting, maintaining, defending and enforcing patent claims, including litigation costs, if any, and the outcome of any such litigation;</w:t>
      </w:r>
    </w:p>
    <w:p>
      <w:pPr>
        <w:spacing w:after="0" w:line="38" w:lineRule="exact"/>
        <w:rPr>
          <w:rFonts w:ascii="Arial" w:cs="Arial" w:eastAsia="Arial" w:hAnsi="Arial"/>
          <w:sz w:val="17"/>
          <w:szCs w:val="17"/>
          <w:color w:val="auto"/>
        </w:rPr>
      </w:pPr>
    </w:p>
    <w:p>
      <w:pPr>
        <w:ind w:left="2260" w:right="419" w:hanging="352"/>
        <w:spacing w:after="0" w:line="277" w:lineRule="auto"/>
        <w:tabs>
          <w:tab w:leader="none" w:pos="2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or milestones on, our future products, if any;</w:t>
      </w:r>
    </w:p>
    <w:p>
      <w:pPr>
        <w:spacing w:after="0" w:line="62" w:lineRule="exact"/>
        <w:rPr>
          <w:rFonts w:ascii="Arial" w:cs="Arial" w:eastAsia="Arial" w:hAnsi="Arial"/>
          <w:sz w:val="18"/>
          <w:szCs w:val="18"/>
          <w:color w:val="auto"/>
        </w:rPr>
      </w:pPr>
    </w:p>
    <w:p>
      <w:pPr>
        <w:ind w:left="2260" w:right="519" w:hanging="352"/>
        <w:spacing w:after="0" w:line="277" w:lineRule="auto"/>
        <w:tabs>
          <w:tab w:leader="none" w:pos="2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to recruit and build the organization including key executives needed to transform to a commercial organization; and</w:t>
      </w:r>
    </w:p>
    <w:p>
      <w:pPr>
        <w:spacing w:after="0" w:line="62" w:lineRule="exact"/>
        <w:rPr>
          <w:rFonts w:ascii="Arial" w:cs="Arial" w:eastAsia="Arial" w:hAnsi="Arial"/>
          <w:sz w:val="18"/>
          <w:szCs w:val="18"/>
          <w:color w:val="auto"/>
        </w:rPr>
      </w:pPr>
    </w:p>
    <w:p>
      <w:pPr>
        <w:ind w:left="2260" w:hanging="352"/>
        <w:spacing w:after="0"/>
        <w:tabs>
          <w:tab w:leader="none" w:pos="2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operating as a public company, including hiring additional personnel.</w:t>
      </w:r>
    </w:p>
    <w:p>
      <w:pPr>
        <w:spacing w:after="0" w:line="158" w:lineRule="exact"/>
        <w:rPr>
          <w:sz w:val="20"/>
          <w:szCs w:val="20"/>
          <w:color w:val="auto"/>
        </w:rPr>
      </w:pPr>
    </w:p>
    <w:p>
      <w:pPr>
        <w:ind w:left="1260" w:right="499" w:firstLine="648"/>
        <w:spacing w:after="0" w:line="255" w:lineRule="auto"/>
        <w:rPr>
          <w:sz w:val="20"/>
          <w:szCs w:val="20"/>
          <w:color w:val="auto"/>
        </w:rPr>
      </w:pPr>
      <w:r>
        <w:rPr>
          <w:rFonts w:ascii="Arial" w:cs="Arial" w:eastAsia="Arial" w:hAnsi="Arial"/>
          <w:sz w:val="17"/>
          <w:szCs w:val="17"/>
          <w:color w:val="auto"/>
        </w:rPr>
        <w:t>In addition, our operating plan may change as a result of many factors currently unknown to us. As a result of these factors, we may need additional funds sooner than planned. We expect to finance future cash needs primarily through a combination of public or private equity offerings, strategic collaborations, revenues from future product sales and debt financing. If sufficient funds on acceptable terms are not available when needed, or at all, we could be forced to significantly reduce operating expenses and delay, limit, reduce or terminate one or more of our product development programs or commercialization efforts, which would have a negative impact on our business, prospects, operating results and financial condition.</w:t>
      </w:r>
    </w:p>
    <w:p>
      <w:pPr>
        <w:sectPr>
          <w:pgSz w:w="11900" w:h="16838" w:orient="portrait"/>
          <w:cols w:equalWidth="0" w:num="1">
            <w:col w:w="9879"/>
          </w:cols>
          <w:pgMar w:left="580" w:top="131"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19"/>
        <w:spacing w:after="0" w:line="261"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incur losses for the foreseeable future and may never achieve or maintain profitability.</w:t>
      </w:r>
    </w:p>
    <w:p>
      <w:pPr>
        <w:spacing w:after="0" w:line="103" w:lineRule="exact"/>
        <w:rPr>
          <w:sz w:val="20"/>
          <w:szCs w:val="20"/>
          <w:color w:val="auto"/>
        </w:rPr>
      </w:pPr>
    </w:p>
    <w:p>
      <w:pPr>
        <w:ind w:left="1260" w:right="439" w:firstLine="648"/>
        <w:spacing w:after="0" w:line="237" w:lineRule="auto"/>
        <w:rPr>
          <w:sz w:val="20"/>
          <w:szCs w:val="20"/>
          <w:color w:val="auto"/>
        </w:rPr>
      </w:pPr>
      <w:r>
        <w:rPr>
          <w:rFonts w:ascii="Arial" w:cs="Arial" w:eastAsia="Arial" w:hAnsi="Arial"/>
          <w:sz w:val="18"/>
          <w:szCs w:val="18"/>
          <w:color w:val="auto"/>
        </w:rPr>
        <w:t>We have incurred significant losses since our inception. Our consolidated net loss for the nine-months ended September 30, 2020 and for the year ended December 31, 2019 was € 71.0 million and €99.9 million, respectively. As of September 30, 2020, our accumulated deficit was €586.9 million. We expect to continue to incur losses in the future as we continue our research and development of, and seek regulatory approvals for, our product candidates and maintain and develop new technology platforms, prepare for and begin to commercialize any approved product candidates and add infrastructure and personnel to support our product development efforts and operations as a public company in the United States. We have devoted substantially all of our financial resources and efforts to research and development, including preclinical studies and clinical trials and development of our manufacturing technology and we anticipate that our expenses will continue to increase over the next several years as we continue these activities. The net losses and negative cash flows incurred to date, together with expected future losses, have had, and likely will continue to have, an adverse effect on our working capital. The amount of future net losses will depend, in part, on the rate of future growth of our expenses and our ability to generate revenue.</w:t>
      </w:r>
    </w:p>
    <w:p>
      <w:pPr>
        <w:spacing w:after="0" w:line="122" w:lineRule="exact"/>
        <w:rPr>
          <w:sz w:val="20"/>
          <w:szCs w:val="20"/>
          <w:color w:val="auto"/>
        </w:rPr>
      </w:pPr>
    </w:p>
    <w:p>
      <w:pPr>
        <w:ind w:left="1260" w:right="459" w:firstLine="648"/>
        <w:spacing w:after="0" w:line="239" w:lineRule="auto"/>
        <w:rPr>
          <w:sz w:val="20"/>
          <w:szCs w:val="20"/>
          <w:color w:val="auto"/>
        </w:rPr>
      </w:pPr>
      <w:r>
        <w:rPr>
          <w:rFonts w:ascii="Arial" w:cs="Arial" w:eastAsia="Arial" w:hAnsi="Arial"/>
          <w:sz w:val="18"/>
          <w:szCs w:val="18"/>
          <w:color w:val="auto"/>
        </w:rPr>
        <w:t>Because of the numerous risks and uncertainties associated with biopharmaceutical product development, we are unable to accurately predict the timing or amount of increased expenses or when, or if, we will be able to achieve profitability. For example, our expenses could increase if we are required by the U.S. Food and Drug Administration, or FDA, the European Medicines Agency, or EMA, or other regulatory agencies to perform trials in addition to those that we currently expect to perform, or if there are any delays in completing our currently planned clinical trials, the partnering process for our proprietary product candidates or in the development of any of our proprietary product candidates.</w:t>
      </w:r>
    </w:p>
    <w:p>
      <w:pPr>
        <w:spacing w:after="0" w:line="110" w:lineRule="exact"/>
        <w:rPr>
          <w:sz w:val="20"/>
          <w:szCs w:val="20"/>
          <w:color w:val="auto"/>
        </w:rPr>
      </w:pPr>
    </w:p>
    <w:p>
      <w:pPr>
        <w:ind w:left="1260" w:right="479" w:firstLine="648"/>
        <w:spacing w:after="0" w:line="268" w:lineRule="auto"/>
        <w:rPr>
          <w:sz w:val="20"/>
          <w:szCs w:val="20"/>
          <w:color w:val="auto"/>
        </w:rPr>
      </w:pPr>
      <w:r>
        <w:rPr>
          <w:rFonts w:ascii="Arial" w:cs="Arial" w:eastAsia="Arial" w:hAnsi="Arial"/>
          <w:sz w:val="17"/>
          <w:szCs w:val="17"/>
          <w:color w:val="auto"/>
        </w:rPr>
        <w:t>Our revenue to date has been primarily revenue from the license of our proprietary technology platform and from milestone payments for the development of product candidates against targets provided by our collaborators. Our ability to generate revenue and achieve profitability in the future depends in large part on our ability, alone or with our collaborators, to achieve milestones and to successfully complete the development of, obtain the necessary regulatory approvals for, and commercialize, our product candidates and technology platform. This will require us to be successful in a range of challenging activities, including developing product candidates, obtaining regulatory approval for such product candidates, and manufacturing, marketing and selling those product candidates for which we may obtain regulatory approval. We may never succeed in these activities and may never generate revenue from product sales that is significant enough to achieve profitability. Even if we achieve profitability in the future, we may not be able to sustain profitability in subsequent periods. Our failure to become or remain profitable could depress our market value and could impair our ability to raise capital, expand our business, develop other product candidates or continue our operations. A decline in the value of our company could also cause you to lose all or part of your investment.</w:t>
      </w:r>
    </w:p>
    <w:p>
      <w:pPr>
        <w:spacing w:after="0" w:line="184" w:lineRule="exact"/>
        <w:rPr>
          <w:sz w:val="20"/>
          <w:szCs w:val="20"/>
          <w:color w:val="auto"/>
        </w:rPr>
      </w:pPr>
    </w:p>
    <w:p>
      <w:pPr>
        <w:ind w:left="1260" w:right="579"/>
        <w:spacing w:after="0" w:line="259" w:lineRule="auto"/>
        <w:rPr>
          <w:sz w:val="20"/>
          <w:szCs w:val="20"/>
          <w:color w:val="auto"/>
        </w:rPr>
      </w:pPr>
      <w:r>
        <w:rPr>
          <w:rFonts w:ascii="Arial" w:cs="Arial" w:eastAsia="Arial" w:hAnsi="Arial"/>
          <w:sz w:val="18"/>
          <w:szCs w:val="18"/>
          <w:b w:val="1"/>
          <w:bCs w:val="1"/>
          <w:i w:val="1"/>
          <w:iCs w:val="1"/>
          <w:color w:val="auto"/>
        </w:rPr>
        <w:t>Even if we consummate this offering, we will require substantial additional financing, which may not be available on acceptable terms, or at all. Raising additional capital may cause dilution to our shareholders, including purchasers of common shares in this offering, restrict our operations or require us to relinquish rights to our technology or product candidates.</w:t>
      </w:r>
    </w:p>
    <w:p>
      <w:pPr>
        <w:spacing w:after="0" w:line="119" w:lineRule="exact"/>
        <w:rPr>
          <w:sz w:val="20"/>
          <w:szCs w:val="20"/>
          <w:color w:val="auto"/>
        </w:rPr>
      </w:pPr>
    </w:p>
    <w:p>
      <w:pPr>
        <w:ind w:left="1260" w:right="439" w:firstLine="648"/>
        <w:spacing w:after="0" w:line="252" w:lineRule="auto"/>
        <w:rPr>
          <w:sz w:val="20"/>
          <w:szCs w:val="20"/>
          <w:color w:val="auto"/>
        </w:rPr>
      </w:pPr>
      <w:r>
        <w:rPr>
          <w:rFonts w:ascii="Arial" w:cs="Arial" w:eastAsia="Arial" w:hAnsi="Arial"/>
          <w:sz w:val="18"/>
          <w:szCs w:val="18"/>
          <w:color w:val="auto"/>
        </w:rPr>
        <w:t>We expect our expenses to continue to increase in connection with our planned operations. To the extent that we raise additional capital through the sale of common shares, convertible securities or other equity securities, your ownership interest may be diluted, and the terms of these securities could include liquidation or other preferences and anti-dilution protections that could adversely affect your rights as a common shareholder. In addition, debt financing, if available, may result in fixed payment obligations and may involve agreements that include restrictive covenants that limit our ability to take specific actions, such as incurring additional debt, making capital expenditures, creating liens, redeeming shares or declaring dividends, that could adversely impact our ability to conduct our business. For example, in June 2020, we signed a financing arrangement with the European Investment Bank, or EIB under which EIB agreed to provide us with a line of credit in an amount of up to €75 million. Pursuant to the financing agreement we are subject to several restrictive covenants on our business activities as described in Schedule H of the financing agreement, including limitation on certain merger and acquisition transactions, disposition of certain</w:t>
      </w:r>
    </w:p>
    <w:p>
      <w:pPr>
        <w:sectPr>
          <w:pgSz w:w="11900" w:h="16838" w:orient="portrait"/>
          <w:cols w:equalWidth="0" w:num="1">
            <w:col w:w="9879"/>
          </w:cols>
          <w:pgMar w:left="580" w:top="131" w:right="1440" w:bottom="1440" w:gutter="0" w:footer="0" w:header="0"/>
        </w:sectPr>
      </w:pPr>
    </w:p>
    <w:p>
      <w:pPr>
        <w:spacing w:after="0" w:line="37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39"/>
        <w:spacing w:after="0" w:line="259" w:lineRule="auto"/>
        <w:rPr>
          <w:sz w:val="20"/>
          <w:szCs w:val="20"/>
          <w:color w:val="auto"/>
        </w:rPr>
      </w:pPr>
      <w:r>
        <w:rPr>
          <w:rFonts w:ascii="Arial" w:cs="Arial" w:eastAsia="Arial" w:hAnsi="Arial"/>
          <w:sz w:val="17"/>
          <w:szCs w:val="17"/>
          <w:color w:val="auto"/>
        </w:rPr>
        <w:t>assets and mandatory maintenance of such assets. See Management’s Discussion and Analysis of Financial Condition and Results Of Operations — Liquidity and Capital Resources — European Investment Bank Loan.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w:t>
      </w:r>
    </w:p>
    <w:p>
      <w:pPr>
        <w:spacing w:after="0" w:line="106" w:lineRule="exact"/>
        <w:rPr>
          <w:sz w:val="20"/>
          <w:szCs w:val="20"/>
          <w:color w:val="auto"/>
        </w:rPr>
      </w:pPr>
    </w:p>
    <w:p>
      <w:pPr>
        <w:ind w:left="1260" w:right="579" w:firstLine="648"/>
        <w:spacing w:after="0"/>
        <w:rPr>
          <w:sz w:val="20"/>
          <w:szCs w:val="20"/>
          <w:color w:val="auto"/>
        </w:rPr>
      </w:pPr>
      <w:r>
        <w:rPr>
          <w:rFonts w:ascii="Arial" w:cs="Arial" w:eastAsia="Arial" w:hAnsi="Arial"/>
          <w:sz w:val="18"/>
          <w:szCs w:val="18"/>
          <w:color w:val="auto"/>
        </w:rPr>
        <w:t>If we raise additional funds through collaborations or marketing, distribution or licensing arrangements with third parties, we may have to relinquish valuable rights to our technologies, future revenue streams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22" w:lineRule="exact"/>
        <w:rPr>
          <w:sz w:val="20"/>
          <w:szCs w:val="20"/>
          <w:color w:val="auto"/>
        </w:rPr>
      </w:pPr>
    </w:p>
    <w:p>
      <w:pPr>
        <w:ind w:left="1260" w:right="499" w:firstLine="648"/>
        <w:spacing w:after="0" w:line="259" w:lineRule="auto"/>
        <w:rPr>
          <w:sz w:val="20"/>
          <w:szCs w:val="20"/>
          <w:color w:val="auto"/>
        </w:rPr>
      </w:pPr>
      <w:r>
        <w:rPr>
          <w:rFonts w:ascii="Arial" w:cs="Arial" w:eastAsia="Arial" w:hAnsi="Arial"/>
          <w:sz w:val="17"/>
          <w:szCs w:val="17"/>
          <w:color w:val="auto"/>
        </w:rPr>
        <w:t>We cannot be certain that additional funding will be available on acceptable terms, or at all. If we are unable to raise additional capital in sufficient amounts or on terms acceptable to us, we may have to significantly delay, scale back or discontinue the development or commercialization of our product candidates or other research and development initiatives. Our current or future license agreements may also be terminated if we are unable to meet the payment or other obligations under the agreements.</w:t>
      </w:r>
    </w:p>
    <w:p>
      <w:pPr>
        <w:spacing w:after="0" w:line="174" w:lineRule="exact"/>
        <w:rPr>
          <w:sz w:val="20"/>
          <w:szCs w:val="20"/>
          <w:color w:val="auto"/>
        </w:rPr>
      </w:pPr>
    </w:p>
    <w:p>
      <w:pPr>
        <w:ind w:left="1260" w:right="439"/>
        <w:spacing w:after="0" w:line="433" w:lineRule="auto"/>
        <w:rPr>
          <w:sz w:val="20"/>
          <w:szCs w:val="20"/>
          <w:color w:val="auto"/>
        </w:rPr>
      </w:pPr>
      <w:r>
        <w:rPr>
          <w:rFonts w:ascii="Arial" w:cs="Arial" w:eastAsia="Arial" w:hAnsi="Arial"/>
          <w:sz w:val="13"/>
          <w:szCs w:val="13"/>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 w:lineRule="exact"/>
        <w:rPr>
          <w:sz w:val="20"/>
          <w:szCs w:val="20"/>
          <w:color w:val="auto"/>
        </w:rPr>
      </w:pPr>
    </w:p>
    <w:p>
      <w:pPr>
        <w:ind w:left="1260" w:right="419" w:firstLine="648"/>
        <w:spacing w:after="0" w:line="252" w:lineRule="auto"/>
        <w:rPr>
          <w:sz w:val="20"/>
          <w:szCs w:val="20"/>
          <w:color w:val="auto"/>
        </w:rPr>
      </w:pPr>
      <w:r>
        <w:rPr>
          <w:rFonts w:ascii="Arial" w:cs="Arial" w:eastAsia="Arial" w:hAnsi="Arial"/>
          <w:sz w:val="17"/>
          <w:szCs w:val="17"/>
          <w:color w:val="auto"/>
        </w:rPr>
        <w:t>We have limited financial and managerial resources, and therefore we intend to focus on developing product candidates for specific indications that we believe are most likely to succeed, in terms of both their potential for marketing approval and potential for successful commercialization, if approved. As a result, we may forgo or delay pursuit of opportunities with other product candidates or for other indications that may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the product candidate.</w:t>
      </w:r>
    </w:p>
    <w:p>
      <w:pPr>
        <w:spacing w:after="0" w:line="186" w:lineRule="exact"/>
        <w:rPr>
          <w:sz w:val="20"/>
          <w:szCs w:val="20"/>
          <w:color w:val="auto"/>
        </w:rPr>
      </w:pPr>
    </w:p>
    <w:p>
      <w:pPr>
        <w:ind w:left="1260" w:right="439"/>
        <w:spacing w:after="0" w:line="275" w:lineRule="auto"/>
        <w:rPr>
          <w:sz w:val="20"/>
          <w:szCs w:val="20"/>
          <w:color w:val="auto"/>
        </w:rPr>
      </w:pPr>
      <w:r>
        <w:rPr>
          <w:rFonts w:ascii="Arial" w:cs="Arial" w:eastAsia="Arial" w:hAnsi="Arial"/>
          <w:sz w:val="17"/>
          <w:szCs w:val="17"/>
          <w:b w:val="1"/>
          <w:bCs w:val="1"/>
          <w:i w:val="1"/>
          <w:iCs w:val="1"/>
          <w:color w:val="auto"/>
        </w:rPr>
        <w:t>We depend on strategic partnerships with other companies to assist in the research, development and commercialization of our platform and product candidates. If our existing or future partners do not perform as expected, if we fail to maintain any of these collaborations or if these collaborations are not successful, our ability to commercialize our product candidates successfully and to generate revenues through technology licensing or otherwise may be materially adversely affected.</w:t>
      </w:r>
    </w:p>
    <w:p>
      <w:pPr>
        <w:spacing w:after="0" w:line="109" w:lineRule="exact"/>
        <w:rPr>
          <w:sz w:val="20"/>
          <w:szCs w:val="20"/>
          <w:color w:val="auto"/>
        </w:rPr>
      </w:pPr>
    </w:p>
    <w:p>
      <w:pPr>
        <w:ind w:left="1260" w:right="419" w:firstLine="648"/>
        <w:spacing w:after="0" w:line="252" w:lineRule="auto"/>
        <w:rPr>
          <w:sz w:val="20"/>
          <w:szCs w:val="20"/>
          <w:color w:val="auto"/>
        </w:rPr>
      </w:pPr>
      <w:r>
        <w:rPr>
          <w:rFonts w:ascii="Arial" w:cs="Arial" w:eastAsia="Arial" w:hAnsi="Arial"/>
          <w:sz w:val="18"/>
          <w:szCs w:val="18"/>
          <w:color w:val="auto"/>
        </w:rPr>
        <w:t>We have established strategic partnerships and intend to continue to establish strategic partnerships with third parties to research, develop and commercialize our platform and existing and future product candidates. We have entered into strategic partnerships with Genmab, Arcturus, Acuitas, CRISPR Therapeutics, Boehringer Ingelheim, GSK, the Bill &amp; Melinda Gates Foundation, CEPI and Tesla Grohmann, among others. For certain of these programs, including our collaborations with Genmab, CRISPR Therapeutics, Boehringer Ingelheim and GSK, we will depend on our partners to design and conduct their clinical studies. As a result, we may not be able to conduct these programs in the manner or on the time schedule we currently contemplate, which may negatively impact our business operations. While we have certain contractual rights to information about pre-clinical and clinical developments and results under certain of our collaboration agreements, including our agreements with Genmab, Boehringer Ingelheim, CRISPR Therapeutics and GSK, we cannot be certain that clinical trials conducted in connection with such collaboration programs will be conducted in a manner consistent with the best interests of our business. In addition, if any of these partners withdraw support for these programs or proposed products or otherwise impair their development, our business could be negatively affected. Also, our inability to find a partner for any of our product candidates, may result in our termination of that specific product candidate program or evaluation of a product candidate in a particular indication. Even if we found a partner for one or more</w:t>
      </w: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4" w:name="page25"/>
    <w:bookmarkEnd w:id="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99"/>
        <w:spacing w:after="0" w:line="261" w:lineRule="auto"/>
        <w:rPr>
          <w:sz w:val="20"/>
          <w:szCs w:val="20"/>
          <w:color w:val="auto"/>
        </w:rPr>
      </w:pPr>
      <w:r>
        <w:rPr>
          <w:rFonts w:ascii="Arial" w:cs="Arial" w:eastAsia="Arial" w:hAnsi="Arial"/>
          <w:sz w:val="18"/>
          <w:szCs w:val="18"/>
          <w:color w:val="auto"/>
        </w:rPr>
        <w:t>of our product candidates, there is no assurance that upon the approval of one or more of such product candidates we will be able to successfully co-commercialize such products.</w:t>
      </w:r>
    </w:p>
    <w:p>
      <w:pPr>
        <w:spacing w:after="0" w:line="103" w:lineRule="exact"/>
        <w:rPr>
          <w:sz w:val="20"/>
          <w:szCs w:val="20"/>
          <w:color w:val="auto"/>
        </w:rPr>
      </w:pPr>
    </w:p>
    <w:p>
      <w:pPr>
        <w:ind w:left="1260" w:right="459" w:firstLine="648"/>
        <w:spacing w:after="0" w:line="252" w:lineRule="auto"/>
        <w:rPr>
          <w:sz w:val="20"/>
          <w:szCs w:val="20"/>
          <w:color w:val="auto"/>
        </w:rPr>
      </w:pPr>
      <w:r>
        <w:rPr>
          <w:rFonts w:ascii="Arial" w:cs="Arial" w:eastAsia="Arial" w:hAnsi="Arial"/>
          <w:sz w:val="17"/>
          <w:szCs w:val="17"/>
          <w:color w:val="auto"/>
        </w:rPr>
        <w:t>In addition, our existing licenses and collaboration agreements, including our agreements with Genmab, Arcturus, Acuitas, Boehringer Ingelheim, the Bill &amp; Melinda Gates Foundation, CRISPR Therapeutics, GSK and CEPI, impose, and any future licenses, collaborations or other intellectual property agreements we enter into are likely to impose, various development, commercialization, funding, milestone, royalty, diligence, sublicensing, insurance, patent prosecution and enforcement or other obligations on us. Furthermore, our licenses and collaboration agreements impose, and any future agreement we enter into may also impose, restrictions on our ability to license certain of our intellectual property to third parties or to develop or commercialize certain product candidates or technologies. In spite of our best efforts, our collaborators may conclude that we have breached our obligations under our agreements, in which case, we may be required to pay damages and the collaborator may have the right to terminate the agreement. Any of the foregoing could result in us being unable to develop, manufacture and sell products that are covered by the licensed technology, enable a competitor to gain access to the licensed technology or disrupt our right to receive funding or milestone or royalty payments. See “Business — Collaborations.”</w:t>
      </w:r>
    </w:p>
    <w:p>
      <w:pPr>
        <w:spacing w:after="0" w:line="113" w:lineRule="exact"/>
        <w:rPr>
          <w:sz w:val="20"/>
          <w:szCs w:val="20"/>
          <w:color w:val="auto"/>
        </w:rPr>
      </w:pPr>
    </w:p>
    <w:p>
      <w:pPr>
        <w:ind w:left="1260" w:right="419" w:firstLine="648"/>
        <w:spacing w:after="0" w:line="251" w:lineRule="auto"/>
        <w:rPr>
          <w:sz w:val="20"/>
          <w:szCs w:val="20"/>
          <w:color w:val="auto"/>
        </w:rPr>
      </w:pPr>
      <w:r>
        <w:rPr>
          <w:rFonts w:ascii="Arial" w:cs="Arial" w:eastAsia="Arial" w:hAnsi="Arial"/>
          <w:sz w:val="17"/>
          <w:szCs w:val="17"/>
          <w:color w:val="auto"/>
        </w:rPr>
        <w:t>In the future, we may enter into additional collaborations to fund our development programs or to gain access to sales, marketing or distribution capabilities. Under certain of our collaboration agreements, including our collaborations with Genmab, CRISPR Therapeutics, Boehringer Ingelheim and GSK, we grant our partners an exclusive license to develop and commercialize certain classes of products containing our mRNA technology for specific targets and receive license fees, research and development funding, milestone payments and/or, if a product is approved for marketing, sales royalties in return. Following the discovery and preclinical testing phase, in certain cases, our partners are solely responsible for the further development of the product candidate and therefore exercise full control over its further development and potential commercialization. In certain cases, including under our collaboration with Genmab, we have a limited right to co-commercialize collaboration products. While certain of our existing licenses and collaboration agreements, including our agreements with Genmab, Boehringer Ingelheim, CRISPR Therapeutics and GSK, impose development or commercialization obligations on our collaborators, we cannot be certain that our collaboration partners will allocate sufficient resources or attention to our collaboration programs or that they will progress our collaboration programs consistent with the best interests of our business. Our existing collaborations, and any future collaborations we enter into, therefore may pose a number of risks, including the following:</w:t>
      </w:r>
    </w:p>
    <w:p>
      <w:pPr>
        <w:spacing w:after="0" w:line="77" w:lineRule="exact"/>
        <w:rPr>
          <w:sz w:val="20"/>
          <w:szCs w:val="20"/>
          <w:color w:val="auto"/>
        </w:rPr>
      </w:pPr>
    </w:p>
    <w:p>
      <w:pPr>
        <w:ind w:left="2260" w:right="459" w:hanging="352"/>
        <w:spacing w:after="0" w:line="277" w:lineRule="auto"/>
        <w:tabs>
          <w:tab w:leader="none" w:pos="2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have significant discretion in determining the efforts and resources that they will apply to these collaborations;</w:t>
      </w:r>
    </w:p>
    <w:p>
      <w:pPr>
        <w:spacing w:after="0" w:line="48" w:lineRule="exact"/>
        <w:rPr>
          <w:rFonts w:ascii="Arial" w:cs="Arial" w:eastAsia="Arial" w:hAnsi="Arial"/>
          <w:sz w:val="18"/>
          <w:szCs w:val="18"/>
          <w:color w:val="auto"/>
        </w:rPr>
      </w:pPr>
    </w:p>
    <w:p>
      <w:pPr>
        <w:ind w:left="2260" w:right="419" w:hanging="352"/>
        <w:spacing w:after="0" w:line="277" w:lineRule="auto"/>
        <w:tabs>
          <w:tab w:leader="none" w:pos="2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 by us or by health authorities, such as the FDA, the EMA or comparable foreign regulatory authorities;</w:t>
      </w:r>
    </w:p>
    <w:p>
      <w:pPr>
        <w:spacing w:after="0" w:line="62" w:lineRule="exact"/>
        <w:rPr>
          <w:rFonts w:ascii="Arial" w:cs="Arial" w:eastAsia="Arial" w:hAnsi="Arial"/>
          <w:sz w:val="18"/>
          <w:szCs w:val="18"/>
          <w:color w:val="auto"/>
        </w:rPr>
      </w:pPr>
    </w:p>
    <w:p>
      <w:pPr>
        <w:ind w:left="2260" w:right="479" w:hanging="352"/>
        <w:spacing w:after="0" w:line="277" w:lineRule="auto"/>
        <w:tabs>
          <w:tab w:leader="none" w:pos="2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dissolve, merge, be bought or may otherwise become unwilling to fulfill the initial terms of the collaboration with us;</w:t>
      </w:r>
    </w:p>
    <w:p>
      <w:pPr>
        <w:spacing w:after="0" w:line="62" w:lineRule="exact"/>
        <w:rPr>
          <w:rFonts w:ascii="Arial" w:cs="Arial" w:eastAsia="Arial" w:hAnsi="Arial"/>
          <w:sz w:val="18"/>
          <w:szCs w:val="18"/>
          <w:color w:val="auto"/>
        </w:rPr>
      </w:pPr>
    </w:p>
    <w:p>
      <w:pPr>
        <w:ind w:left="2260" w:right="539" w:hanging="352"/>
        <w:spacing w:after="0" w:line="277" w:lineRule="auto"/>
        <w:tabs>
          <w:tab w:leader="none" w:pos="2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fail to perform their obligations under the collaboration agreements or may be slow in performing their obligations;</w:t>
      </w:r>
    </w:p>
    <w:p>
      <w:pPr>
        <w:spacing w:after="0" w:line="62" w:lineRule="exact"/>
        <w:rPr>
          <w:rFonts w:ascii="Arial" w:cs="Arial" w:eastAsia="Arial" w:hAnsi="Arial"/>
          <w:sz w:val="18"/>
          <w:szCs w:val="18"/>
          <w:color w:val="auto"/>
        </w:rPr>
      </w:pPr>
    </w:p>
    <w:p>
      <w:pPr>
        <w:ind w:left="2260" w:right="679" w:hanging="352"/>
        <w:spacing w:after="0" w:line="263" w:lineRule="auto"/>
        <w:tabs>
          <w:tab w:leader="none" w:pos="2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75" w:lineRule="exact"/>
        <w:rPr>
          <w:rFonts w:ascii="Arial" w:cs="Arial" w:eastAsia="Arial" w:hAnsi="Arial"/>
          <w:sz w:val="18"/>
          <w:szCs w:val="18"/>
          <w:color w:val="auto"/>
        </w:rPr>
      </w:pPr>
    </w:p>
    <w:p>
      <w:pPr>
        <w:ind w:left="2260" w:right="639" w:hanging="352"/>
        <w:spacing w:after="0" w:line="255" w:lineRule="auto"/>
        <w:tabs>
          <w:tab w:leader="none" w:pos="2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 or the actual or perceived competitive situation in a specific indication;</w:t>
      </w:r>
    </w:p>
    <w:p>
      <w:pPr>
        <w:spacing w:after="0" w:line="84" w:lineRule="exact"/>
        <w:rPr>
          <w:rFonts w:ascii="Arial" w:cs="Arial" w:eastAsia="Arial" w:hAnsi="Arial"/>
          <w:sz w:val="18"/>
          <w:szCs w:val="18"/>
          <w:color w:val="auto"/>
        </w:rPr>
      </w:pPr>
    </w:p>
    <w:p>
      <w:pPr>
        <w:ind w:left="2260" w:right="459" w:hanging="352"/>
        <w:spacing w:after="0" w:line="263" w:lineRule="auto"/>
        <w:tabs>
          <w:tab w:leader="none" w:pos="2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may require a new formulation of a product candidate for clinical testing;</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60" w:right="839" w:hanging="352"/>
        <w:spacing w:after="0" w:line="279" w:lineRule="auto"/>
        <w:tabs>
          <w:tab w:leader="none" w:pos="2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63" w:lineRule="exact"/>
        <w:rPr>
          <w:rFonts w:ascii="Arial" w:cs="Arial" w:eastAsia="Arial" w:hAnsi="Arial"/>
          <w:sz w:val="17"/>
          <w:szCs w:val="17"/>
          <w:color w:val="auto"/>
        </w:rPr>
      </w:pPr>
    </w:p>
    <w:p>
      <w:pPr>
        <w:jc w:val="both"/>
        <w:ind w:left="2260" w:right="539" w:hanging="352"/>
        <w:spacing w:after="0" w:line="286" w:lineRule="auto"/>
        <w:tabs>
          <w:tab w:leader="none" w:pos="2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57" w:lineRule="exact"/>
        <w:rPr>
          <w:rFonts w:ascii="Arial" w:cs="Arial" w:eastAsia="Arial" w:hAnsi="Arial"/>
          <w:sz w:val="17"/>
          <w:szCs w:val="17"/>
          <w:color w:val="auto"/>
        </w:rPr>
      </w:pPr>
    </w:p>
    <w:p>
      <w:pPr>
        <w:ind w:left="2260" w:right="539" w:hanging="352"/>
        <w:spacing w:after="0" w:line="263" w:lineRule="auto"/>
        <w:tabs>
          <w:tab w:leader="none" w:pos="2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75" w:lineRule="exact"/>
        <w:rPr>
          <w:rFonts w:ascii="Arial" w:cs="Arial" w:eastAsia="Arial" w:hAnsi="Arial"/>
          <w:sz w:val="18"/>
          <w:szCs w:val="18"/>
          <w:color w:val="auto"/>
        </w:rPr>
      </w:pPr>
    </w:p>
    <w:p>
      <w:pPr>
        <w:ind w:left="2260" w:right="419" w:hanging="352"/>
        <w:spacing w:after="0" w:line="254" w:lineRule="auto"/>
        <w:tabs>
          <w:tab w:leader="none" w:pos="2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disagreements with collaborators, licensors or licensees, including disagreements over proprietary rights, contract interpretation and breach of contract claims, payment obligations or the preferred course of development, might cause delays or termination of the research, development or commercialization of products or product candidates, might lead to additional responsibilities, including financial obligations for us with respect to products or product candidates, or delays or withholding of any payments due or might result in litigation or arbitration, any of which would be time consuming and expensive, and could limit our ability to execute on our strategies;</w:t>
      </w:r>
    </w:p>
    <w:p>
      <w:pPr>
        <w:spacing w:after="0" w:line="83" w:lineRule="exact"/>
        <w:rPr>
          <w:rFonts w:ascii="Arial" w:cs="Arial" w:eastAsia="Arial" w:hAnsi="Arial"/>
          <w:sz w:val="18"/>
          <w:szCs w:val="18"/>
          <w:color w:val="auto"/>
        </w:rPr>
      </w:pPr>
    </w:p>
    <w:p>
      <w:pPr>
        <w:ind w:left="2260" w:right="499" w:hanging="352"/>
        <w:spacing w:after="0" w:line="286" w:lineRule="auto"/>
        <w:tabs>
          <w:tab w:leader="none" w:pos="2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collaborators may not properly obtain, maintain, enforce or defend our intellectual property or may use our proprietary information in such a way that could jeopardize or invalidate our intellectual property or proprietary information or expose us to potential litigation; and</w:t>
      </w:r>
    </w:p>
    <w:p>
      <w:pPr>
        <w:spacing w:after="0" w:line="57" w:lineRule="exact"/>
        <w:rPr>
          <w:rFonts w:ascii="Arial" w:cs="Arial" w:eastAsia="Arial" w:hAnsi="Arial"/>
          <w:sz w:val="17"/>
          <w:szCs w:val="17"/>
          <w:color w:val="auto"/>
        </w:rPr>
      </w:pPr>
    </w:p>
    <w:p>
      <w:pPr>
        <w:ind w:left="2260" w:right="779" w:hanging="352"/>
        <w:spacing w:after="0" w:line="277" w:lineRule="auto"/>
        <w:tabs>
          <w:tab w:leader="none" w:pos="2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of third parties, which may expose us to litigation and potential liability.</w:t>
      </w:r>
    </w:p>
    <w:p>
      <w:pPr>
        <w:spacing w:after="0" w:line="103" w:lineRule="exact"/>
        <w:rPr>
          <w:sz w:val="20"/>
          <w:szCs w:val="20"/>
          <w:color w:val="auto"/>
        </w:rPr>
      </w:pPr>
    </w:p>
    <w:p>
      <w:pPr>
        <w:ind w:left="1260" w:right="459" w:firstLine="648"/>
        <w:spacing w:after="0" w:line="270" w:lineRule="auto"/>
        <w:rPr>
          <w:sz w:val="20"/>
          <w:szCs w:val="20"/>
          <w:color w:val="auto"/>
        </w:rPr>
      </w:pPr>
      <w:r>
        <w:rPr>
          <w:rFonts w:ascii="Arial" w:cs="Arial" w:eastAsia="Arial" w:hAnsi="Arial"/>
          <w:sz w:val="17"/>
          <w:szCs w:val="17"/>
          <w:color w:val="auto"/>
        </w:rPr>
        <w:t>If our collaborations on research and development candidates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proprietary product candidates. Moreover, our relationships with our partners may divert significant time and effort of our scientific staff and management team and require effective allocation of our resources to multiple internal and collaborative projects. All of the risks relating to product development, regulatory approval and commercialization described in this prospectus also apply to the activities of our program collaborators.</w:t>
      </w:r>
    </w:p>
    <w:p>
      <w:pPr>
        <w:spacing w:after="0" w:line="100" w:lineRule="exact"/>
        <w:rPr>
          <w:sz w:val="20"/>
          <w:szCs w:val="20"/>
          <w:color w:val="auto"/>
        </w:rPr>
      </w:pPr>
    </w:p>
    <w:p>
      <w:pPr>
        <w:ind w:left="1260" w:right="499" w:firstLine="648"/>
        <w:spacing w:after="0" w:line="257" w:lineRule="auto"/>
        <w:rPr>
          <w:sz w:val="20"/>
          <w:szCs w:val="20"/>
          <w:color w:val="auto"/>
        </w:rPr>
      </w:pPr>
      <w:r>
        <w:rPr>
          <w:rFonts w:ascii="Arial" w:cs="Arial" w:eastAsia="Arial" w:hAnsi="Arial"/>
          <w:sz w:val="18"/>
          <w:szCs w:val="18"/>
          <w:color w:val="auto"/>
        </w:rPr>
        <w:t>Additionally, subject to its contractual obligations to us, if one of our collaborators is involved in a business combination, the collaborator might deemphasize or terminate the development or commercialization of any product candidate licensed to it by us. If one of our collaborators terminates its agreement with us, we may find it more difficult to attract new collaborators in a timely manner. For more information on our current collaboration agreements, see “Business — Collaborations.”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Risks Related to the Development, Clinical Testing and Commercialization of Our Product Candidates</w:t>
      </w:r>
    </w:p>
    <w:p>
      <w:pPr>
        <w:spacing w:after="0" w:line="252" w:lineRule="exact"/>
        <w:rPr>
          <w:sz w:val="20"/>
          <w:szCs w:val="20"/>
          <w:color w:val="auto"/>
        </w:rPr>
      </w:pPr>
    </w:p>
    <w:p>
      <w:pPr>
        <w:ind w:left="1260" w:right="519"/>
        <w:spacing w:after="0" w:line="277" w:lineRule="auto"/>
        <w:rPr>
          <w:sz w:val="20"/>
          <w:szCs w:val="20"/>
          <w:color w:val="auto"/>
        </w:rPr>
      </w:pPr>
      <w:r>
        <w:rPr>
          <w:rFonts w:ascii="Arial" w:cs="Arial" w:eastAsia="Arial" w:hAnsi="Arial"/>
          <w:sz w:val="18"/>
          <w:szCs w:val="18"/>
          <w:b w:val="1"/>
          <w:bCs w:val="1"/>
          <w:i w:val="1"/>
          <w:iCs w:val="1"/>
          <w:color w:val="auto"/>
        </w:rPr>
        <w:t>Our approach to the discovery and development of product candidates based on mRNA is unproven, and we do not know whether we will be able to successfully develop any products.</w:t>
      </w:r>
    </w:p>
    <w:p>
      <w:pPr>
        <w:spacing w:after="0" w:line="103" w:lineRule="exact"/>
        <w:rPr>
          <w:sz w:val="20"/>
          <w:szCs w:val="20"/>
          <w:color w:val="auto"/>
        </w:rPr>
      </w:pPr>
    </w:p>
    <w:p>
      <w:pPr>
        <w:ind w:left="1260" w:right="479" w:firstLine="648"/>
        <w:spacing w:after="0" w:line="253" w:lineRule="auto"/>
        <w:rPr>
          <w:sz w:val="20"/>
          <w:szCs w:val="20"/>
          <w:color w:val="auto"/>
        </w:rPr>
      </w:pPr>
      <w:r>
        <w:rPr>
          <w:rFonts w:ascii="Arial" w:cs="Arial" w:eastAsia="Arial" w:hAnsi="Arial"/>
          <w:sz w:val="18"/>
          <w:szCs w:val="18"/>
          <w:color w:val="auto"/>
        </w:rPr>
        <w:t>We focus on delivering mRNA encoding functional versions of proteins into cells without altering the underlying DNA. Our future success depends on the successful development of this novel therapeutic or vaccine approach. Relatively few mRNA-based product candidates have been tested in animals or humans, and the data underlying the feasibility of developing mRNA-based products are both preliminary and limited. As of the date of this prospectus, we are not aware of any product that utilizes mRNA as a therapeutic or prophylactic vaccine being approved in the United States or Europe. We have not yet succeeded and may not succeed in demonstrating to the FDA or EMA the efficacy and safety of any of our product candidates in clinical trials or in obtaining marketing approval thereafter. We completed an interim analysis of safety, reactogenicity and immunogenicity in our Phase 1 clinical trial for our COVID-19 product candidate,</w:t>
      </w:r>
    </w:p>
    <w:p>
      <w:pPr>
        <w:sectPr>
          <w:pgSz w:w="11900" w:h="16838" w:orient="portrait"/>
          <w:cols w:equalWidth="0" w:num="1">
            <w:col w:w="9879"/>
          </w:cols>
          <w:pgMar w:left="580" w:top="131"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79"/>
        <w:spacing w:after="0" w:line="257" w:lineRule="auto"/>
        <w:rPr>
          <w:sz w:val="20"/>
          <w:szCs w:val="20"/>
          <w:color w:val="auto"/>
        </w:rPr>
      </w:pPr>
      <w:r>
        <w:rPr>
          <w:rFonts w:ascii="Arial" w:cs="Arial" w:eastAsia="Arial" w:hAnsi="Arial"/>
          <w:sz w:val="17"/>
          <w:szCs w:val="17"/>
          <w:color w:val="auto"/>
        </w:rPr>
        <w:t>CVnCoV, and have ongoing Phase 2a and Phase 2b/3 clinical trials. We have also completed an interim analysis of safety and immunogenicity in an ongoing Phase 1 clinical trial for our CV7202 (Rabies vaccine) product candidate and have ongoing Phase 1 clinical trials for our CV8102 (cMEL, ACC, SCC and HNSCC), Phase 1/2 clinical trials for BI 1361849 (formerly CV9202) (Non-Small- Cell Lung Cancer, or NSCLC). We have not yet completed any late-stage clinical studies. As such, there may be adverse effects from treatment with any of our current or future product candidates that we cannot predict at this time.</w:t>
      </w:r>
    </w:p>
    <w:p>
      <w:pPr>
        <w:spacing w:after="0" w:line="108" w:lineRule="exact"/>
        <w:rPr>
          <w:sz w:val="20"/>
          <w:szCs w:val="20"/>
          <w:color w:val="auto"/>
        </w:rPr>
      </w:pPr>
    </w:p>
    <w:p>
      <w:pPr>
        <w:ind w:left="1260" w:right="499" w:firstLine="648"/>
        <w:spacing w:after="0" w:line="238" w:lineRule="auto"/>
        <w:rPr>
          <w:sz w:val="20"/>
          <w:szCs w:val="20"/>
          <w:color w:val="auto"/>
        </w:rPr>
      </w:pPr>
      <w:r>
        <w:rPr>
          <w:rFonts w:ascii="Arial" w:cs="Arial" w:eastAsia="Arial" w:hAnsi="Arial"/>
          <w:sz w:val="18"/>
          <w:szCs w:val="18"/>
          <w:color w:val="auto"/>
        </w:rPr>
        <w:t>As a result of these factors, it is more difficult for us to predict the time and cost of product candidate development, and we cannot predict whether the application of our technology platform, or any similar or competitive mRNA platforms, will result in the development and regulatory approval of any products. There can be no assurance that any development problems we experience in the future related to our technology platform or any of our research programs will not cause significant delays or unanticipated costs, or that such development problems can be solved. Any of these factors may prevent us from completing our preclinical studies or any clinical trials that we may initiate or commercializing any product candidates we may develop on a timely or profitable basis, if at all.</w:t>
      </w:r>
    </w:p>
    <w:p>
      <w:pPr>
        <w:spacing w:after="0" w:line="194" w:lineRule="exact"/>
        <w:rPr>
          <w:sz w:val="20"/>
          <w:szCs w:val="20"/>
          <w:color w:val="auto"/>
        </w:rPr>
      </w:pPr>
    </w:p>
    <w:p>
      <w:pPr>
        <w:ind w:left="1260" w:right="419"/>
        <w:spacing w:after="0" w:line="241"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uncertain timelines and uncertain outcomes, and results of earlier studies and trials may not be predictive of future trial results. If clinical trials of our product candidates or production of our product candidates are prolonged or delayed, we may be unable to obtain required regulatory approvals, and therefore be unable to commercialize our product candidates on a timely basis or at all.</w:t>
      </w:r>
    </w:p>
    <w:p>
      <w:pPr>
        <w:spacing w:after="0" w:line="122" w:lineRule="exact"/>
        <w:rPr>
          <w:sz w:val="20"/>
          <w:szCs w:val="20"/>
          <w:color w:val="auto"/>
        </w:rPr>
      </w:pPr>
    </w:p>
    <w:p>
      <w:pPr>
        <w:ind w:left="1260" w:right="439" w:firstLine="648"/>
        <w:spacing w:after="0"/>
        <w:rPr>
          <w:sz w:val="20"/>
          <w:szCs w:val="20"/>
          <w:color w:val="auto"/>
        </w:rPr>
      </w:pPr>
      <w:r>
        <w:rPr>
          <w:rFonts w:ascii="Arial" w:cs="Arial" w:eastAsia="Arial" w:hAnsi="Arial"/>
          <w:sz w:val="18"/>
          <w:szCs w:val="18"/>
          <w:color w:val="auto"/>
        </w:rPr>
        <w:t>Our business is dependent on the successful development, regulatory approval and commercialization of product candidates based on our technology platform. If we and our collaborators are unable to obtain approval for and effectively commercialize our product candidates, our business would be significantly harmed. Even if we complete the necessary preclinical studies and clinical trials, the marketing approval process is expensive, time consuming and uncertain, and we may not be able to obtain approvals for the commercialization of any product candidates we may develop.</w:t>
      </w:r>
    </w:p>
    <w:p>
      <w:pPr>
        <w:spacing w:after="0" w:line="108" w:lineRule="exact"/>
        <w:rPr>
          <w:sz w:val="20"/>
          <w:szCs w:val="20"/>
          <w:color w:val="auto"/>
        </w:rPr>
      </w:pPr>
    </w:p>
    <w:p>
      <w:pPr>
        <w:ind w:left="1260" w:right="439" w:firstLine="648"/>
        <w:spacing w:after="0" w:line="266" w:lineRule="auto"/>
        <w:rPr>
          <w:sz w:val="20"/>
          <w:szCs w:val="20"/>
          <w:color w:val="auto"/>
        </w:rPr>
      </w:pPr>
      <w:r>
        <w:rPr>
          <w:rFonts w:ascii="Arial" w:cs="Arial" w:eastAsia="Arial" w:hAnsi="Arial"/>
          <w:sz w:val="17"/>
          <w:szCs w:val="17"/>
          <w:color w:val="auto"/>
        </w:rPr>
        <w:t>To obtain the requisite regulatory approvals to market and sell any of our product candidates, we must demonstrate through extensive preclinical studies and clinical trials that our products are safe and effective in humans. Clinical testing is expensive and can take many years to complete, and its outcome is inherently uncertain. Failure can occur at any time during the clinical trial process. The results of preclinical studies and early clinical trials of our product candidates may not be predictive of the results of later-stage clinical trials. For example, our Phase 2b clinical trial with CV9104, one of our first generation vaccines based on protamine formulation, that was designed to evaluate the investigational mRNA-based cancer vaccine in patients with asymptomatic or minimally symptomatic metastatic castrate resistant prostate cancer, failed to meet the primary endpoint of improving overall survival despite proceeding through preclinical and Phase 1 studies. Progression-free survival was similar in both arms of the clinical trial. In addition, our past programs with protamine based vaccines (CV9201, CV9103, CV9104 and CV7201) were discontinued because the level of immunogenicity achieved in clinical trials was considered insufficient. BI 1361849 (formerly CV9202) is the only protamine based vaccine formulation in current clinical trials. While we have assessed the results of past trials and these have informed our approach going forward, we can provide no assurance that future clinical trials will not be discontinued or fail to meet their specified endpoints. Product candidates in later stages of clinical trials may fail to show the desired safety and efficacy traits despite having progressed through preclinical studies and initial clinical trials. In this regard, we expect to report the interim and final results of our ongoing clinical trials with respect to our COVID-19 vaccine candidate, CVnCoV, in the near future. For example, we are expecting to report a first data read-out of our Phase 2a clinical trial and the interim results of our Phase 2b/3 clinical trial in the coming months. If such results, or others, differ from previous reports or market expectations, the price of our common shares could decrease substantially from the price of our common shares after this offering. A number of companies in the biopharmaceutical industry have suffered significant setbacks in advanced clinical trials due to lack of efficacy or adverse safety profiles, notwithstanding promising results in earlier trials. Our future clinical trial results may not be successful.</w:t>
      </w:r>
    </w:p>
    <w:p>
      <w:pPr>
        <w:spacing w:after="0" w:line="132" w:lineRule="exact"/>
        <w:rPr>
          <w:sz w:val="20"/>
          <w:szCs w:val="20"/>
          <w:color w:val="auto"/>
        </w:rPr>
      </w:pPr>
    </w:p>
    <w:p>
      <w:pPr>
        <w:ind w:left="1260" w:right="719" w:firstLine="648"/>
        <w:spacing w:after="0" w:line="308" w:lineRule="auto"/>
        <w:rPr>
          <w:sz w:val="20"/>
          <w:szCs w:val="20"/>
          <w:color w:val="auto"/>
        </w:rPr>
      </w:pPr>
      <w:r>
        <w:rPr>
          <w:rFonts w:ascii="Arial" w:cs="Arial" w:eastAsia="Arial" w:hAnsi="Arial"/>
          <w:sz w:val="17"/>
          <w:szCs w:val="17"/>
          <w:color w:val="auto"/>
        </w:rPr>
        <w:t>Clinical trials must be conducted in accordance with the FDA, EMA and comparable foreign regulatory authorities’ legal requirements, regulations or guidelines and are subject to oversight by these</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7" w:name="page28"/>
    <w:bookmarkEnd w:id="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599"/>
        <w:spacing w:after="0" w:line="253" w:lineRule="auto"/>
        <w:rPr>
          <w:sz w:val="20"/>
          <w:szCs w:val="20"/>
          <w:color w:val="auto"/>
        </w:rPr>
      </w:pPr>
      <w:r>
        <w:rPr>
          <w:rFonts w:ascii="Arial" w:cs="Arial" w:eastAsia="Arial" w:hAnsi="Arial"/>
          <w:sz w:val="18"/>
          <w:szCs w:val="18"/>
          <w:color w:val="auto"/>
        </w:rPr>
        <w:t>governmental agencies and Institutional Review Boards, or IRBs, at the medical institutions where the clinical trials are conducted. In addition, clinical trials must be conducted with supplies of our product candidates produced in accordance with current good manufacturing practices, or cGMP, and other requirements. We depend on medical institutions and clinical research organizations, or CROs, to conduct our clinical trials in compliance with good clinical practice, or GCP, standards. Failure to follow and document adherence to such regulations or other regulatory requirements may lead to significant delays in the availability of product for our clinical trials, result in the termination of or a clinical hold being placed on one or more of our clinical trials, or delay or prevent submission or approval of marketing applications for our product candidates.</w:t>
      </w:r>
    </w:p>
    <w:p>
      <w:pPr>
        <w:spacing w:after="0" w:line="129" w:lineRule="exact"/>
        <w:rPr>
          <w:sz w:val="20"/>
          <w:szCs w:val="20"/>
          <w:color w:val="auto"/>
        </w:rPr>
      </w:pPr>
    </w:p>
    <w:p>
      <w:pPr>
        <w:ind w:left="1260" w:right="499" w:firstLine="648"/>
        <w:spacing w:after="0" w:line="253" w:lineRule="auto"/>
        <w:rPr>
          <w:sz w:val="20"/>
          <w:szCs w:val="20"/>
          <w:color w:val="auto"/>
        </w:rPr>
      </w:pPr>
      <w:r>
        <w:rPr>
          <w:rFonts w:ascii="Arial" w:cs="Arial" w:eastAsia="Arial" w:hAnsi="Arial"/>
          <w:sz w:val="18"/>
          <w:szCs w:val="18"/>
          <w:color w:val="auto"/>
        </w:rPr>
        <w:t>To the extent our CROs fail to enroll participants for our clinical trials, fail to conduct the trial in accordance with GCP requirements or are delayed for a significant time in the execution of trials, including achieving full enrollment, we may be affected by increased costs, program delays or both, which may harm our business. To date, we have not completed clinical trials sufficient for obtaining marketing approvals for any of our product candidates. Our most advanced candidate is CVnCoV against SARS-CoV-2, which is in clinical development. Our other product candidates, CV7202 (Rabies), BI 1361849 (formerly CV9202) (NSCLC), CV8102 (Melanoma, Adenoidcystic Carcinoma, Squamous Cell Cancer of Skin and Head and Neck), are in early clinical development. All other of our research programs are in the preclinical development stage.</w:t>
      </w:r>
    </w:p>
    <w:p>
      <w:pPr>
        <w:spacing w:after="0" w:line="129" w:lineRule="exact"/>
        <w:rPr>
          <w:sz w:val="20"/>
          <w:szCs w:val="20"/>
          <w:color w:val="auto"/>
        </w:rPr>
      </w:pPr>
    </w:p>
    <w:p>
      <w:pPr>
        <w:ind w:left="1260" w:right="599" w:firstLine="648"/>
        <w:spacing w:after="0" w:line="277" w:lineRule="auto"/>
        <w:rPr>
          <w:sz w:val="20"/>
          <w:szCs w:val="20"/>
          <w:color w:val="auto"/>
        </w:rPr>
      </w:pPr>
      <w:r>
        <w:rPr>
          <w:rFonts w:ascii="Arial" w:cs="Arial" w:eastAsia="Arial" w:hAnsi="Arial"/>
          <w:sz w:val="18"/>
          <w:szCs w:val="18"/>
          <w:color w:val="auto"/>
        </w:rPr>
        <w:t>The completion of clinical trials for our clinical product candidates may be delayed, suspended or terminated as a result of many factors, including but not limited to:</w:t>
      </w:r>
    </w:p>
    <w:p>
      <w:pPr>
        <w:spacing w:after="0" w:line="62" w:lineRule="exact"/>
        <w:rPr>
          <w:sz w:val="20"/>
          <w:szCs w:val="20"/>
          <w:color w:val="auto"/>
        </w:rPr>
      </w:pPr>
    </w:p>
    <w:p>
      <w:pPr>
        <w:ind w:left="2260" w:right="879" w:hanging="352"/>
        <w:spacing w:after="0" w:line="308" w:lineRule="auto"/>
        <w:tabs>
          <w:tab w:leader="none" w:pos="2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delay or refusal of regulators or IRBs to authorize us to commence a clinical trial at a prospective trial site and changes in regulatory requirements, policies and guidelines;</w:t>
      </w:r>
    </w:p>
    <w:p>
      <w:pPr>
        <w:spacing w:after="0" w:line="38" w:lineRule="exact"/>
        <w:rPr>
          <w:rFonts w:ascii="Arial" w:cs="Arial" w:eastAsia="Arial" w:hAnsi="Arial"/>
          <w:sz w:val="17"/>
          <w:szCs w:val="17"/>
          <w:color w:val="auto"/>
        </w:rPr>
      </w:pPr>
    </w:p>
    <w:p>
      <w:pPr>
        <w:ind w:left="2260" w:right="619" w:hanging="352"/>
        <w:spacing w:after="0" w:line="263" w:lineRule="auto"/>
        <w:tabs>
          <w:tab w:leader="none" w:pos="2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or failure to reach agreement on acceptable terms with prospective CROs and clinical trial sites, the terms of which can be subject to extensive negotiation and may vary significantly among different CROs and trial sites;</w:t>
      </w:r>
    </w:p>
    <w:p>
      <w:pPr>
        <w:spacing w:after="0" w:line="89" w:lineRule="exact"/>
        <w:rPr>
          <w:rFonts w:ascii="Arial" w:cs="Arial" w:eastAsia="Arial" w:hAnsi="Arial"/>
          <w:sz w:val="18"/>
          <w:szCs w:val="18"/>
          <w:color w:val="auto"/>
        </w:rPr>
      </w:pPr>
    </w:p>
    <w:p>
      <w:pPr>
        <w:ind w:left="2260" w:right="659" w:hanging="352"/>
        <w:spacing w:after="0" w:line="277" w:lineRule="auto"/>
        <w:tabs>
          <w:tab w:leader="none" w:pos="2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patient enrollment and variability in the number and types of patients available for clinical trials, including as a result of COVID-19;</w:t>
      </w:r>
    </w:p>
    <w:p>
      <w:pPr>
        <w:spacing w:after="0" w:line="62" w:lineRule="exact"/>
        <w:rPr>
          <w:rFonts w:ascii="Arial" w:cs="Arial" w:eastAsia="Arial" w:hAnsi="Arial"/>
          <w:sz w:val="18"/>
          <w:szCs w:val="18"/>
          <w:color w:val="auto"/>
        </w:rPr>
      </w:pPr>
    </w:p>
    <w:p>
      <w:pPr>
        <w:ind w:left="2260" w:right="819" w:hanging="352"/>
        <w:spacing w:after="0" w:line="277" w:lineRule="auto"/>
        <w:tabs>
          <w:tab w:leader="none" w:pos="2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enroll a sufficient number of patients in trials to ensure adequate statistical power to detect statistically significant treatment effects;</w:t>
      </w:r>
    </w:p>
    <w:p>
      <w:pPr>
        <w:spacing w:after="0" w:line="75" w:lineRule="exact"/>
        <w:rPr>
          <w:rFonts w:ascii="Arial" w:cs="Arial" w:eastAsia="Arial" w:hAnsi="Arial"/>
          <w:sz w:val="18"/>
          <w:szCs w:val="18"/>
          <w:color w:val="auto"/>
        </w:rPr>
      </w:pPr>
    </w:p>
    <w:p>
      <w:pPr>
        <w:ind w:left="2260" w:right="799" w:hanging="352"/>
        <w:spacing w:after="0" w:line="277" w:lineRule="auto"/>
        <w:tabs>
          <w:tab w:leader="none" w:pos="2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negative or inconclusive results, which may require us to conduct additional preclinical or clinical trials or to abandon projects that we expect to be promising;</w:t>
      </w:r>
    </w:p>
    <w:p>
      <w:pPr>
        <w:spacing w:after="0" w:line="62" w:lineRule="exact"/>
        <w:rPr>
          <w:rFonts w:ascii="Arial" w:cs="Arial" w:eastAsia="Arial" w:hAnsi="Arial"/>
          <w:sz w:val="18"/>
          <w:szCs w:val="18"/>
          <w:color w:val="auto"/>
        </w:rPr>
      </w:pPr>
    </w:p>
    <w:p>
      <w:pPr>
        <w:ind w:left="2260" w:right="699" w:hanging="352"/>
        <w:spacing w:after="0" w:line="277" w:lineRule="auto"/>
        <w:tabs>
          <w:tab w:leader="none" w:pos="2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shortage of materials required for the production of our product candidates including due to events surrounding COVID-19;</w:t>
      </w:r>
    </w:p>
    <w:p>
      <w:pPr>
        <w:spacing w:after="0" w:line="62" w:lineRule="exact"/>
        <w:rPr>
          <w:rFonts w:ascii="Arial" w:cs="Arial" w:eastAsia="Arial" w:hAnsi="Arial"/>
          <w:sz w:val="18"/>
          <w:szCs w:val="18"/>
          <w:color w:val="auto"/>
        </w:rPr>
      </w:pPr>
    </w:p>
    <w:p>
      <w:pPr>
        <w:ind w:left="2260" w:right="499" w:hanging="352"/>
        <w:spacing w:after="0" w:line="277" w:lineRule="auto"/>
        <w:tabs>
          <w:tab w:leader="none" w:pos="2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safety or tolerability concerns causing us to suspend or terminate a trial if it is determined that the participants are being exposed to unacceptable health risks;</w:t>
      </w:r>
    </w:p>
    <w:p>
      <w:pPr>
        <w:spacing w:after="0" w:line="75" w:lineRule="exact"/>
        <w:rPr>
          <w:rFonts w:ascii="Arial" w:cs="Arial" w:eastAsia="Arial" w:hAnsi="Arial"/>
          <w:sz w:val="18"/>
          <w:szCs w:val="18"/>
          <w:color w:val="auto"/>
        </w:rPr>
      </w:pPr>
    </w:p>
    <w:p>
      <w:pPr>
        <w:jc w:val="both"/>
        <w:ind w:left="2260" w:right="459" w:hanging="352"/>
        <w:spacing w:after="0" w:line="263" w:lineRule="auto"/>
        <w:tabs>
          <w:tab w:leader="none" w:pos="2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regulators or IRBs requiring that we or our investigators suspend or terminate clinical research for various reasons, including noncompliance with regulatory requirements or safety concerns, among others;</w:t>
      </w:r>
    </w:p>
    <w:p>
      <w:pPr>
        <w:spacing w:after="0" w:line="75" w:lineRule="exact"/>
        <w:rPr>
          <w:rFonts w:ascii="Arial" w:cs="Arial" w:eastAsia="Arial" w:hAnsi="Arial"/>
          <w:sz w:val="18"/>
          <w:szCs w:val="18"/>
          <w:color w:val="auto"/>
        </w:rPr>
      </w:pPr>
    </w:p>
    <w:p>
      <w:pPr>
        <w:ind w:left="2260" w:hanging="352"/>
        <w:spacing w:after="0"/>
        <w:tabs>
          <w:tab w:leader="none" w:pos="2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lower than anticipated retention rates of patients and volunteers in clinical trials;</w:t>
      </w:r>
    </w:p>
    <w:p>
      <w:pPr>
        <w:spacing w:after="0" w:line="130" w:lineRule="exact"/>
        <w:rPr>
          <w:rFonts w:ascii="Arial" w:cs="Arial" w:eastAsia="Arial" w:hAnsi="Arial"/>
          <w:sz w:val="18"/>
          <w:szCs w:val="18"/>
          <w:color w:val="auto"/>
        </w:rPr>
      </w:pPr>
    </w:p>
    <w:p>
      <w:pPr>
        <w:ind w:left="2260" w:right="699" w:hanging="352"/>
        <w:spacing w:after="0" w:line="263" w:lineRule="auto"/>
        <w:tabs>
          <w:tab w:leader="none" w:pos="2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CROs or clinical trial sites failing to comply with regulatory requirements or meet their contractual obligations to us in a timely manner, or at all, deviating from the protocol or dropping out of a trial;</w:t>
      </w:r>
    </w:p>
    <w:p>
      <w:pPr>
        <w:spacing w:after="0" w:line="75" w:lineRule="exact"/>
        <w:rPr>
          <w:rFonts w:ascii="Arial" w:cs="Arial" w:eastAsia="Arial" w:hAnsi="Arial"/>
          <w:sz w:val="18"/>
          <w:szCs w:val="18"/>
          <w:color w:val="auto"/>
        </w:rPr>
      </w:pPr>
    </w:p>
    <w:p>
      <w:pPr>
        <w:ind w:left="2260" w:hanging="352"/>
        <w:spacing w:after="0"/>
        <w:tabs>
          <w:tab w:leader="none" w:pos="2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relating to adding new clinical trial sites;</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difficulty in maintaining contact with patients after treatment, resulting in incomplete data;</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establishing the appropriate dosage levels;</w:t>
      </w:r>
    </w:p>
    <w:p>
      <w:pPr>
        <w:spacing w:after="0" w:line="130" w:lineRule="exact"/>
        <w:rPr>
          <w:rFonts w:ascii="Arial" w:cs="Arial" w:eastAsia="Arial" w:hAnsi="Arial"/>
          <w:sz w:val="18"/>
          <w:szCs w:val="18"/>
          <w:color w:val="auto"/>
        </w:rPr>
      </w:pPr>
    </w:p>
    <w:p>
      <w:pPr>
        <w:ind w:left="2260" w:hanging="352"/>
        <w:spacing w:after="0"/>
        <w:tabs>
          <w:tab w:leader="none" w:pos="2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quality or stability of the product candidate falling below acceptable standards;</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60" w:right="779" w:hanging="352"/>
        <w:spacing w:after="0" w:line="263" w:lineRule="auto"/>
        <w:tabs>
          <w:tab w:leader="none" w:pos="2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to produce or obtain sufficient quantities of the product candidate to complete clinical trials on time, or delays in sufficiently developing, characterizing or controlling a manufacturing process suitable for clinical trials;</w:t>
      </w:r>
    </w:p>
    <w:p>
      <w:pPr>
        <w:spacing w:after="0" w:line="89" w:lineRule="exact"/>
        <w:rPr>
          <w:rFonts w:ascii="Arial" w:cs="Arial" w:eastAsia="Arial" w:hAnsi="Arial"/>
          <w:sz w:val="18"/>
          <w:szCs w:val="18"/>
          <w:color w:val="auto"/>
        </w:rPr>
      </w:pPr>
    </w:p>
    <w:p>
      <w:pPr>
        <w:ind w:left="2260" w:right="959" w:hanging="352"/>
        <w:spacing w:after="0" w:line="277" w:lineRule="auto"/>
        <w:tabs>
          <w:tab w:leader="none" w:pos="2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exceeding budgeted costs due to difficulty in accurately predicting costs associated with clinical trials;</w:t>
      </w:r>
    </w:p>
    <w:p>
      <w:pPr>
        <w:spacing w:after="0" w:line="62" w:lineRule="exact"/>
        <w:rPr>
          <w:rFonts w:ascii="Arial" w:cs="Arial" w:eastAsia="Arial" w:hAnsi="Arial"/>
          <w:sz w:val="18"/>
          <w:szCs w:val="18"/>
          <w:color w:val="auto"/>
        </w:rPr>
      </w:pPr>
    </w:p>
    <w:p>
      <w:pPr>
        <w:ind w:left="2260" w:hanging="352"/>
        <w:spacing w:after="0"/>
        <w:tabs>
          <w:tab w:leader="none" w:pos="2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117" w:lineRule="exact"/>
        <w:rPr>
          <w:rFonts w:ascii="Arial" w:cs="Arial" w:eastAsia="Arial" w:hAnsi="Arial"/>
          <w:sz w:val="18"/>
          <w:szCs w:val="18"/>
          <w:color w:val="auto"/>
        </w:rPr>
      </w:pPr>
    </w:p>
    <w:p>
      <w:pPr>
        <w:jc w:val="both"/>
        <w:ind w:left="2260" w:right="699" w:hanging="352"/>
        <w:spacing w:after="0" w:line="263" w:lineRule="auto"/>
        <w:tabs>
          <w:tab w:leader="none" w:pos="2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developments observed in trials conducted by competitors for related technology that raises general FDA or foreign regulatory authority concerns about risk to patients of gene therapy technology;</w:t>
      </w:r>
    </w:p>
    <w:p>
      <w:pPr>
        <w:spacing w:after="0" w:line="75" w:lineRule="exact"/>
        <w:rPr>
          <w:rFonts w:ascii="Arial" w:cs="Arial" w:eastAsia="Arial" w:hAnsi="Arial"/>
          <w:sz w:val="18"/>
          <w:szCs w:val="18"/>
          <w:color w:val="auto"/>
        </w:rPr>
      </w:pPr>
    </w:p>
    <w:p>
      <w:pPr>
        <w:ind w:left="2260" w:hanging="352"/>
        <w:spacing w:after="0"/>
        <w:tabs>
          <w:tab w:leader="none" w:pos="2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determination that the product will not be producible at the manufacturing stage; and</w:t>
      </w:r>
    </w:p>
    <w:p>
      <w:pPr>
        <w:spacing w:after="0" w:line="130" w:lineRule="exact"/>
        <w:rPr>
          <w:rFonts w:ascii="Arial" w:cs="Arial" w:eastAsia="Arial" w:hAnsi="Arial"/>
          <w:sz w:val="18"/>
          <w:szCs w:val="18"/>
          <w:color w:val="auto"/>
        </w:rPr>
      </w:pPr>
    </w:p>
    <w:p>
      <w:pPr>
        <w:ind w:left="2260" w:right="539" w:hanging="352"/>
        <w:spacing w:after="0" w:line="263" w:lineRule="auto"/>
        <w:tabs>
          <w:tab w:leader="none" w:pos="2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transfer of manufacturing processes to larger-scale facilities operated by a CMO or by us, and delays or failure by our CMOs or us to make any necessary changes to such manufacturing process.</w:t>
      </w:r>
    </w:p>
    <w:p>
      <w:pPr>
        <w:spacing w:after="0" w:line="103" w:lineRule="exact"/>
        <w:rPr>
          <w:sz w:val="20"/>
          <w:szCs w:val="20"/>
          <w:color w:val="auto"/>
        </w:rPr>
      </w:pPr>
    </w:p>
    <w:p>
      <w:pPr>
        <w:ind w:left="1260" w:right="439" w:firstLine="648"/>
        <w:spacing w:after="0" w:line="252" w:lineRule="auto"/>
        <w:rPr>
          <w:sz w:val="20"/>
          <w:szCs w:val="20"/>
          <w:color w:val="auto"/>
        </w:rPr>
      </w:pPr>
      <w:r>
        <w:rPr>
          <w:rFonts w:ascii="Arial" w:cs="Arial" w:eastAsia="Arial" w:hAnsi="Arial"/>
          <w:sz w:val="18"/>
          <w:szCs w:val="18"/>
          <w:color w:val="auto"/>
        </w:rPr>
        <w:t>Disruptions caused by the COVID-19 pandemic may increase the likelihood that we encounter such difficulties or delays in initiating, enrolling, conducting or completing our planned and ongoing clinical trials. 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130" w:lineRule="exact"/>
        <w:rPr>
          <w:sz w:val="20"/>
          <w:szCs w:val="20"/>
          <w:color w:val="auto"/>
        </w:rPr>
      </w:pPr>
    </w:p>
    <w:p>
      <w:pPr>
        <w:ind w:left="1260" w:right="619" w:firstLine="648"/>
        <w:spacing w:after="0" w:line="254" w:lineRule="auto"/>
        <w:rPr>
          <w:sz w:val="20"/>
          <w:szCs w:val="20"/>
          <w:color w:val="auto"/>
        </w:rPr>
      </w:pPr>
      <w:r>
        <w:rPr>
          <w:rFonts w:ascii="Arial" w:cs="Arial" w:eastAsia="Arial" w:hAnsi="Arial"/>
          <w:sz w:val="18"/>
          <w:szCs w:val="18"/>
          <w:color w:val="auto"/>
        </w:rPr>
        <w:t>In addition, preclinical and clinical data are often susceptible to varying interpretations and analyses. Many companies that believed their product candidates performed satisfactorily in preclinical studies and clinical trials have nonetheless failed to obtain marketing approval for the product candidates. The FDA, the EMA and comparable foreign regulatory authorities have substantial discretion in the approval process and in determining when or whether regulatory approval will be obtained for any of our product candidates. Even if we believe the data collected from clinical trials of our product candidates are promising, such data may not be sufficient to support approval by the FDA, the EMA or any other regulatory authority.</w:t>
      </w:r>
    </w:p>
    <w:p>
      <w:pPr>
        <w:spacing w:after="0" w:line="124" w:lineRule="exact"/>
        <w:rPr>
          <w:sz w:val="20"/>
          <w:szCs w:val="20"/>
          <w:color w:val="auto"/>
        </w:rPr>
      </w:pPr>
    </w:p>
    <w:p>
      <w:pPr>
        <w:ind w:left="1260" w:right="479" w:firstLine="648"/>
        <w:spacing w:after="0" w:line="279" w:lineRule="auto"/>
        <w:rPr>
          <w:sz w:val="20"/>
          <w:szCs w:val="20"/>
          <w:color w:val="auto"/>
        </w:rPr>
      </w:pPr>
      <w:r>
        <w:rPr>
          <w:rFonts w:ascii="Arial" w:cs="Arial" w:eastAsia="Arial" w:hAnsi="Arial"/>
          <w:sz w:val="17"/>
          <w:szCs w:val="17"/>
          <w:color w:val="auto"/>
        </w:rPr>
        <w:t>In some instances, there can be significant variability in safety and/or efficacy results between different trials of the same product candidate due to numerous factors, including changes in trial procedures set forth in protocols, differences in the size and type of the patient populations, adherence to the dosing regimen and other trial protocols and the rate of dropout among clinical trial participants.</w:t>
      </w:r>
    </w:p>
    <w:p>
      <w:pPr>
        <w:spacing w:after="0" w:line="90" w:lineRule="exact"/>
        <w:rPr>
          <w:sz w:val="20"/>
          <w:szCs w:val="20"/>
          <w:color w:val="auto"/>
        </w:rPr>
      </w:pPr>
    </w:p>
    <w:p>
      <w:pPr>
        <w:ind w:left="1260" w:right="439" w:firstLine="648"/>
        <w:spacing w:after="0" w:line="257"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that we develop beyond the trials and testing that we contemplate, if we are unable to successfully complete clinical trials of our product candidates or other testing, if the results of these trials or tests are unfavorable or are only modestly favorable, or if there are safety concerns associated with our other product candidates, we may:</w:t>
      </w:r>
    </w:p>
    <w:p>
      <w:pPr>
        <w:spacing w:after="0" w:line="80" w:lineRule="exact"/>
        <w:rPr>
          <w:sz w:val="20"/>
          <w:szCs w:val="20"/>
          <w:color w:val="auto"/>
        </w:rPr>
      </w:pPr>
    </w:p>
    <w:p>
      <w:pPr>
        <w:ind w:left="2260" w:hanging="352"/>
        <w:spacing w:after="0"/>
        <w:tabs>
          <w:tab w:leader="none" w:pos="2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30" w:lineRule="exact"/>
        <w:rPr>
          <w:rFonts w:ascii="Arial" w:cs="Arial" w:eastAsia="Arial" w:hAnsi="Arial"/>
          <w:sz w:val="18"/>
          <w:szCs w:val="18"/>
          <w:color w:val="auto"/>
        </w:rPr>
      </w:pPr>
    </w:p>
    <w:p>
      <w:pPr>
        <w:ind w:left="2260" w:hanging="352"/>
        <w:spacing w:after="0"/>
        <w:tabs>
          <w:tab w:leader="none" w:pos="2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2260" w:right="899" w:hanging="352"/>
        <w:spacing w:after="0" w:line="277" w:lineRule="auto"/>
        <w:tabs>
          <w:tab w:leader="none" w:pos="2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ectPr>
          <w:pgSz w:w="11900" w:h="16838" w:orient="portrait"/>
          <w:cols w:equalWidth="0" w:num="1">
            <w:col w:w="9879"/>
          </w:cols>
          <w:pgMar w:left="580" w:top="131"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60" w:right="1019" w:hanging="352"/>
        <w:spacing w:after="0" w:line="277" w:lineRule="auto"/>
        <w:tabs>
          <w:tab w:leader="none" w:pos="2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significant safety warnings, including boxed warnings;</w:t>
      </w:r>
    </w:p>
    <w:p>
      <w:pPr>
        <w:spacing w:after="0" w:line="62" w:lineRule="exact"/>
        <w:rPr>
          <w:rFonts w:ascii="Arial" w:cs="Arial" w:eastAsia="Arial" w:hAnsi="Arial"/>
          <w:sz w:val="18"/>
          <w:szCs w:val="18"/>
          <w:color w:val="auto"/>
        </w:rPr>
      </w:pPr>
    </w:p>
    <w:p>
      <w:pPr>
        <w:ind w:left="2260" w:hanging="352"/>
        <w:spacing w:after="0"/>
        <w:tabs>
          <w:tab w:leader="none" w:pos="2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 subject to additional post-marketing testing or other requirements; or</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remove the product from the market after obtaining marketing approval.</w:t>
      </w:r>
    </w:p>
    <w:p>
      <w:pPr>
        <w:spacing w:after="0" w:line="144" w:lineRule="exact"/>
        <w:rPr>
          <w:sz w:val="20"/>
          <w:szCs w:val="20"/>
          <w:color w:val="auto"/>
        </w:rPr>
      </w:pPr>
    </w:p>
    <w:p>
      <w:pPr>
        <w:ind w:left="1260" w:right="419" w:firstLine="648"/>
        <w:spacing w:after="0" w:line="238" w:lineRule="auto"/>
        <w:rPr>
          <w:sz w:val="20"/>
          <w:szCs w:val="20"/>
          <w:color w:val="auto"/>
        </w:rPr>
      </w:pPr>
      <w:r>
        <w:rPr>
          <w:rFonts w:ascii="Arial" w:cs="Arial" w:eastAsia="Arial" w:hAnsi="Arial"/>
          <w:sz w:val="18"/>
          <w:szCs w:val="18"/>
          <w:color w:val="auto"/>
        </w:rPr>
        <w:t>Our product development costs will also increase if we experience delays in testing or receiving marketing approvals and we may be required to obtain additional funds to complete clinical trials. We cannot assure you that our clinical trials will begin as planned or be completed on schedule, if at all, or that we will not need to restructure our trials after they have begun. Significant clinical trial delays also could shorten any periods during which we may have the exclusive right to commercialize our product candidates or allow our competitors to bring products to market before we do, which may harm our business and results of operations. In addition, some of the factors that cause, or lead to, clinical trial delays may ultimately lead to the denial of regulatory approval of our product candidates.</w:t>
      </w:r>
    </w:p>
    <w:p>
      <w:pPr>
        <w:spacing w:after="0" w:line="194" w:lineRule="exact"/>
        <w:rPr>
          <w:sz w:val="20"/>
          <w:szCs w:val="20"/>
          <w:color w:val="auto"/>
        </w:rPr>
      </w:pPr>
    </w:p>
    <w:p>
      <w:pPr>
        <w:jc w:val="both"/>
        <w:ind w:left="1260" w:right="419"/>
        <w:spacing w:after="0" w:line="248"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becomes available and are subject to audit and verification procedures that could result in material changes in the final data.</w:t>
      </w:r>
    </w:p>
    <w:p>
      <w:pPr>
        <w:spacing w:after="0" w:line="114" w:lineRule="exact"/>
        <w:rPr>
          <w:sz w:val="20"/>
          <w:szCs w:val="20"/>
          <w:color w:val="auto"/>
        </w:rPr>
      </w:pPr>
    </w:p>
    <w:p>
      <w:pPr>
        <w:ind w:left="1260" w:right="459" w:firstLine="648"/>
        <w:spacing w:after="0" w:line="237" w:lineRule="auto"/>
        <w:rPr>
          <w:sz w:val="20"/>
          <w:szCs w:val="20"/>
          <w:color w:val="auto"/>
        </w:rPr>
      </w:pPr>
      <w:r>
        <w:rPr>
          <w:rFonts w:ascii="Arial" w:cs="Arial" w:eastAsia="Arial" w:hAnsi="Arial"/>
          <w:sz w:val="18"/>
          <w:szCs w:val="18"/>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28" w:lineRule="exact"/>
        <w:rPr>
          <w:sz w:val="20"/>
          <w:szCs w:val="20"/>
          <w:color w:val="auto"/>
        </w:rPr>
      </w:pPr>
    </w:p>
    <w:p>
      <w:pPr>
        <w:ind w:left="1260" w:right="419" w:firstLine="648"/>
        <w:spacing w:after="0" w:line="239" w:lineRule="auto"/>
        <w:rPr>
          <w:sz w:val="20"/>
          <w:szCs w:val="20"/>
          <w:color w:val="auto"/>
        </w:rPr>
      </w:pPr>
      <w:r>
        <w:rPr>
          <w:rFonts w:ascii="Arial" w:cs="Arial" w:eastAsia="Arial" w:hAnsi="Arial"/>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becomes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 after this offering.</w:t>
      </w:r>
    </w:p>
    <w:p>
      <w:pPr>
        <w:spacing w:after="0" w:line="110" w:lineRule="exact"/>
        <w:rPr>
          <w:sz w:val="20"/>
          <w:szCs w:val="20"/>
          <w:color w:val="auto"/>
        </w:rPr>
      </w:pPr>
    </w:p>
    <w:p>
      <w:pPr>
        <w:ind w:left="1260" w:right="439" w:firstLine="648"/>
        <w:spacing w:after="0" w:line="239"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91" w:lineRule="exact"/>
        <w:rPr>
          <w:sz w:val="20"/>
          <w:szCs w:val="20"/>
          <w:color w:val="auto"/>
        </w:rPr>
      </w:pPr>
    </w:p>
    <w:p>
      <w:pPr>
        <w:ind w:left="1260" w:right="879"/>
        <w:spacing w:after="0" w:line="444" w:lineRule="auto"/>
        <w:rPr>
          <w:sz w:val="20"/>
          <w:szCs w:val="20"/>
          <w:color w:val="auto"/>
        </w:rPr>
      </w:pPr>
      <w:r>
        <w:rPr>
          <w:rFonts w:ascii="Arial" w:cs="Arial" w:eastAsia="Arial" w:hAnsi="Arial"/>
          <w:sz w:val="13"/>
          <w:szCs w:val="13"/>
          <w:b w:val="1"/>
          <w:bCs w:val="1"/>
          <w:i w:val="1"/>
          <w:iCs w:val="1"/>
          <w:color w:val="auto"/>
        </w:rPr>
        <w:t>If we encounter difficulties enrolling patients in our clinical trials, our clinical development activities could be delayed and result in increased costs and longer development periods or otherwise be adversely affected.</w:t>
      </w:r>
    </w:p>
    <w:p>
      <w:pPr>
        <w:ind w:left="1260" w:right="519" w:firstLine="648"/>
        <w:spacing w:after="0" w:line="257" w:lineRule="auto"/>
        <w:rPr>
          <w:sz w:val="20"/>
          <w:szCs w:val="20"/>
          <w:color w:val="auto"/>
        </w:rPr>
      </w:pPr>
      <w:r>
        <w:rPr>
          <w:rFonts w:ascii="Arial" w:cs="Arial" w:eastAsia="Arial" w:hAnsi="Arial"/>
          <w:sz w:val="17"/>
          <w:szCs w:val="17"/>
          <w:color w:val="auto"/>
        </w:rPr>
        <w:t>We will be required to identify and enroll a sufficient number of patients for our planned clinical trials. Trial participant enrollment could be limited in future trials given that many potential participants may be ineligible because of pre-existing conditions, medical treatments or other reasons. We may not be able to initiate or continue clinical trials required by the FDA, EMA or other foreign regulatory agencies or any of our other product candidates that we pursue if we are unable to locate and enroll a sufficient number of eligible patients or volunteers to participate in these clinical trials.</w:t>
      </w:r>
    </w:p>
    <w:p>
      <w:pPr>
        <w:spacing w:after="0" w:line="9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Patient enrollment is affected by other factors, including:</w:t>
      </w:r>
    </w:p>
    <w:p>
      <w:pPr>
        <w:spacing w:after="0" w:line="117" w:lineRule="exact"/>
        <w:rPr>
          <w:sz w:val="20"/>
          <w:szCs w:val="20"/>
          <w:color w:val="auto"/>
        </w:rPr>
      </w:pPr>
    </w:p>
    <w:p>
      <w:pPr>
        <w:ind w:left="2260" w:hanging="352"/>
        <w:spacing w:after="0"/>
        <w:tabs>
          <w:tab w:leader="none" w:pos="2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60" w:hanging="352"/>
        <w:spacing w:after="0"/>
        <w:tabs>
          <w:tab w:leader="none" w:pos="2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 of the clinical trial protocol;</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eligibility criteria for the trial in question;</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trial;</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perceived safety and tolerability of the product candidate;</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03" w:lineRule="exact"/>
        <w:rPr>
          <w:rFonts w:ascii="Arial" w:cs="Arial" w:eastAsia="Arial" w:hAnsi="Arial"/>
          <w:sz w:val="18"/>
          <w:szCs w:val="18"/>
          <w:color w:val="auto"/>
        </w:rPr>
      </w:pPr>
    </w:p>
    <w:p>
      <w:pPr>
        <w:ind w:left="2260" w:hanging="352"/>
        <w:spacing w:after="0"/>
        <w:tabs>
          <w:tab w:leader="none" w:pos="2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w:t>
      </w:r>
    </w:p>
    <w:p>
      <w:pPr>
        <w:spacing w:after="0" w:line="117" w:lineRule="exact"/>
        <w:rPr>
          <w:rFonts w:ascii="Arial" w:cs="Arial" w:eastAsia="Arial" w:hAnsi="Arial"/>
          <w:sz w:val="18"/>
          <w:szCs w:val="18"/>
          <w:color w:val="auto"/>
        </w:rPr>
      </w:pPr>
    </w:p>
    <w:p>
      <w:pPr>
        <w:jc w:val="both"/>
        <w:ind w:left="2260" w:right="459" w:hanging="352"/>
        <w:spacing w:after="0" w:line="263" w:lineRule="auto"/>
        <w:tabs>
          <w:tab w:leader="none" w:pos="2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drug being studied in relation to other available therapies, including standard-of-care and any new drugs that may be approved for the indications we are investigating;</w:t>
      </w:r>
    </w:p>
    <w:p>
      <w:pPr>
        <w:spacing w:after="0" w:line="75" w:lineRule="exact"/>
        <w:rPr>
          <w:rFonts w:ascii="Arial" w:cs="Arial" w:eastAsia="Arial" w:hAnsi="Arial"/>
          <w:sz w:val="18"/>
          <w:szCs w:val="18"/>
          <w:color w:val="auto"/>
        </w:rPr>
      </w:pPr>
    </w:p>
    <w:p>
      <w:pPr>
        <w:ind w:left="2260" w:hanging="352"/>
        <w:spacing w:after="0"/>
        <w:tabs>
          <w:tab w:leader="none" w:pos="2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effects of the COVID-19 pandemic on our clinical trial sites;</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monitor patients adequately during and after treatment.</w:t>
      </w:r>
    </w:p>
    <w:p>
      <w:pPr>
        <w:spacing w:after="0" w:line="158" w:lineRule="exact"/>
        <w:rPr>
          <w:sz w:val="20"/>
          <w:szCs w:val="20"/>
          <w:color w:val="auto"/>
        </w:rPr>
      </w:pPr>
    </w:p>
    <w:p>
      <w:pPr>
        <w:ind w:left="1260" w:right="439" w:firstLine="648"/>
        <w:spacing w:after="0" w:line="279" w:lineRule="auto"/>
        <w:rPr>
          <w:sz w:val="20"/>
          <w:szCs w:val="20"/>
          <w:color w:val="auto"/>
        </w:rPr>
      </w:pPr>
      <w:r>
        <w:rPr>
          <w:rFonts w:ascii="Arial" w:cs="Arial" w:eastAsia="Arial" w:hAnsi="Arial"/>
          <w:sz w:val="17"/>
          <w:szCs w:val="17"/>
          <w:color w:val="auto"/>
        </w:rPr>
        <w:t>We also may encounter difficulties in identifying and enrolling such patients with a stage of disease appropriate for our ongoing or future clinical trials. In addition, the process of finding and diagnosing patients may prove costly. Our inability to enroll a sufficient number of patients for any of our clinical trials would result in significant delays or may require us to abandon one or more clinical trials.</w:t>
      </w:r>
    </w:p>
    <w:p>
      <w:pPr>
        <w:spacing w:after="0" w:line="171" w:lineRule="exact"/>
        <w:rPr>
          <w:sz w:val="20"/>
          <w:szCs w:val="20"/>
          <w:color w:val="auto"/>
        </w:rPr>
      </w:pPr>
    </w:p>
    <w:p>
      <w:pPr>
        <w:ind w:left="1260" w:right="779"/>
        <w:spacing w:after="0" w:line="308" w:lineRule="auto"/>
        <w:rPr>
          <w:sz w:val="20"/>
          <w:szCs w:val="20"/>
          <w:color w:val="auto"/>
        </w:rPr>
      </w:pPr>
      <w:r>
        <w:rPr>
          <w:rFonts w:ascii="Arial" w:cs="Arial" w:eastAsia="Arial" w:hAnsi="Arial"/>
          <w:sz w:val="17"/>
          <w:szCs w:val="17"/>
          <w:b w:val="1"/>
          <w:bCs w:val="1"/>
          <w:i w:val="1"/>
          <w:iCs w:val="1"/>
          <w:color w:val="auto"/>
        </w:rPr>
        <w:t>We may face continued business disruption and related risks resulting from of the COVID-19 pandemic, which could have a material adverse effect on our business plan or clinical trials.</w:t>
      </w:r>
    </w:p>
    <w:p>
      <w:pPr>
        <w:spacing w:after="0" w:line="79" w:lineRule="exact"/>
        <w:rPr>
          <w:sz w:val="20"/>
          <w:szCs w:val="20"/>
          <w:color w:val="auto"/>
        </w:rPr>
      </w:pPr>
    </w:p>
    <w:p>
      <w:pPr>
        <w:ind w:left="1260" w:right="459" w:firstLine="648"/>
        <w:spacing w:after="0" w:line="267" w:lineRule="auto"/>
        <w:rPr>
          <w:sz w:val="20"/>
          <w:szCs w:val="20"/>
          <w:color w:val="auto"/>
        </w:rPr>
      </w:pPr>
      <w:r>
        <w:rPr>
          <w:rFonts w:ascii="Arial" w:cs="Arial" w:eastAsia="Arial" w:hAnsi="Arial"/>
          <w:sz w:val="17"/>
          <w:szCs w:val="17"/>
          <w:color w:val="auto"/>
        </w:rPr>
        <w:t>The development of our product candidates could be disrupted and materially adversely affected by the COVID-19 global pandemic. The extent to which the COVID-19 pandemic impacts our business will depend on future developments that are highly uncertain and cannot be accurately predicted, including new information that may emerge concerning COVID-19 and the evolving actions to contain COVID-19 or treat its impact, among others. Site initiation, participant recruitment and enrollment, participant dosing, distribution of clinical trial materials, study monitoring and data analysis may be paused or delayed (or continue to be paused or delayed) due to changes in hospital or university policies, federal, state or local regulations or restrictions, prioritization of hospital resources toward pandemic efforts, travel restrictions, concerns for patient safety in a pandemic environment, or other reasons related to the pandemic. Patient recruitment for our product candidates may be adversely impacted. For example, our ongoing trials for CV8102 may be delayed as a result of new oncology sites being inaccessible in Europe and the resulting increase in the competition for new patients. In addition, while we have not had any participants withdraw from our clinical trials or be prevented from accessing the clinical testing sites due to the COVID-19 pandemic, we can provide no assurance that patients will not withdraw from our trials in the future, which could delay our clinical development efforts for the relevant product candidates. Over the period from February to May 2020, sites in France, Italy and Spain were not available for trials. While these sites have resumed screening participants in June 2020, we can provide no assurance that sites will not be inaccessible again. In addition, participants enrolled in our CV7202 clinical trial could not access clinical sites for three months for blood draw samples, resulting in the need for us to adapt our clinical protocol to address the timing of site visits. We closely monitor the situation with the ongoing second wave of the COVID-19 pandemic.</w:t>
      </w:r>
    </w:p>
    <w:p>
      <w:pPr>
        <w:spacing w:after="0" w:line="104" w:lineRule="exact"/>
        <w:rPr>
          <w:sz w:val="20"/>
          <w:szCs w:val="20"/>
          <w:color w:val="auto"/>
        </w:rPr>
      </w:pPr>
    </w:p>
    <w:p>
      <w:pPr>
        <w:ind w:left="1260" w:right="439" w:firstLine="648"/>
        <w:spacing w:after="0" w:line="272" w:lineRule="auto"/>
        <w:rPr>
          <w:sz w:val="20"/>
          <w:szCs w:val="20"/>
          <w:color w:val="auto"/>
        </w:rPr>
      </w:pPr>
      <w:r>
        <w:rPr>
          <w:rFonts w:ascii="Arial" w:cs="Arial" w:eastAsia="Arial" w:hAnsi="Arial"/>
          <w:sz w:val="17"/>
          <w:szCs w:val="17"/>
          <w:color w:val="auto"/>
        </w:rPr>
        <w:t>We are currently devoting significant resources to the development of a vaccine against COVID-19. Although there is no assurance that we will be able to complete development of the vaccine successfully or in a timely manner, such development may impair our ability to timely progress other product candidates in clinical trials and increases our costs. Upon the outbreak of the COVID-19 pandemic, we determined to make the development of a vaccine candidate against COVID-19 a priority and to use our large scale GMP III facility to provide required material for a potential vaccine product candidate. While there is currently no larger production batch required for our other product candidates, this prioritization could</w:t>
      </w:r>
    </w:p>
    <w:p>
      <w:pPr>
        <w:sectPr>
          <w:pgSz w:w="11900" w:h="16838" w:orient="portrait"/>
          <w:cols w:equalWidth="0" w:num="1">
            <w:col w:w="9879"/>
          </w:cols>
          <w:pgMar w:left="580" w:top="131"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279400</wp:posOffset>
            </wp:positionV>
            <wp:extent cx="68065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39"/>
        <w:spacing w:after="0" w:line="238" w:lineRule="auto"/>
        <w:rPr>
          <w:sz w:val="20"/>
          <w:szCs w:val="20"/>
          <w:color w:val="auto"/>
        </w:rPr>
      </w:pPr>
      <w:r>
        <w:rPr>
          <w:rFonts w:ascii="Arial" w:cs="Arial" w:eastAsia="Arial" w:hAnsi="Arial"/>
          <w:sz w:val="18"/>
          <w:szCs w:val="18"/>
          <w:color w:val="auto"/>
        </w:rPr>
        <w:t>impact clinical development of our other product candidates if such a production need arises. Our research personnel dedicated to infectious diseases initially focused its efforts on optimizing vaccine constructs in preparation of a Phase 1 clinical trial, and such team is currently focused on our ongoing Phase 2b/3 clinical trial for our COVID-19 vaccine candidate, CVnCoV, and finalizing the analysis of the Phase 1 clinical trial and the first data read-out for the Phase 2a clinical trial. This focus may delay development of other potential infectious disease product candidates. We also postponed initially planned preclinical work on an influenza vaccine to later in 2021. We can provide no assurances that our focus on clinical development of a vaccine candidate against COVID-19 will not adversely impact clinical development of our other product candidates.</w:t>
      </w:r>
    </w:p>
    <w:p>
      <w:pPr>
        <w:spacing w:after="0" w:line="124" w:lineRule="exact"/>
        <w:rPr>
          <w:sz w:val="20"/>
          <w:szCs w:val="20"/>
          <w:color w:val="auto"/>
        </w:rPr>
      </w:pPr>
    </w:p>
    <w:p>
      <w:pPr>
        <w:ind w:left="1260" w:right="419" w:firstLine="648"/>
        <w:spacing w:after="0" w:line="250" w:lineRule="auto"/>
        <w:rPr>
          <w:sz w:val="20"/>
          <w:szCs w:val="20"/>
          <w:color w:val="auto"/>
        </w:rPr>
      </w:pPr>
      <w:r>
        <w:rPr>
          <w:rFonts w:ascii="Arial" w:cs="Arial" w:eastAsia="Arial" w:hAnsi="Arial"/>
          <w:sz w:val="17"/>
          <w:szCs w:val="17"/>
          <w:color w:val="auto"/>
        </w:rPr>
        <w:t>Some of our clinical trial sites are located in countries, which have experienced a shortage of medical staff due to the COVID-19 pandemic. In the event that clinical trial sites are adversely impacted or closed to enrollment in our trials, such impacts or closures could have a material adverse effect on our clinical trial plans and timelines. We may face difficulties enrolling or retaining patients in our ongoing and planned clinical trials if patients are affected by the virus or are fearful of visiting or traveling to our clinical trial sites because of the pandemic. In addition, due to the disruption of the pandemic to the global business outlook, we may face a shortage in the supply of materials that are necessary for the production of our product candidates. We cannot predict whether we will be able to continue to enroll new patients in our clinical trials, whether the clinical sites will continue to operate in a reduced capacity for the long term and whether strict restrictions on social distancing and mobility will resume due to a second wave of COVID-</w:t>
      </w:r>
    </w:p>
    <w:p>
      <w:pPr>
        <w:spacing w:after="0" w:line="5" w:lineRule="exact"/>
        <w:rPr>
          <w:sz w:val="20"/>
          <w:szCs w:val="20"/>
          <w:color w:val="auto"/>
        </w:rPr>
      </w:pPr>
    </w:p>
    <w:p>
      <w:pPr>
        <w:ind w:left="1260" w:right="619"/>
        <w:spacing w:after="0" w:line="237" w:lineRule="auto"/>
        <w:tabs>
          <w:tab w:leader="none" w:pos="15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example, some countries that recently lifted restrictions imposed due to COVID-19 have reported increasing number of COVID-19 cases and as a result re-imposed restrictions that could delay our clinical trials. Due to the evolving situation with respect to COVID-19, we are unable to predict the long-term consequences of COVID-19 on our business and ability to progress clinical development of our product candidates.</w:t>
      </w:r>
    </w:p>
    <w:p>
      <w:pPr>
        <w:spacing w:after="0" w:line="123" w:lineRule="exact"/>
        <w:rPr>
          <w:sz w:val="20"/>
          <w:szCs w:val="20"/>
          <w:color w:val="auto"/>
        </w:rPr>
      </w:pPr>
    </w:p>
    <w:p>
      <w:pPr>
        <w:ind w:left="1260" w:right="739" w:firstLine="648"/>
        <w:spacing w:after="0" w:line="261" w:lineRule="auto"/>
        <w:rPr>
          <w:sz w:val="20"/>
          <w:szCs w:val="20"/>
          <w:color w:val="auto"/>
        </w:rPr>
      </w:pPr>
      <w:r>
        <w:rPr>
          <w:rFonts w:ascii="Arial" w:cs="Arial" w:eastAsia="Arial" w:hAnsi="Arial"/>
          <w:sz w:val="18"/>
          <w:szCs w:val="18"/>
          <w:color w:val="auto"/>
        </w:rPr>
        <w:t>Moreover, if COVID -19 continues to spread, we may experience ongoing disruptions that could severely impact our business, preclinical studies and clinical trials, including:</w:t>
      </w:r>
    </w:p>
    <w:p>
      <w:pPr>
        <w:spacing w:after="0" w:line="63" w:lineRule="exact"/>
        <w:rPr>
          <w:sz w:val="20"/>
          <w:szCs w:val="20"/>
          <w:color w:val="auto"/>
        </w:rPr>
      </w:pPr>
    </w:p>
    <w:p>
      <w:pPr>
        <w:ind w:left="2260" w:right="919" w:hanging="352"/>
        <w:spacing w:after="0" w:line="277" w:lineRule="auto"/>
        <w:tabs>
          <w:tab w:leader="none" w:pos="2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receiving authorization from local regulatory authorities to initiate our planned clinical trials;</w:t>
      </w:r>
    </w:p>
    <w:p>
      <w:pPr>
        <w:spacing w:after="0" w:line="48" w:lineRule="exact"/>
        <w:rPr>
          <w:rFonts w:ascii="Arial" w:cs="Arial" w:eastAsia="Arial" w:hAnsi="Arial"/>
          <w:sz w:val="18"/>
          <w:szCs w:val="18"/>
          <w:color w:val="auto"/>
        </w:rPr>
      </w:pPr>
    </w:p>
    <w:p>
      <w:pPr>
        <w:ind w:left="2260" w:right="659" w:hanging="352"/>
        <w:spacing w:after="0" w:line="263" w:lineRule="auto"/>
        <w:tabs>
          <w:tab w:leader="none" w:pos="2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pandemic which may require us to change the ways in which our clinical trials are conducted, which may result in unexpected costs, or to discontinue the clinical trials altogether;</w:t>
      </w:r>
    </w:p>
    <w:p>
      <w:pPr>
        <w:spacing w:after="0" w:line="75" w:lineRule="exact"/>
        <w:rPr>
          <w:rFonts w:ascii="Arial" w:cs="Arial" w:eastAsia="Arial" w:hAnsi="Arial"/>
          <w:sz w:val="18"/>
          <w:szCs w:val="18"/>
          <w:color w:val="auto"/>
        </w:rPr>
      </w:pPr>
    </w:p>
    <w:p>
      <w:pPr>
        <w:jc w:val="both"/>
        <w:ind w:left="2260" w:right="1019" w:hanging="352"/>
        <w:spacing w:after="0" w:line="263" w:lineRule="auto"/>
        <w:tabs>
          <w:tab w:leader="none" w:pos="2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75" w:lineRule="exact"/>
        <w:rPr>
          <w:rFonts w:ascii="Arial" w:cs="Arial" w:eastAsia="Arial" w:hAnsi="Arial"/>
          <w:sz w:val="18"/>
          <w:szCs w:val="18"/>
          <w:color w:val="auto"/>
        </w:rPr>
      </w:pPr>
    </w:p>
    <w:p>
      <w:pPr>
        <w:ind w:left="2260" w:right="459" w:hanging="352"/>
        <w:spacing w:after="0" w:line="259" w:lineRule="auto"/>
        <w:tabs>
          <w:tab w:leader="none" w:pos="2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the occurrence of which could affect the integrity of clinical trial data;</w:t>
      </w:r>
    </w:p>
    <w:p>
      <w:pPr>
        <w:spacing w:after="0" w:line="78" w:lineRule="exact"/>
        <w:rPr>
          <w:rFonts w:ascii="Arial" w:cs="Arial" w:eastAsia="Arial" w:hAnsi="Arial"/>
          <w:sz w:val="18"/>
          <w:szCs w:val="18"/>
          <w:color w:val="auto"/>
        </w:rPr>
      </w:pPr>
    </w:p>
    <w:p>
      <w:pPr>
        <w:ind w:left="2260" w:right="459" w:hanging="352"/>
        <w:spacing w:after="0" w:line="263" w:lineRule="auto"/>
        <w:tabs>
          <w:tab w:leader="none" w:pos="2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risk that participants enrolled in our clinical trials will acquire COVID-19 while the clinical trial is ongoing, which could impact the results of the clinical trial, including by increasing the number of observed adverse events;</w:t>
      </w:r>
    </w:p>
    <w:p>
      <w:pPr>
        <w:spacing w:after="0" w:line="75" w:lineRule="exact"/>
        <w:rPr>
          <w:rFonts w:ascii="Arial" w:cs="Arial" w:eastAsia="Arial" w:hAnsi="Arial"/>
          <w:sz w:val="18"/>
          <w:szCs w:val="18"/>
          <w:color w:val="auto"/>
        </w:rPr>
      </w:pPr>
    </w:p>
    <w:p>
      <w:pPr>
        <w:ind w:left="2260" w:right="659" w:hanging="352"/>
        <w:spacing w:after="0" w:line="277" w:lineRule="auto"/>
        <w:tabs>
          <w:tab w:leader="none" w:pos="2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at our research and development laboratory facility;</w:t>
      </w:r>
    </w:p>
    <w:p>
      <w:pPr>
        <w:spacing w:after="0" w:line="62" w:lineRule="exact"/>
        <w:rPr>
          <w:rFonts w:ascii="Arial" w:cs="Arial" w:eastAsia="Arial" w:hAnsi="Arial"/>
          <w:sz w:val="18"/>
          <w:szCs w:val="18"/>
          <w:color w:val="auto"/>
        </w:rPr>
      </w:pPr>
    </w:p>
    <w:p>
      <w:pPr>
        <w:ind w:left="2260" w:right="639" w:hanging="352"/>
        <w:spacing w:after="0" w:line="263" w:lineRule="auto"/>
        <w:tabs>
          <w:tab w:leader="none" w:pos="2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75" w:lineRule="exact"/>
        <w:rPr>
          <w:rFonts w:ascii="Arial" w:cs="Arial" w:eastAsia="Arial" w:hAnsi="Arial"/>
          <w:sz w:val="18"/>
          <w:szCs w:val="18"/>
          <w:color w:val="auto"/>
        </w:rPr>
      </w:pPr>
    </w:p>
    <w:p>
      <w:pPr>
        <w:ind w:left="2260" w:right="779" w:hanging="352"/>
        <w:spacing w:after="0" w:line="263" w:lineRule="auto"/>
        <w:tabs>
          <w:tab w:leader="none" w:pos="2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62" w:lineRule="exact"/>
        <w:rPr>
          <w:rFonts w:ascii="Arial" w:cs="Arial" w:eastAsia="Arial" w:hAnsi="Arial"/>
          <w:sz w:val="18"/>
          <w:szCs w:val="18"/>
          <w:color w:val="auto"/>
        </w:rPr>
      </w:pPr>
    </w:p>
    <w:p>
      <w:pPr>
        <w:ind w:left="2260" w:hanging="352"/>
        <w:spacing w:after="0"/>
        <w:tabs>
          <w:tab w:leader="none" w:pos="2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 and</w:t>
      </w: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60" w:hanging="352"/>
        <w:spacing w:after="0"/>
        <w:tabs>
          <w:tab w:leader="none" w:pos="2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w:t>
      </w:r>
    </w:p>
    <w:p>
      <w:pPr>
        <w:spacing w:after="0" w:line="158" w:lineRule="exact"/>
        <w:rPr>
          <w:sz w:val="20"/>
          <w:szCs w:val="20"/>
          <w:color w:val="auto"/>
        </w:rPr>
      </w:pPr>
    </w:p>
    <w:p>
      <w:pPr>
        <w:ind w:left="1260" w:right="539" w:firstLine="648"/>
        <w:spacing w:after="0" w:line="277" w:lineRule="auto"/>
        <w:rPr>
          <w:sz w:val="20"/>
          <w:szCs w:val="20"/>
          <w:color w:val="auto"/>
        </w:rPr>
      </w:pPr>
      <w:r>
        <w:rPr>
          <w:rFonts w:ascii="Arial" w:cs="Arial" w:eastAsia="Arial" w:hAnsi="Arial"/>
          <w:sz w:val="18"/>
          <w:szCs w:val="18"/>
          <w:color w:val="auto"/>
        </w:rPr>
        <w:t>These and other disruptions in our operations and the global economy could negatively impact our business, operating results and financial condition.</w:t>
      </w:r>
    </w:p>
    <w:p>
      <w:pPr>
        <w:spacing w:after="0" w:line="103" w:lineRule="exact"/>
        <w:rPr>
          <w:sz w:val="20"/>
          <w:szCs w:val="20"/>
          <w:color w:val="auto"/>
        </w:rPr>
      </w:pPr>
    </w:p>
    <w:p>
      <w:pPr>
        <w:ind w:left="1260" w:right="419" w:firstLine="648"/>
        <w:spacing w:after="0" w:line="253" w:lineRule="auto"/>
        <w:rPr>
          <w:sz w:val="20"/>
          <w:szCs w:val="20"/>
          <w:color w:val="auto"/>
        </w:rPr>
      </w:pPr>
      <w:r>
        <w:rPr>
          <w:rFonts w:ascii="Arial" w:cs="Arial" w:eastAsia="Arial" w:hAnsi="Arial"/>
          <w:sz w:val="18"/>
          <w:szCs w:val="18"/>
          <w:color w:val="auto"/>
        </w:rPr>
        <w:t>In addition, quarantines, travel restrictions, shelter-in-place and similar government orders, or the perception that such orders, shutdowns or other restrictions on the conduct of business operations could occur, related to COVID-19 or other infectious diseases could impact personnel at third-party manufacturing facilities upon which we rely, or the availability or cost of materials, which could disrupt the supply chain for our product candidates. We have taken a series of actions aimed at safeguarding our employees and business associates, including regular PCR-based COVID-19 testing, implementing a work-from-home policy for employees except for those related to our production and laboratory operations, and these arrangements may cause reduced productivity of our employees and/or delays or disruptions of our business operations.</w:t>
      </w:r>
    </w:p>
    <w:p>
      <w:pPr>
        <w:spacing w:after="0" w:line="115" w:lineRule="exact"/>
        <w:rPr>
          <w:sz w:val="20"/>
          <w:szCs w:val="20"/>
          <w:color w:val="auto"/>
        </w:rPr>
      </w:pPr>
    </w:p>
    <w:p>
      <w:pPr>
        <w:ind w:left="1260" w:right="479" w:firstLine="648"/>
        <w:spacing w:after="0" w:line="257" w:lineRule="auto"/>
        <w:rPr>
          <w:sz w:val="20"/>
          <w:szCs w:val="20"/>
          <w:color w:val="auto"/>
        </w:rPr>
      </w:pPr>
      <w:r>
        <w:rPr>
          <w:rFonts w:ascii="Arial" w:cs="Arial" w:eastAsia="Arial" w:hAnsi="Arial"/>
          <w:sz w:val="18"/>
          <w:szCs w:val="18"/>
          <w:color w:val="auto"/>
        </w:rPr>
        <w:t>Our suppliers, licensors or collaborators could also be disrupted by conditions related to COVID-19, possibly resulting in disruption to our supply chain, clinical trials, partnerships or operations. If our suppliers, licensors, CMOs, CROs or collaborators are unable or fail to fulfill their obligations to us for any reason, our ability to continue meeting clinical supply demand for our product candidates or otherwise advancing development of our product candidates may become impaired.</w:t>
      </w:r>
    </w:p>
    <w:p>
      <w:pPr>
        <w:spacing w:after="0" w:line="120" w:lineRule="exact"/>
        <w:rPr>
          <w:sz w:val="20"/>
          <w:szCs w:val="20"/>
          <w:color w:val="auto"/>
        </w:rPr>
      </w:pPr>
    </w:p>
    <w:p>
      <w:pPr>
        <w:ind w:left="1260" w:right="499" w:firstLine="648"/>
        <w:spacing w:after="0" w:line="269" w:lineRule="auto"/>
        <w:rPr>
          <w:sz w:val="20"/>
          <w:szCs w:val="20"/>
          <w:color w:val="auto"/>
        </w:rPr>
      </w:pPr>
      <w:r>
        <w:rPr>
          <w:rFonts w:ascii="Arial" w:cs="Arial" w:eastAsia="Arial" w:hAnsi="Arial"/>
          <w:sz w:val="17"/>
          <w:szCs w:val="17"/>
          <w:color w:val="auto"/>
        </w:rPr>
        <w:t>The spread of COVID-19 and actions taken to reduce its spread may also materially affect us economically. While the potential economic impact brought by, and during the duration of, COVID-19 may be difficult to assess or predict, there could be a significant disruption of global financial markets, reducing our ability to access capital, which could in the future negatively affect our liquidity and financial position. COVID-19 and actions taken to reduce its spread continue to rapidly evolve. We continue to assess the impact COVID-19 may have on our clinical trial timelines, our ability to enroll candidates for clinical trials and obtain the materials that are required for the production of our product candidates, but there can be no assurance that this assessment will enable us to avoid part or all of any impact from the spread of COVID-19 or its consequences. The extent to which COVID-19 and global efforts to contain its spread may impede the development of our product candidates, reduce the productivity of our employees, disrupt our supply chains, delay our clinical trials, reduce our access to capital or limit our business development activities, will depend on future developments, which are highly uncertain and cannot be predicted with confidence.</w:t>
      </w:r>
    </w:p>
    <w:p>
      <w:pPr>
        <w:spacing w:after="0" w:line="111" w:lineRule="exact"/>
        <w:rPr>
          <w:sz w:val="20"/>
          <w:szCs w:val="20"/>
          <w:color w:val="auto"/>
        </w:rPr>
      </w:pPr>
    </w:p>
    <w:p>
      <w:pPr>
        <w:jc w:val="both"/>
        <w:ind w:left="1260" w:right="539" w:firstLine="648"/>
        <w:spacing w:after="0" w:line="259" w:lineRule="auto"/>
        <w:rPr>
          <w:sz w:val="20"/>
          <w:szCs w:val="20"/>
          <w:color w:val="auto"/>
        </w:rPr>
      </w:pPr>
      <w:r>
        <w:rPr>
          <w:rFonts w:ascii="Arial" w:cs="Arial" w:eastAsia="Arial" w:hAnsi="Arial"/>
          <w:sz w:val="18"/>
          <w:szCs w:val="18"/>
          <w:color w:val="auto"/>
        </w:rPr>
        <w:t>To the extent the COVID-19 pandemic adversely affects our business and financial results, it may also have the effect of heightening many of the other risks described in this “Risk Factors” section, such as those relating to the timing and results of our clinical trials, our ability to obtain materials that are required for the production of our product candidates, and our financing needs.</w:t>
      </w:r>
    </w:p>
    <w:p>
      <w:pPr>
        <w:spacing w:after="0" w:line="187" w:lineRule="exact"/>
        <w:rPr>
          <w:sz w:val="20"/>
          <w:szCs w:val="20"/>
          <w:color w:val="auto"/>
        </w:rPr>
      </w:pPr>
    </w:p>
    <w:p>
      <w:pPr>
        <w:ind w:left="1260" w:right="659"/>
        <w:spacing w:after="0" w:line="279" w:lineRule="auto"/>
        <w:rPr>
          <w:sz w:val="20"/>
          <w:szCs w:val="20"/>
          <w:color w:val="auto"/>
        </w:rPr>
      </w:pPr>
      <w:r>
        <w:rPr>
          <w:rFonts w:ascii="Arial" w:cs="Arial" w:eastAsia="Arial" w:hAnsi="Arial"/>
          <w:sz w:val="17"/>
          <w:szCs w:val="17"/>
          <w:b w:val="1"/>
          <w:bCs w:val="1"/>
          <w:i w:val="1"/>
          <w:iCs w:val="1"/>
          <w:color w:val="auto"/>
        </w:rPr>
        <w:t>Our proprietary product candidates are still in preclinical or clinical development. We cannot give any assurance that any of our product candidates will receive regulatory approval, and if we are unable to obtain regulatory approval and ultimately commercialize our product candidates or experience significant delays in doing so, our business will be materially harmed.</w:t>
      </w:r>
    </w:p>
    <w:p>
      <w:pPr>
        <w:spacing w:after="0" w:line="90" w:lineRule="exact"/>
        <w:rPr>
          <w:sz w:val="20"/>
          <w:szCs w:val="20"/>
          <w:color w:val="auto"/>
        </w:rPr>
      </w:pPr>
    </w:p>
    <w:p>
      <w:pPr>
        <w:ind w:left="1260" w:right="539" w:firstLine="648"/>
        <w:spacing w:after="0" w:line="269" w:lineRule="auto"/>
        <w:rPr>
          <w:sz w:val="20"/>
          <w:szCs w:val="20"/>
          <w:color w:val="auto"/>
        </w:rPr>
      </w:pPr>
      <w:r>
        <w:rPr>
          <w:rFonts w:ascii="Arial" w:cs="Arial" w:eastAsia="Arial" w:hAnsi="Arial"/>
          <w:sz w:val="17"/>
          <w:szCs w:val="17"/>
          <w:color w:val="auto"/>
        </w:rPr>
        <w:t>Our proprietary product candidates are still in preclinical or clinical development. Although we may receive certain payments from our collaboration partners, including upfront payments, payments for achieving certain development, regulatory or commercial milestones and royalties, our ability to generate revenue from our product candidates’ sales is dependent on receipt of regulatory approval for, and successful commercialization of, such product candidates, which may never occur. Our business and future success is in particular dependent on our ability to develop, either alone or in partnership, successfully, receive regulatory approval for and then successfully commercialize our proprietary product candidates. Each of our product candidates will require additional preclinical and/or clinical development, regulatory approval in multiple jurisdictions, manufacturing supply, substantial investment and significant marketing efforts before we generate any revenue from product sales or royalties. We are not permitted to market or promote any of our product candidates before we receive regulatory approval from applicable regulatory authorities. The success of our product candidates will depend on several factors, including the following:</w:t>
      </w:r>
    </w:p>
    <w:p>
      <w:pPr>
        <w:spacing w:after="0" w:line="84" w:lineRule="exact"/>
        <w:rPr>
          <w:sz w:val="20"/>
          <w:szCs w:val="20"/>
          <w:color w:val="auto"/>
        </w:rPr>
      </w:pPr>
    </w:p>
    <w:p>
      <w:pPr>
        <w:ind w:left="2260" w:hanging="352"/>
        <w:spacing w:after="0"/>
        <w:tabs>
          <w:tab w:leader="none" w:pos="2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successful completion of preclinical and/or clinical studies;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60" w:right="579" w:hanging="352"/>
        <w:spacing w:after="0" w:line="286" w:lineRule="auto"/>
        <w:tabs>
          <w:tab w:leader="none" w:pos="2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negative or inconclusive results from our clinical trials, the clinical trials of our collaborators or the clinical trials of others for product candidates similar to ours, leading to a decision or requirement to conduct additional preclinical testing or clinical trials or abandon a program;</w:t>
      </w:r>
    </w:p>
    <w:p>
      <w:pPr>
        <w:spacing w:after="0" w:line="57" w:lineRule="exact"/>
        <w:rPr>
          <w:rFonts w:ascii="Arial" w:cs="Arial" w:eastAsia="Arial" w:hAnsi="Arial"/>
          <w:sz w:val="17"/>
          <w:szCs w:val="17"/>
          <w:color w:val="auto"/>
        </w:rPr>
      </w:pPr>
    </w:p>
    <w:p>
      <w:pPr>
        <w:ind w:left="2260" w:hanging="352"/>
        <w:spacing w:after="0"/>
        <w:tabs>
          <w:tab w:leader="none" w:pos="2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successful enrollment of patients in, and completion of, clinical trials;</w:t>
      </w:r>
    </w:p>
    <w:p>
      <w:pPr>
        <w:spacing w:after="0" w:line="117" w:lineRule="exact"/>
        <w:rPr>
          <w:rFonts w:ascii="Arial" w:cs="Arial" w:eastAsia="Arial" w:hAnsi="Arial"/>
          <w:sz w:val="18"/>
          <w:szCs w:val="18"/>
          <w:color w:val="auto"/>
        </w:rPr>
      </w:pPr>
    </w:p>
    <w:p>
      <w:pPr>
        <w:ind w:left="2260" w:right="1279" w:hanging="352"/>
        <w:spacing w:after="0" w:line="277" w:lineRule="auto"/>
        <w:tabs>
          <w:tab w:leader="none" w:pos="2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strategic commitment to particular product candidates and indications by us and our collaborators;</w:t>
      </w:r>
    </w:p>
    <w:p>
      <w:pPr>
        <w:spacing w:after="0" w:line="62" w:lineRule="exact"/>
        <w:rPr>
          <w:rFonts w:ascii="Arial" w:cs="Arial" w:eastAsia="Arial" w:hAnsi="Arial"/>
          <w:sz w:val="18"/>
          <w:szCs w:val="18"/>
          <w:color w:val="auto"/>
        </w:rPr>
      </w:pPr>
    </w:p>
    <w:p>
      <w:pPr>
        <w:ind w:left="2260" w:right="659" w:hanging="352"/>
        <w:spacing w:after="0" w:line="277" w:lineRule="auto"/>
        <w:tabs>
          <w:tab w:leader="none" w:pos="2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receipt of regulatory authorizations from applicable regulatory authorities for future clinical trials;</w:t>
      </w:r>
    </w:p>
    <w:p>
      <w:pPr>
        <w:spacing w:after="0" w:line="62" w:lineRule="exact"/>
        <w:rPr>
          <w:rFonts w:ascii="Arial" w:cs="Arial" w:eastAsia="Arial" w:hAnsi="Arial"/>
          <w:sz w:val="18"/>
          <w:szCs w:val="18"/>
          <w:color w:val="auto"/>
        </w:rPr>
      </w:pPr>
    </w:p>
    <w:p>
      <w:pPr>
        <w:ind w:left="2260" w:right="979" w:hanging="352"/>
        <w:spacing w:after="0" w:line="277" w:lineRule="auto"/>
        <w:tabs>
          <w:tab w:leader="none" w:pos="2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receipt of product approvals, including marketing approvals, from applicable regulatory authorities;</w:t>
      </w:r>
    </w:p>
    <w:p>
      <w:pPr>
        <w:spacing w:after="0" w:line="62" w:lineRule="exact"/>
        <w:rPr>
          <w:rFonts w:ascii="Arial" w:cs="Arial" w:eastAsia="Arial" w:hAnsi="Arial"/>
          <w:sz w:val="18"/>
          <w:szCs w:val="18"/>
          <w:color w:val="auto"/>
        </w:rPr>
      </w:pPr>
    </w:p>
    <w:p>
      <w:pPr>
        <w:ind w:left="2260" w:right="459" w:hanging="352"/>
        <w:spacing w:after="0" w:line="277" w:lineRule="auto"/>
        <w:tabs>
          <w:tab w:leader="none" w:pos="2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successful completion of all safety studies required to obtain regulatory approval in the United States, the European Union and other jurisdictions for our product candidates;</w:t>
      </w:r>
    </w:p>
    <w:p>
      <w:pPr>
        <w:spacing w:after="0" w:line="62" w:lineRule="exact"/>
        <w:rPr>
          <w:rFonts w:ascii="Arial" w:cs="Arial" w:eastAsia="Arial" w:hAnsi="Arial"/>
          <w:sz w:val="18"/>
          <w:szCs w:val="18"/>
          <w:color w:val="auto"/>
        </w:rPr>
      </w:pPr>
    </w:p>
    <w:p>
      <w:pPr>
        <w:ind w:left="2260" w:right="599" w:hanging="352"/>
        <w:spacing w:after="0" w:line="277" w:lineRule="auto"/>
        <w:tabs>
          <w:tab w:leader="none" w:pos="2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or regulatory exclusivity for our product candidates;</w:t>
      </w:r>
    </w:p>
    <w:p>
      <w:pPr>
        <w:spacing w:after="0" w:line="62" w:lineRule="exact"/>
        <w:rPr>
          <w:rFonts w:ascii="Arial" w:cs="Arial" w:eastAsia="Arial" w:hAnsi="Arial"/>
          <w:sz w:val="18"/>
          <w:szCs w:val="18"/>
          <w:color w:val="auto"/>
        </w:rPr>
      </w:pPr>
    </w:p>
    <w:p>
      <w:pPr>
        <w:ind w:left="2260" w:right="459" w:hanging="352"/>
        <w:spacing w:after="0" w:line="277" w:lineRule="auto"/>
        <w:tabs>
          <w:tab w:leader="none" w:pos="2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others;</w:t>
      </w:r>
    </w:p>
    <w:p>
      <w:pPr>
        <w:spacing w:after="0" w:line="62" w:lineRule="exact"/>
        <w:rPr>
          <w:rFonts w:ascii="Arial" w:cs="Arial" w:eastAsia="Arial" w:hAnsi="Arial"/>
          <w:sz w:val="18"/>
          <w:szCs w:val="18"/>
          <w:color w:val="auto"/>
        </w:rPr>
      </w:pPr>
    </w:p>
    <w:p>
      <w:pPr>
        <w:ind w:left="2260" w:right="1219" w:hanging="352"/>
        <w:spacing w:after="0" w:line="277" w:lineRule="auto"/>
        <w:tabs>
          <w:tab w:leader="none" w:pos="2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acceptance of the product candidates, if and when approved, by patients, the medical community and third-party payors;</w:t>
      </w:r>
    </w:p>
    <w:p>
      <w:pPr>
        <w:spacing w:after="0" w:line="62" w:lineRule="exact"/>
        <w:rPr>
          <w:rFonts w:ascii="Arial" w:cs="Arial" w:eastAsia="Arial" w:hAnsi="Arial"/>
          <w:sz w:val="18"/>
          <w:szCs w:val="18"/>
          <w:color w:val="auto"/>
        </w:rPr>
      </w:pPr>
    </w:p>
    <w:p>
      <w:pPr>
        <w:ind w:left="2260" w:hanging="352"/>
        <w:spacing w:after="0"/>
        <w:tabs>
          <w:tab w:leader="none" w:pos="2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obtaining and maintaining coverage and adequate reimbursement from third-party payors;</w:t>
      </w:r>
    </w:p>
    <w:p>
      <w:pPr>
        <w:spacing w:after="0" w:line="117" w:lineRule="exact"/>
        <w:rPr>
          <w:rFonts w:ascii="Arial" w:cs="Arial" w:eastAsia="Arial" w:hAnsi="Arial"/>
          <w:sz w:val="18"/>
          <w:szCs w:val="18"/>
          <w:color w:val="auto"/>
        </w:rPr>
      </w:pPr>
    </w:p>
    <w:p>
      <w:pPr>
        <w:ind w:left="2260" w:right="419" w:hanging="352"/>
        <w:spacing w:after="0" w:line="277" w:lineRule="auto"/>
        <w:tabs>
          <w:tab w:leader="none" w:pos="2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obtaining, maintaining, enforcing and defending intellectual property and intellectual property-related claims;</w:t>
      </w:r>
    </w:p>
    <w:p>
      <w:pPr>
        <w:spacing w:after="0" w:line="62" w:lineRule="exact"/>
        <w:rPr>
          <w:rFonts w:ascii="Arial" w:cs="Arial" w:eastAsia="Arial" w:hAnsi="Arial"/>
          <w:sz w:val="18"/>
          <w:szCs w:val="18"/>
          <w:color w:val="auto"/>
        </w:rPr>
      </w:pPr>
    </w:p>
    <w:p>
      <w:pPr>
        <w:ind w:left="2260" w:right="1059" w:hanging="352"/>
        <w:spacing w:after="0" w:line="277" w:lineRule="auto"/>
        <w:tabs>
          <w:tab w:leader="none" w:pos="2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maintaining a continued acceptable safety and quality profile of the product candidates following approval; and</w:t>
      </w:r>
    </w:p>
    <w:p>
      <w:pPr>
        <w:spacing w:after="0" w:line="62" w:lineRule="exact"/>
        <w:rPr>
          <w:rFonts w:ascii="Arial" w:cs="Arial" w:eastAsia="Arial" w:hAnsi="Arial"/>
          <w:sz w:val="18"/>
          <w:szCs w:val="18"/>
          <w:color w:val="auto"/>
        </w:rPr>
      </w:pPr>
    </w:p>
    <w:p>
      <w:pPr>
        <w:ind w:left="2260" w:hanging="352"/>
        <w:spacing w:after="0"/>
        <w:tabs>
          <w:tab w:leader="none" w:pos="2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maintaining a continued, sufficient supply of drug substance in acceptable quality.</w:t>
      </w:r>
    </w:p>
    <w:p>
      <w:pPr>
        <w:spacing w:after="0" w:line="144" w:lineRule="exact"/>
        <w:rPr>
          <w:sz w:val="20"/>
          <w:szCs w:val="20"/>
          <w:color w:val="auto"/>
        </w:rPr>
      </w:pPr>
    </w:p>
    <w:p>
      <w:pPr>
        <w:ind w:left="1260" w:right="699" w:firstLine="648"/>
        <w:spacing w:after="0" w:line="257" w:lineRule="auto"/>
        <w:rPr>
          <w:sz w:val="20"/>
          <w:szCs w:val="20"/>
          <w:color w:val="auto"/>
        </w:rPr>
      </w:pPr>
      <w:r>
        <w:rPr>
          <w:rFonts w:ascii="Arial" w:cs="Arial" w:eastAsia="Arial" w:hAnsi="Arial"/>
          <w:sz w:val="18"/>
          <w:szCs w:val="18"/>
          <w:color w:val="auto"/>
        </w:rPr>
        <w:t>If we do not achieve one or more of these factors in a complete and timely manner or at all, we could experience significant delays or an inability to successfully commercialize our product candidates, which would materially adversely affect our business, financial condition, results of operations and prospects and, in case of product candidates, technologies and licenses we have acquired, may result in a significant impairment of assets.</w:t>
      </w:r>
    </w:p>
    <w:p>
      <w:pPr>
        <w:spacing w:after="0" w:line="120" w:lineRule="exact"/>
        <w:rPr>
          <w:sz w:val="20"/>
          <w:szCs w:val="20"/>
          <w:color w:val="auto"/>
        </w:rPr>
      </w:pPr>
    </w:p>
    <w:p>
      <w:pPr>
        <w:ind w:left="1260" w:right="479" w:firstLine="648"/>
        <w:spacing w:after="0" w:line="252" w:lineRule="auto"/>
        <w:rPr>
          <w:sz w:val="20"/>
          <w:szCs w:val="20"/>
          <w:color w:val="auto"/>
        </w:rPr>
      </w:pPr>
      <w:r>
        <w:rPr>
          <w:rFonts w:ascii="Arial" w:cs="Arial" w:eastAsia="Arial" w:hAnsi="Arial"/>
          <w:sz w:val="18"/>
          <w:szCs w:val="18"/>
          <w:color w:val="auto"/>
        </w:rPr>
        <w:t>Although we expect to submit biologics license applications, or BLAs, for our mRNA-based product candidates in the United States, and in the European Union, mRNA-based medicines have been classified as gene therapy medicinal products, other jurisdictions may consider our mRNA-based product candidates to be new drugs, not biologics or gene therapy medicinal products, and require different marketing applications. In addition, we have not previously submitted a BLA, to the FDA or similar regulatory approval filings to comparable foreign authorities, for any product candidate, and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 Even if we successfully obtain regulatory approvals to market one or more of our product candidates, our revenues will be dependent, in part, upon the size of the markets in the territories for which we gain regulatory approval and have commercial rights. If the markets for patient subsets that we are targeting are not as significant as we estimate, we may not generate significant revenues from sales of such products, if approved.</w:t>
      </w:r>
    </w:p>
    <w:p>
      <w:pPr>
        <w:spacing w:after="0" w:line="130" w:lineRule="exact"/>
        <w:rPr>
          <w:sz w:val="20"/>
          <w:szCs w:val="20"/>
          <w:color w:val="auto"/>
        </w:rPr>
      </w:pPr>
    </w:p>
    <w:p>
      <w:pPr>
        <w:ind w:left="1260" w:right="499" w:firstLine="648"/>
        <w:spacing w:after="0" w:line="286" w:lineRule="auto"/>
        <w:rPr>
          <w:sz w:val="20"/>
          <w:szCs w:val="20"/>
          <w:color w:val="auto"/>
        </w:rPr>
      </w:pPr>
      <w:r>
        <w:rPr>
          <w:rFonts w:ascii="Arial" w:cs="Arial" w:eastAsia="Arial" w:hAnsi="Arial"/>
          <w:sz w:val="17"/>
          <w:szCs w:val="17"/>
          <w:color w:val="auto"/>
        </w:rPr>
        <w:t>We plan to seek regulatory approval to commercialize our product candidates both in the United States and the EU, and potentially in additional foreign countries. While the scope of regulatory approval is similar in other countries, to obtain separate regulatory approval in many other countries, we must comply</w:t>
      </w:r>
    </w:p>
    <w:p>
      <w:pPr>
        <w:sectPr>
          <w:pgSz w:w="11900" w:h="16838" w:orient="portrait"/>
          <w:cols w:equalWidth="0" w:num="1">
            <w:col w:w="9879"/>
          </w:cols>
          <w:pgMar w:left="580" w:top="131" w:right="1440" w:bottom="1440" w:gutter="0" w:footer="0" w:header="0"/>
        </w:sectPr>
      </w:pP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4" w:name="page35"/>
    <w:bookmarkEnd w:id="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559"/>
        <w:spacing w:after="0" w:line="248" w:lineRule="auto"/>
        <w:rPr>
          <w:sz w:val="20"/>
          <w:szCs w:val="20"/>
          <w:color w:val="auto"/>
        </w:rPr>
      </w:pPr>
      <w:r>
        <w:rPr>
          <w:rFonts w:ascii="Arial" w:cs="Arial" w:eastAsia="Arial" w:hAnsi="Arial"/>
          <w:sz w:val="18"/>
          <w:szCs w:val="18"/>
          <w:color w:val="auto"/>
        </w:rPr>
        <w:t>with numerous and varying regulatory requirements of such countries regarding safety and efficacy and governing, among other things, clinical trials and commercial sales, pricing and distribution of our product candidates, and we cannot predict success in these jurisdictions.</w:t>
      </w:r>
    </w:p>
    <w:p>
      <w:pPr>
        <w:spacing w:after="0" w:line="182" w:lineRule="exact"/>
        <w:rPr>
          <w:sz w:val="20"/>
          <w:szCs w:val="20"/>
          <w:color w:val="auto"/>
        </w:rPr>
      </w:pPr>
    </w:p>
    <w:p>
      <w:pPr>
        <w:ind w:left="1260" w:right="979"/>
        <w:spacing w:after="0" w:line="261" w:lineRule="auto"/>
        <w:rPr>
          <w:sz w:val="20"/>
          <w:szCs w:val="20"/>
          <w:color w:val="auto"/>
        </w:rPr>
      </w:pPr>
      <w:r>
        <w:rPr>
          <w:rFonts w:ascii="Arial" w:cs="Arial" w:eastAsia="Arial" w:hAnsi="Arial"/>
          <w:sz w:val="18"/>
          <w:szCs w:val="18"/>
          <w:b w:val="1"/>
          <w:bCs w:val="1"/>
          <w:i w:val="1"/>
          <w:iCs w:val="1"/>
          <w:color w:val="auto"/>
        </w:rPr>
        <w:t>We have no history of commercializing pharmaceutical products, which may make it difficult to evaluate the prospects for our future viability.</w:t>
      </w:r>
    </w:p>
    <w:p>
      <w:pPr>
        <w:spacing w:after="0" w:line="103" w:lineRule="exact"/>
        <w:rPr>
          <w:sz w:val="20"/>
          <w:szCs w:val="20"/>
          <w:color w:val="auto"/>
        </w:rPr>
      </w:pPr>
    </w:p>
    <w:p>
      <w:pPr>
        <w:ind w:left="1260" w:right="439" w:firstLine="648"/>
        <w:spacing w:after="0" w:line="252" w:lineRule="auto"/>
        <w:rPr>
          <w:sz w:val="20"/>
          <w:szCs w:val="20"/>
          <w:color w:val="auto"/>
        </w:rPr>
      </w:pPr>
      <w:r>
        <w:rPr>
          <w:rFonts w:ascii="Arial" w:cs="Arial" w:eastAsia="Arial" w:hAnsi="Arial"/>
          <w:sz w:val="17"/>
          <w:szCs w:val="17"/>
          <w:color w:val="auto"/>
        </w:rPr>
        <w:t>We commenced operations in 2000 and have a long track record of performing clinical trials with multiple product candidates since 2008. Our operations to date have been limited to establishing our company, raising capital, developing our proprietary mRNA technology platform, identifying and testing potential product candidates and conducting clinical trials. We have not yet demonstrated an ability to successfully conduct late -stage clinical trials, obtain marketing approvals, manufacture a commercial-scale product, or arrange for a third-party to do so on our behalf, or conduct sales and marketing activities necessary for successful product commercialization. Accordingly, you should consider our prospects in light of the costs, uncertainties, delays and difficulties frequently encountered by companies in the early stages of development, especially clinical- stage biopharmaceutical companies such as ours. Any predictions you make about our future success or viability may not be as accurate as they could be if we had a longer operating history or a history of successfully developing and commercializing pharmaceutical products.</w:t>
      </w:r>
    </w:p>
    <w:p>
      <w:pPr>
        <w:spacing w:after="0" w:line="118" w:lineRule="exact"/>
        <w:rPr>
          <w:sz w:val="20"/>
          <w:szCs w:val="20"/>
          <w:color w:val="auto"/>
        </w:rPr>
      </w:pPr>
    </w:p>
    <w:p>
      <w:pPr>
        <w:ind w:left="1260" w:right="439" w:firstLine="648"/>
        <w:spacing w:after="0" w:line="243" w:lineRule="auto"/>
        <w:rPr>
          <w:sz w:val="20"/>
          <w:szCs w:val="20"/>
          <w:color w:val="auto"/>
        </w:rPr>
      </w:pPr>
      <w:r>
        <w:rPr>
          <w:rFonts w:ascii="Arial" w:cs="Arial" w:eastAsia="Arial" w:hAnsi="Arial"/>
          <w:sz w:val="18"/>
          <w:szCs w:val="18"/>
          <w:color w:val="auto"/>
        </w:rPr>
        <w:t>We may encounter unforeseen expenses, difficulties, complications, delays and other known or unknown factors in achieving our business objectives. We will eventually need to transition from a company with a development focus to a company capable of supporting commercial activities. We may not be successful in such a transition.</w:t>
      </w:r>
    </w:p>
    <w:p>
      <w:pPr>
        <w:spacing w:after="0" w:line="107" w:lineRule="exact"/>
        <w:rPr>
          <w:sz w:val="20"/>
          <w:szCs w:val="20"/>
          <w:color w:val="auto"/>
        </w:rPr>
      </w:pPr>
    </w:p>
    <w:p>
      <w:pPr>
        <w:ind w:left="1260" w:right="479" w:firstLine="648"/>
        <w:spacing w:after="0" w:line="243" w:lineRule="auto"/>
        <w:rPr>
          <w:sz w:val="20"/>
          <w:szCs w:val="20"/>
          <w:color w:val="auto"/>
        </w:rPr>
      </w:pPr>
      <w:r>
        <w:rPr>
          <w:rFonts w:ascii="Arial" w:cs="Arial" w:eastAsia="Arial" w:hAnsi="Arial"/>
          <w:sz w:val="18"/>
          <w:szCs w:val="18"/>
          <w:color w:val="auto"/>
        </w:rPr>
        <w:t>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188" w:lineRule="exact"/>
        <w:rPr>
          <w:sz w:val="20"/>
          <w:szCs w:val="20"/>
          <w:color w:val="auto"/>
        </w:rPr>
      </w:pPr>
    </w:p>
    <w:p>
      <w:pPr>
        <w:ind w:left="1260" w:right="419"/>
        <w:spacing w:after="0" w:line="248" w:lineRule="auto"/>
        <w:rPr>
          <w:sz w:val="20"/>
          <w:szCs w:val="20"/>
          <w:color w:val="auto"/>
        </w:rPr>
      </w:pPr>
      <w:r>
        <w:rPr>
          <w:rFonts w:ascii="Arial" w:cs="Arial" w:eastAsia="Arial" w:hAnsi="Arial"/>
          <w:sz w:val="18"/>
          <w:szCs w:val="18"/>
          <w:b w:val="1"/>
          <w:bCs w:val="1"/>
          <w:i w:val="1"/>
          <w:iCs w:val="1"/>
          <w:color w:val="auto"/>
        </w:rPr>
        <w:t>Our product candidates may cause undesirable side effects that could delay or prevent their regulatory approval, limit the commercial profile of an approved label or result in significant negative consequences following regulatory approval, if any.</w:t>
      </w:r>
    </w:p>
    <w:p>
      <w:pPr>
        <w:spacing w:after="0" w:line="114" w:lineRule="exact"/>
        <w:rPr>
          <w:sz w:val="20"/>
          <w:szCs w:val="20"/>
          <w:color w:val="auto"/>
        </w:rPr>
      </w:pPr>
    </w:p>
    <w:p>
      <w:pPr>
        <w:ind w:left="1260" w:right="459" w:firstLine="648"/>
        <w:spacing w:after="0" w:line="238" w:lineRule="auto"/>
        <w:rPr>
          <w:sz w:val="20"/>
          <w:szCs w:val="20"/>
          <w:color w:val="auto"/>
        </w:rPr>
      </w:pPr>
      <w:r>
        <w:rPr>
          <w:rFonts w:ascii="Arial" w:cs="Arial" w:eastAsia="Arial" w:hAnsi="Arial"/>
          <w:sz w:val="18"/>
          <w:szCs w:val="18"/>
          <w:color w:val="auto"/>
        </w:rPr>
        <w:t>Undesirable side effects that may be caused by our product candidates could cause us, our collaboration partners or the regulatory authorities to interrupt, delay or halt clinical trials and could result in a more restrictive label or the delay or denial of regulatory approval by the FDA, EMA or comparable foreign regulatory authorities. Results of our trials could reveal a high and unacceptable severity and prevalence of side effects. In such an event, our trials could be suspended or terminated and the FDA, EMA or comparable foreign regulatory authorities could order us to cease further development of or deny approval of our product candidates for any or all targeted indications. The product-related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21" w:lineRule="exact"/>
        <w:rPr>
          <w:sz w:val="20"/>
          <w:szCs w:val="20"/>
          <w:color w:val="auto"/>
        </w:rPr>
      </w:pPr>
    </w:p>
    <w:p>
      <w:pPr>
        <w:ind w:left="1260" w:right="439" w:firstLine="648"/>
        <w:spacing w:after="0"/>
        <w:rPr>
          <w:sz w:val="20"/>
          <w:szCs w:val="20"/>
          <w:color w:val="auto"/>
        </w:rPr>
      </w:pPr>
      <w:r>
        <w:rPr>
          <w:rFonts w:ascii="Arial" w:cs="Arial" w:eastAsia="Arial" w:hAnsi="Arial"/>
          <w:sz w:val="18"/>
          <w:szCs w:val="18"/>
          <w:color w:val="auto"/>
        </w:rPr>
        <w:t>Clinical trials assess a sample of the potential patient population. With a limited number of patients and duration of exposure, rare and severe side effects of our product candidates may only be uncovered with a significantly larger number of patients exposed to the product candidate. If our product candidates receive regulatory approval and we or others identify undesirable side effects caused by such product candidates (or any other similar products) after such approval, a number of potentially significant negative consequences could result, including:</w:t>
      </w:r>
    </w:p>
    <w:p>
      <w:pPr>
        <w:spacing w:after="0" w:line="68" w:lineRule="exact"/>
        <w:rPr>
          <w:sz w:val="20"/>
          <w:szCs w:val="20"/>
          <w:color w:val="auto"/>
        </w:rPr>
      </w:pPr>
    </w:p>
    <w:p>
      <w:pPr>
        <w:ind w:left="2260" w:right="759" w:hanging="352"/>
        <w:spacing w:after="0" w:line="277" w:lineRule="auto"/>
        <w:tabs>
          <w:tab w:leader="none" w:pos="2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product candidates and require us to take our approved product(s) off the market;</w:t>
      </w:r>
    </w:p>
    <w:p>
      <w:pPr>
        <w:spacing w:after="0" w:line="62" w:lineRule="exact"/>
        <w:rPr>
          <w:rFonts w:ascii="Arial" w:cs="Arial" w:eastAsia="Arial" w:hAnsi="Arial"/>
          <w:sz w:val="18"/>
          <w:szCs w:val="18"/>
          <w:color w:val="auto"/>
        </w:rPr>
      </w:pPr>
    </w:p>
    <w:p>
      <w:pPr>
        <w:ind w:left="2260" w:right="859" w:hanging="352"/>
        <w:spacing w:after="0" w:line="308" w:lineRule="auto"/>
        <w:tabs>
          <w:tab w:leader="none" w:pos="2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regulatory authorities may require the addition of labeling statements, such as a “boxed” warning or a contraindication, or submission of field alerts to physicians and pharmacies;</w:t>
      </w:r>
    </w:p>
    <w:p>
      <w:pPr>
        <w:spacing w:after="0" w:line="38" w:lineRule="exact"/>
        <w:rPr>
          <w:rFonts w:ascii="Arial" w:cs="Arial" w:eastAsia="Arial" w:hAnsi="Arial"/>
          <w:sz w:val="17"/>
          <w:szCs w:val="17"/>
          <w:color w:val="auto"/>
        </w:rPr>
      </w:pPr>
    </w:p>
    <w:p>
      <w:pPr>
        <w:ind w:left="2260" w:right="759" w:hanging="352"/>
        <w:spacing w:after="0" w:line="277" w:lineRule="auto"/>
        <w:tabs>
          <w:tab w:leader="none" w:pos="2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60" w:right="439" w:hanging="352"/>
        <w:spacing w:after="0" w:line="308" w:lineRule="auto"/>
        <w:tabs>
          <w:tab w:leader="none" w:pos="22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may be required to change the way such product candidates are distributed or administered, conduct additional clinical trials or change the labeling of the product candidates;</w:t>
      </w:r>
    </w:p>
    <w:p>
      <w:pPr>
        <w:spacing w:after="0" w:line="38" w:lineRule="exact"/>
        <w:rPr>
          <w:rFonts w:ascii="Arial" w:cs="Arial" w:eastAsia="Arial" w:hAnsi="Arial"/>
          <w:sz w:val="17"/>
          <w:szCs w:val="17"/>
          <w:color w:val="auto"/>
        </w:rPr>
      </w:pPr>
    </w:p>
    <w:p>
      <w:pPr>
        <w:ind w:left="2260" w:right="639" w:hanging="352"/>
        <w:spacing w:after="0" w:line="308" w:lineRule="auto"/>
        <w:tabs>
          <w:tab w:leader="none" w:pos="22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actual or potential drug-related side effects could negatively affect patient recruitment or the ability of enrolled patients to complete a trial for our products or product candidates;</w:t>
      </w:r>
    </w:p>
    <w:p>
      <w:pPr>
        <w:spacing w:after="0" w:line="38" w:lineRule="exact"/>
        <w:rPr>
          <w:rFonts w:ascii="Arial" w:cs="Arial" w:eastAsia="Arial" w:hAnsi="Arial"/>
          <w:sz w:val="17"/>
          <w:szCs w:val="17"/>
          <w:color w:val="auto"/>
        </w:rPr>
      </w:pPr>
    </w:p>
    <w:p>
      <w:pPr>
        <w:ind w:left="2260" w:right="519" w:hanging="352"/>
        <w:spacing w:after="0" w:line="277" w:lineRule="auto"/>
        <w:tabs>
          <w:tab w:leader="none" w:pos="2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market acceptance of our products by patients and physicians may be reduced and sales of the product may decrease significantly;</w:t>
      </w:r>
    </w:p>
    <w:p>
      <w:pPr>
        <w:spacing w:after="0" w:line="48" w:lineRule="exact"/>
        <w:rPr>
          <w:rFonts w:ascii="Arial" w:cs="Arial" w:eastAsia="Arial" w:hAnsi="Arial"/>
          <w:sz w:val="18"/>
          <w:szCs w:val="18"/>
          <w:color w:val="auto"/>
        </w:rPr>
      </w:pPr>
    </w:p>
    <w:p>
      <w:pPr>
        <w:ind w:left="2260" w:right="459" w:hanging="352"/>
        <w:spacing w:after="0" w:line="259" w:lineRule="auto"/>
        <w:tabs>
          <w:tab w:leader="none" w:pos="2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authorities may require a Risk Evaluation and Mitigation Strategy, or REMS, plan to mitigate risks, which could include medication guides, physician communication plans, or elements to assure safe use, such as restricted distribution methods, patient registries and other risk minimization tools;</w:t>
      </w:r>
    </w:p>
    <w:p>
      <w:pPr>
        <w:spacing w:after="0" w:line="78" w:lineRule="exact"/>
        <w:rPr>
          <w:rFonts w:ascii="Arial" w:cs="Arial" w:eastAsia="Arial" w:hAnsi="Arial"/>
          <w:sz w:val="18"/>
          <w:szCs w:val="18"/>
          <w:color w:val="auto"/>
        </w:rPr>
      </w:pPr>
    </w:p>
    <w:p>
      <w:pPr>
        <w:ind w:left="2260" w:hanging="352"/>
        <w:spacing w:after="0"/>
        <w:tabs>
          <w:tab w:leader="none" w:pos="2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103" w:lineRule="exact"/>
        <w:rPr>
          <w:rFonts w:ascii="Arial" w:cs="Arial" w:eastAsia="Arial" w:hAnsi="Arial"/>
          <w:sz w:val="18"/>
          <w:szCs w:val="18"/>
          <w:color w:val="auto"/>
        </w:rPr>
      </w:pPr>
    </w:p>
    <w:p>
      <w:pPr>
        <w:ind w:left="2260" w:hanging="352"/>
        <w:spacing w:after="0"/>
        <w:tabs>
          <w:tab w:leader="none" w:pos="2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decide or be required to remove such product candidates from the marketplace;</w:t>
      </w:r>
    </w:p>
    <w:p>
      <w:pPr>
        <w:spacing w:after="0" w:line="117" w:lineRule="exact"/>
        <w:rPr>
          <w:rFonts w:ascii="Arial" w:cs="Arial" w:eastAsia="Arial" w:hAnsi="Arial"/>
          <w:sz w:val="18"/>
          <w:szCs w:val="18"/>
          <w:color w:val="auto"/>
        </w:rPr>
      </w:pPr>
    </w:p>
    <w:p>
      <w:pPr>
        <w:ind w:left="2260" w:right="819" w:hanging="352"/>
        <w:spacing w:after="0" w:line="277" w:lineRule="auto"/>
        <w:tabs>
          <w:tab w:leader="none" w:pos="2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could be sued and potentially held liable for injury caused to individuals exposed to or taking our product candidates;</w:t>
      </w:r>
    </w:p>
    <w:p>
      <w:pPr>
        <w:spacing w:after="0" w:line="48" w:lineRule="exact"/>
        <w:rPr>
          <w:rFonts w:ascii="Arial" w:cs="Arial" w:eastAsia="Arial" w:hAnsi="Arial"/>
          <w:sz w:val="18"/>
          <w:szCs w:val="18"/>
          <w:color w:val="auto"/>
        </w:rPr>
      </w:pPr>
    </w:p>
    <w:p>
      <w:pPr>
        <w:ind w:left="2260" w:hanging="352"/>
        <w:spacing w:after="0"/>
        <w:tabs>
          <w:tab w:leader="none" w:pos="2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of the product(s) may decrease substantially; and</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58" w:lineRule="exact"/>
        <w:rPr>
          <w:sz w:val="20"/>
          <w:szCs w:val="20"/>
          <w:color w:val="auto"/>
        </w:rPr>
      </w:pPr>
    </w:p>
    <w:p>
      <w:pPr>
        <w:ind w:left="1260" w:right="919" w:firstLine="648"/>
        <w:spacing w:after="0" w:line="243"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candidates and could substantially increase the costs of commercializing our product candidates, if approved, and therefore could have a material adverse effect on our business, financial condition, results of operations and prospects.</w:t>
      </w:r>
    </w:p>
    <w:p>
      <w:pPr>
        <w:spacing w:after="0" w:line="188" w:lineRule="exact"/>
        <w:rPr>
          <w:sz w:val="20"/>
          <w:szCs w:val="20"/>
          <w:color w:val="auto"/>
        </w:rPr>
      </w:pPr>
    </w:p>
    <w:p>
      <w:pPr>
        <w:ind w:left="1260" w:right="479"/>
        <w:spacing w:after="0" w:line="259" w:lineRule="auto"/>
        <w:rPr>
          <w:sz w:val="20"/>
          <w:szCs w:val="20"/>
          <w:color w:val="auto"/>
        </w:rPr>
      </w:pPr>
      <w:r>
        <w:rPr>
          <w:rFonts w:ascii="Arial" w:cs="Arial" w:eastAsia="Arial" w:hAnsi="Arial"/>
          <w:sz w:val="17"/>
          <w:szCs w:val="17"/>
          <w:b w:val="1"/>
          <w:bCs w:val="1"/>
          <w:i w:val="1"/>
          <w:iCs w:val="1"/>
          <w:color w:val="auto"/>
        </w:rPr>
        <w:t>To date, a limited number of products that utilize mRNA as a prophylactic vaccine against COVID-19 have been approved in the United States and Europe, subject to certain limitations. In addition, no product that utilizes mRNA as a therapeutic vaccine has been approved in the United States or Europe. As such, mRNA drug development has substantial clinical development and regulatory risks due to the novel and unprecedented nature of this new category of medicines.</w:t>
      </w:r>
    </w:p>
    <w:p>
      <w:pPr>
        <w:spacing w:after="0" w:line="93" w:lineRule="exact"/>
        <w:rPr>
          <w:sz w:val="20"/>
          <w:szCs w:val="20"/>
          <w:color w:val="auto"/>
        </w:rPr>
      </w:pPr>
    </w:p>
    <w:p>
      <w:pPr>
        <w:ind w:left="1260" w:right="459" w:firstLine="648"/>
        <w:spacing w:after="0" w:line="238" w:lineRule="auto"/>
        <w:rPr>
          <w:sz w:val="20"/>
          <w:szCs w:val="20"/>
          <w:color w:val="auto"/>
        </w:rPr>
      </w:pPr>
      <w:r>
        <w:rPr>
          <w:rFonts w:ascii="Arial" w:cs="Arial" w:eastAsia="Arial" w:hAnsi="Arial"/>
          <w:sz w:val="18"/>
          <w:szCs w:val="18"/>
          <w:color w:val="auto"/>
        </w:rPr>
        <w:t>No product that utilizes mRNA as a therapeutic vaccine has been approved in the United States or Europe. In addition, a limited number of products that utilize mRNA as a prophylactic vaccine against COVID-19 have been approved by the FDA, EMA and other regulatory agencies. Such approvals were provided after parallelized clinical trials, and may be subject to ongoing review by the FDA, EMA or other regulatory agencies, and in some cases may be canceled, expire or subject to lengthy renewal. Successful discovery, development and continued market presence of mRNA-based (and other) products by either us or our collaborators is highly uncertain and depends on numerous factors, many of which are beyond our or their control. Our product candidates that appear promising in the early phases of development may fail to advance, experience delays in the clinic or clinical holds, fail to reach the market or stay in the market for many reasons, including:</w:t>
      </w:r>
    </w:p>
    <w:p>
      <w:pPr>
        <w:spacing w:after="0" w:line="80" w:lineRule="exact"/>
        <w:rPr>
          <w:sz w:val="20"/>
          <w:szCs w:val="20"/>
          <w:color w:val="auto"/>
        </w:rPr>
      </w:pPr>
    </w:p>
    <w:p>
      <w:pPr>
        <w:ind w:left="2260" w:hanging="352"/>
        <w:spacing w:after="0"/>
        <w:tabs>
          <w:tab w:leader="none" w:pos="2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discovery efforts aimed at identifying potential immunotherapies may not be successful;</w:t>
      </w:r>
    </w:p>
    <w:p>
      <w:pPr>
        <w:spacing w:after="0" w:line="117" w:lineRule="exact"/>
        <w:rPr>
          <w:rFonts w:ascii="Arial" w:cs="Arial" w:eastAsia="Arial" w:hAnsi="Arial"/>
          <w:sz w:val="18"/>
          <w:szCs w:val="18"/>
          <w:color w:val="auto"/>
        </w:rPr>
      </w:pPr>
    </w:p>
    <w:p>
      <w:pPr>
        <w:ind w:left="2260" w:right="599" w:hanging="352"/>
        <w:spacing w:after="0" w:line="277" w:lineRule="auto"/>
        <w:tabs>
          <w:tab w:leader="none" w:pos="2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nonclinical or preclinical study results may show product candidates to be less effective than desired or have harmful or problematic side effects;</w:t>
      </w:r>
    </w:p>
    <w:p>
      <w:pPr>
        <w:spacing w:after="0" w:line="62" w:lineRule="exact"/>
        <w:rPr>
          <w:rFonts w:ascii="Arial" w:cs="Arial" w:eastAsia="Arial" w:hAnsi="Arial"/>
          <w:sz w:val="18"/>
          <w:szCs w:val="18"/>
          <w:color w:val="auto"/>
        </w:rPr>
      </w:pPr>
    </w:p>
    <w:p>
      <w:pPr>
        <w:ind w:left="2260" w:right="999" w:hanging="352"/>
        <w:spacing w:after="0" w:line="263" w:lineRule="auto"/>
        <w:tabs>
          <w:tab w:leader="none" w:pos="2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clinical trial results may show the product candidates to be less effective than expected, including a failure to meet one or more endpoints or have unacceptable side effects or toxicities;</w:t>
      </w:r>
    </w:p>
    <w:p>
      <w:pPr>
        <w:spacing w:after="0" w:line="62" w:lineRule="exact"/>
        <w:rPr>
          <w:rFonts w:ascii="Arial" w:cs="Arial" w:eastAsia="Arial" w:hAnsi="Arial"/>
          <w:sz w:val="18"/>
          <w:szCs w:val="18"/>
          <w:color w:val="auto"/>
        </w:rPr>
      </w:pPr>
    </w:p>
    <w:p>
      <w:pPr>
        <w:ind w:left="2260" w:right="759" w:hanging="352"/>
        <w:spacing w:after="0" w:line="263" w:lineRule="auto"/>
        <w:tabs>
          <w:tab w:leader="none" w:pos="2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manufacturing failures or insufficient supply of GMP materials for clinical trials, or higher than expected cost could delay or set back clinical trials, or make our product candidates commercially unattractive;</w:t>
      </w:r>
    </w:p>
    <w:p>
      <w:pPr>
        <w:spacing w:after="0" w:line="75" w:lineRule="exact"/>
        <w:rPr>
          <w:rFonts w:ascii="Arial" w:cs="Arial" w:eastAsia="Arial" w:hAnsi="Arial"/>
          <w:sz w:val="18"/>
          <w:szCs w:val="18"/>
          <w:color w:val="auto"/>
        </w:rPr>
      </w:pPr>
    </w:p>
    <w:p>
      <w:pPr>
        <w:ind w:left="2260" w:right="499" w:hanging="352"/>
        <w:spacing w:after="0" w:line="308" w:lineRule="auto"/>
        <w:tabs>
          <w:tab w:leader="none" w:pos="22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improvements in the manufacturing processes may not be sufficient to satisfy the clinical or commercial demand of our product candidates or regulatory requirements for clinical trials;</w:t>
      </w:r>
    </w:p>
    <w:p>
      <w:pPr>
        <w:spacing w:after="0" w:line="24" w:lineRule="exact"/>
        <w:rPr>
          <w:rFonts w:ascii="Arial" w:cs="Arial" w:eastAsia="Arial" w:hAnsi="Arial"/>
          <w:sz w:val="17"/>
          <w:szCs w:val="17"/>
          <w:color w:val="auto"/>
        </w:rPr>
      </w:pPr>
    </w:p>
    <w:p>
      <w:pPr>
        <w:ind w:left="2260" w:right="479" w:hanging="352"/>
        <w:spacing w:after="0" w:line="277" w:lineRule="auto"/>
        <w:tabs>
          <w:tab w:leader="none" w:pos="2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that we make to optimize our manufacturing, testing or formulating of GMP materials could impact the safety, tolerability and efficacy of our product candidates;</w:t>
      </w:r>
    </w:p>
    <w:p>
      <w:pPr>
        <w:sectPr>
          <w:pgSz w:w="11900" w:h="16838" w:orient="portrait"/>
          <w:cols w:equalWidth="0" w:num="1">
            <w:col w:w="9879"/>
          </w:cols>
          <w:pgMar w:left="580" w:top="131"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6" w:name="page37"/>
    <w:bookmarkEnd w:id="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60" w:right="1059" w:hanging="352"/>
        <w:spacing w:after="0" w:line="277" w:lineRule="auto"/>
        <w:tabs>
          <w:tab w:leader="none" w:pos="2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pricing or reimbursement issues or other factors could delay clinical trials or make any immunotherapy uneconomical or noncompetitive with other therapies;</w:t>
      </w:r>
    </w:p>
    <w:p>
      <w:pPr>
        <w:spacing w:after="0" w:line="62" w:lineRule="exact"/>
        <w:rPr>
          <w:rFonts w:ascii="Arial" w:cs="Arial" w:eastAsia="Arial" w:hAnsi="Arial"/>
          <w:sz w:val="18"/>
          <w:szCs w:val="18"/>
          <w:color w:val="auto"/>
        </w:rPr>
      </w:pPr>
    </w:p>
    <w:p>
      <w:pPr>
        <w:ind w:left="2260" w:right="499" w:hanging="352"/>
        <w:spacing w:after="0" w:line="254" w:lineRule="auto"/>
        <w:tabs>
          <w:tab w:leader="none" w:pos="2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failure to timely advance our programs or receive the necessary regulatory approvals, or a delay in receiving such approvals, due to, among other reasons, slow or failure to complete enrollment in clinical trials, withdrawal by trial participants from trials, failure to achieve trial endpoints, additional time requirements for data analysis, data integrity issues, BLA, MAA or the equivalent application, discussions with the FDA or the EMA, a regulatory request for additional nonclinical or clinical data, or safety formulation or manufacturing issues may lead to our inability to obtain sufficient funding; and</w:t>
      </w:r>
    </w:p>
    <w:p>
      <w:pPr>
        <w:spacing w:after="0" w:line="86" w:lineRule="exact"/>
        <w:rPr>
          <w:rFonts w:ascii="Arial" w:cs="Arial" w:eastAsia="Arial" w:hAnsi="Arial"/>
          <w:sz w:val="18"/>
          <w:szCs w:val="18"/>
          <w:color w:val="auto"/>
        </w:rPr>
      </w:pPr>
    </w:p>
    <w:p>
      <w:pPr>
        <w:ind w:left="2260" w:right="1219" w:hanging="352"/>
        <w:spacing w:after="0" w:line="277" w:lineRule="auto"/>
        <w:tabs>
          <w:tab w:leader="none" w:pos="2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proprietary rights, products and technologies of our competitors may prevent our immunotherapies from being commercialized.</w:t>
      </w:r>
    </w:p>
    <w:p>
      <w:pPr>
        <w:spacing w:after="0" w:line="89" w:lineRule="exact"/>
        <w:rPr>
          <w:sz w:val="20"/>
          <w:szCs w:val="20"/>
          <w:color w:val="auto"/>
        </w:rPr>
      </w:pPr>
    </w:p>
    <w:p>
      <w:pPr>
        <w:ind w:left="1260" w:right="439" w:firstLine="648"/>
        <w:spacing w:after="0" w:line="253" w:lineRule="auto"/>
        <w:rPr>
          <w:sz w:val="20"/>
          <w:szCs w:val="20"/>
          <w:color w:val="auto"/>
        </w:rPr>
      </w:pPr>
      <w:r>
        <w:rPr>
          <w:rFonts w:ascii="Arial" w:cs="Arial" w:eastAsia="Arial" w:hAnsi="Arial"/>
          <w:sz w:val="17"/>
          <w:szCs w:val="17"/>
          <w:color w:val="auto"/>
        </w:rPr>
        <w:t>Although we expect to submit biologics license applications, or BLAs, for our mRNA-based product candidates in the United States and in the European Union, mRNA-based medicines have been classified as gene therapy medicinal products. Unlike certain gene therapies that irreversibly alter cell DNA and may cause certain side effects, mRNA-based medicines are designed not to irreversibly change cell DNA. Side effects observed in other gene therapies, however, could negatively impact the perception of immunotherapies despite the differences in mechanism. Due to the circumstances surrounding the approval of mRNA based vaccines against COVID-19, the regulatory pathway for future mRNA products in the United States and other jurisdictions for approval is uncertain. The length of time necessary to complete clinical trials and submit an application for marketing approval by a regulatory authority varies significantly from one pharmaceutical product to the next and may be difficult to predict.</w:t>
      </w:r>
    </w:p>
    <w:p>
      <w:pPr>
        <w:spacing w:after="0" w:line="180" w:lineRule="exact"/>
        <w:rPr>
          <w:sz w:val="20"/>
          <w:szCs w:val="20"/>
          <w:color w:val="auto"/>
        </w:rPr>
      </w:pPr>
    </w:p>
    <w:p>
      <w:pPr>
        <w:ind w:left="1260" w:right="439"/>
        <w:spacing w:after="0" w:line="262" w:lineRule="auto"/>
        <w:rPr>
          <w:sz w:val="20"/>
          <w:szCs w:val="20"/>
          <w:color w:val="auto"/>
        </w:rPr>
      </w:pPr>
      <w:r>
        <w:rPr>
          <w:rFonts w:ascii="Arial" w:cs="Arial" w:eastAsia="Arial" w:hAnsi="Arial"/>
          <w:sz w:val="17"/>
          <w:szCs w:val="17"/>
          <w:b w:val="1"/>
          <w:bCs w:val="1"/>
          <w:i w:val="1"/>
          <w:iCs w:val="1"/>
          <w:color w:val="auto"/>
        </w:rPr>
        <w:t>The regulatory approval processes of the FDA and comparable foreign authorities are lengthy, time consuming and inherently unpredictable and if we fail to obtain regulatory approval in any jurisdiction, we will not be able to commercialize our products in that jurisdiction and our business, results of operations, financial condition and prospects, may be materially adversely affected.</w:t>
      </w:r>
    </w:p>
    <w:p>
      <w:pPr>
        <w:spacing w:after="0" w:line="105" w:lineRule="exact"/>
        <w:rPr>
          <w:sz w:val="20"/>
          <w:szCs w:val="20"/>
          <w:color w:val="auto"/>
        </w:rPr>
      </w:pPr>
    </w:p>
    <w:p>
      <w:pPr>
        <w:ind w:left="1260" w:right="439" w:firstLine="648"/>
        <w:spacing w:after="0" w:line="238" w:lineRule="auto"/>
        <w:rPr>
          <w:sz w:val="20"/>
          <w:szCs w:val="20"/>
          <w:color w:val="auto"/>
        </w:rPr>
      </w:pPr>
      <w:r>
        <w:rPr>
          <w:rFonts w:ascii="Arial" w:cs="Arial" w:eastAsia="Arial" w:hAnsi="Arial"/>
          <w:sz w:val="18"/>
          <w:szCs w:val="18"/>
          <w:color w:val="auto"/>
        </w:rPr>
        <w:t>The time required to obtain approval by the FDA, EMA and comparable foreign authorities is unpredictable but typically takes many years following the commencement of clinical trials and depends upon numerous factors, including the substantial discretion of the regulatory authorities. In addition, approval laws, regulations, policies or the type and amount of clinical data or other information necessary to gain approval may change during the course of a product candidate’s clinical development and may vary among jurisdictions. We have not obtained regulatory approval for any product candidate, and it is possible that none of our existing product candidates or any product candidates we may seek to develop in the future will ever obtain regulatory approval.</w:t>
      </w:r>
    </w:p>
    <w:p>
      <w:pPr>
        <w:spacing w:after="0" w:line="126" w:lineRule="exact"/>
        <w:rPr>
          <w:sz w:val="20"/>
          <w:szCs w:val="20"/>
          <w:color w:val="auto"/>
        </w:rPr>
      </w:pPr>
    </w:p>
    <w:p>
      <w:pPr>
        <w:ind w:left="1260" w:right="699" w:firstLine="648"/>
        <w:spacing w:after="0" w:line="261" w:lineRule="auto"/>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63" w:lineRule="exact"/>
        <w:rPr>
          <w:sz w:val="20"/>
          <w:szCs w:val="20"/>
          <w:color w:val="auto"/>
        </w:rPr>
      </w:pPr>
    </w:p>
    <w:p>
      <w:pPr>
        <w:ind w:left="2260" w:right="599" w:hanging="352"/>
        <w:spacing w:after="0" w:line="277" w:lineRule="auto"/>
        <w:tabs>
          <w:tab w:leader="none" w:pos="2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FDA, EMA or comparable foreign regulatory authorities may disagree with the design or implementation of our clinical trials;</w:t>
      </w:r>
    </w:p>
    <w:p>
      <w:pPr>
        <w:spacing w:after="0" w:line="48" w:lineRule="exact"/>
        <w:rPr>
          <w:rFonts w:ascii="Arial" w:cs="Arial" w:eastAsia="Arial" w:hAnsi="Arial"/>
          <w:sz w:val="18"/>
          <w:szCs w:val="18"/>
          <w:color w:val="auto"/>
        </w:rPr>
      </w:pPr>
    </w:p>
    <w:p>
      <w:pPr>
        <w:ind w:left="2260" w:right="479" w:hanging="352"/>
        <w:spacing w:after="0" w:line="308" w:lineRule="auto"/>
        <w:tabs>
          <w:tab w:leader="none" w:pos="22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may be unable to demonstrate to the satisfaction of the FDA, EMA or comparable foreign regulatory authorities that a product candidate is safe and effective for its proposed indication;</w:t>
      </w:r>
    </w:p>
    <w:p>
      <w:pPr>
        <w:spacing w:after="0" w:line="38" w:lineRule="exact"/>
        <w:rPr>
          <w:rFonts w:ascii="Arial" w:cs="Arial" w:eastAsia="Arial" w:hAnsi="Arial"/>
          <w:sz w:val="17"/>
          <w:szCs w:val="17"/>
          <w:color w:val="auto"/>
        </w:rPr>
      </w:pPr>
    </w:p>
    <w:p>
      <w:pPr>
        <w:jc w:val="both"/>
        <w:ind w:left="2260" w:right="559" w:hanging="352"/>
        <w:spacing w:after="0" w:line="263" w:lineRule="auto"/>
        <w:tabs>
          <w:tab w:leader="none" w:pos="2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designs or our execution of clinical trials might not be considered adequate, or the results of clinical trials may not meet the level of statistical significance required, by the FDA, EMA or comparable foreign regulatory authorities for approval;</w:t>
      </w:r>
    </w:p>
    <w:p>
      <w:pPr>
        <w:spacing w:after="0" w:line="75" w:lineRule="exact"/>
        <w:rPr>
          <w:rFonts w:ascii="Arial" w:cs="Arial" w:eastAsia="Arial" w:hAnsi="Arial"/>
          <w:sz w:val="18"/>
          <w:szCs w:val="18"/>
          <w:color w:val="auto"/>
        </w:rPr>
      </w:pPr>
    </w:p>
    <w:p>
      <w:pPr>
        <w:ind w:left="2260" w:right="1099" w:hanging="352"/>
        <w:spacing w:after="0" w:line="277" w:lineRule="auto"/>
        <w:tabs>
          <w:tab w:leader="none" w:pos="2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62" w:lineRule="exact"/>
        <w:rPr>
          <w:rFonts w:ascii="Arial" w:cs="Arial" w:eastAsia="Arial" w:hAnsi="Arial"/>
          <w:sz w:val="18"/>
          <w:szCs w:val="18"/>
          <w:color w:val="auto"/>
        </w:rPr>
      </w:pPr>
    </w:p>
    <w:p>
      <w:pPr>
        <w:ind w:left="2260" w:right="1339" w:hanging="352"/>
        <w:spacing w:after="0" w:line="277" w:lineRule="auto"/>
        <w:tabs>
          <w:tab w:leader="none" w:pos="2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FDA, EMA or comparable foreign regulatory authorities may disagree with our interpretation of data from preclinical studies or clinical trials;</w:t>
      </w:r>
    </w:p>
    <w:p>
      <w:pPr>
        <w:spacing w:after="0" w:line="62" w:lineRule="exact"/>
        <w:rPr>
          <w:rFonts w:ascii="Arial" w:cs="Arial" w:eastAsia="Arial" w:hAnsi="Arial"/>
          <w:sz w:val="18"/>
          <w:szCs w:val="18"/>
          <w:color w:val="auto"/>
        </w:rPr>
      </w:pPr>
    </w:p>
    <w:p>
      <w:pPr>
        <w:ind w:left="2260" w:right="919" w:hanging="352"/>
        <w:spacing w:after="0" w:line="263" w:lineRule="auto"/>
        <w:tabs>
          <w:tab w:leader="none" w:pos="2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data collected may not be sufficient to support the submission of a BLA or other submission, or to obtain regulatory approval in the United States, the European Union or elsewhere;</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60" w:right="839" w:hanging="352"/>
        <w:spacing w:after="0" w:line="263" w:lineRule="auto"/>
        <w:tabs>
          <w:tab w:leader="none" w:pos="2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FDA, EMA or comparable foreign regulatory authorities may fail to approve our manufacturing processes or facilities or those of third-party manufacturers with which we contract for clinical and commercial supplies; and</w:t>
      </w:r>
    </w:p>
    <w:p>
      <w:pPr>
        <w:spacing w:after="0" w:line="75" w:lineRule="exact"/>
        <w:rPr>
          <w:rFonts w:ascii="Arial" w:cs="Arial" w:eastAsia="Arial" w:hAnsi="Arial"/>
          <w:sz w:val="18"/>
          <w:szCs w:val="18"/>
          <w:color w:val="auto"/>
        </w:rPr>
      </w:pPr>
    </w:p>
    <w:p>
      <w:pPr>
        <w:ind w:left="2260" w:right="439" w:hanging="352"/>
        <w:spacing w:after="0" w:line="263" w:lineRule="auto"/>
        <w:tabs>
          <w:tab w:leader="none" w:pos="2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laws, regulations or policies of the FDA, EMA or comparable foreign regulatory authorities may significantly change in a manner rendering our clinical data or other regulatory submissions insufficient for approval.</w:t>
      </w:r>
    </w:p>
    <w:p>
      <w:pPr>
        <w:spacing w:after="0" w:line="116" w:lineRule="exact"/>
        <w:rPr>
          <w:sz w:val="20"/>
          <w:szCs w:val="20"/>
          <w:color w:val="auto"/>
        </w:rPr>
      </w:pPr>
    </w:p>
    <w:p>
      <w:pPr>
        <w:ind w:left="1260" w:right="439" w:firstLine="648"/>
        <w:spacing w:after="0" w:line="254" w:lineRule="auto"/>
        <w:rPr>
          <w:sz w:val="20"/>
          <w:szCs w:val="20"/>
          <w:color w:val="auto"/>
        </w:rPr>
      </w:pPr>
      <w:r>
        <w:rPr>
          <w:rFonts w:ascii="Arial" w:cs="Arial" w:eastAsia="Arial" w:hAnsi="Arial"/>
          <w:sz w:val="18"/>
          <w:szCs w:val="18"/>
          <w:color w:val="auto"/>
        </w:rPr>
        <w:t>This lengthy approval process as well as the unpredictability of future clinical trial results may result in our failing to obtain regulatory approval to market any of our product candidates, which would significantly harm our business, results of operations and prospects. The FDA, the EMA and other regulatory authorities have substantial discretion in the approval process and determining when or whether regulatory approval will be obtained for any of our product candidates. Even if we believe the data collected from clinical trials of our product candidates are promising, such data may not be sufficient to support approval by the FDA, the EMA or any other regulatory authority.</w:t>
      </w:r>
    </w:p>
    <w:p>
      <w:pPr>
        <w:spacing w:after="0" w:line="127" w:lineRule="exact"/>
        <w:rPr>
          <w:sz w:val="20"/>
          <w:szCs w:val="20"/>
          <w:color w:val="auto"/>
        </w:rPr>
      </w:pPr>
    </w:p>
    <w:p>
      <w:pPr>
        <w:ind w:left="1260" w:right="459" w:firstLine="648"/>
        <w:spacing w:after="0" w:line="267" w:lineRule="auto"/>
        <w:rPr>
          <w:sz w:val="20"/>
          <w:szCs w:val="20"/>
          <w:color w:val="auto"/>
        </w:rPr>
      </w:pPr>
      <w:r>
        <w:rPr>
          <w:rFonts w:ascii="Arial" w:cs="Arial" w:eastAsia="Arial" w:hAnsi="Arial"/>
          <w:sz w:val="17"/>
          <w:szCs w:val="17"/>
          <w:color w:val="auto"/>
        </w:rPr>
        <w:t>In order to commercialize our products in more than one jurisdiction, we will be required to obtain separate regulatory approvals in each market and to comply with numerous and varying regulatory requirements. The approval procedures vary from country to country and may require additional testing, administrative review periods, agreements with pricing authorities or other steps. Satisfying these and other regulatory requirements is costly, time consuming, uncertain and subject to unanticipated delays. In addition, in many countries outside the United States and in particular in many of the Member States of the European Union, a product must undergo health economic assessments to agree on pricing and/or be approved for reimbursement before it can be approved for sale in that country, or before it becomes commercially viable. The FDA and the EMA may come to different conclusions regarding approval of a marketing application. Approval by the FDA or EMA does not ensure approval by regulatory authorities in other countries or jurisdictions, and approval by one foreign regulatory authority does not ensure approval by regulatory authorities in other foreign countries or by the FDA or EMA. In addition, our failure to obtain regulatory approval in any country may delay or have negative effects on the process for regulatory approval in other countries. Clinical trials conducted in one country may not be accepted by regulatory authorities in other countries. We may not obtain regulatory approvals on a timely basis, if at all. We may not be able to submit applications for regulatory approvals and may not receive necessary approvals to commercialize our products in any market. We may be required to conduct additional preclinical studies or clinical trials, which would be costly and time consuming. If we or any future partner are unable to obtain regulatory approval for our product candidates in one or more significant jurisdictions, then the commercial opportunity for our product candidates, and our business, results of operations, financial condition and prospects, may be materially adversely affected.</w:t>
      </w:r>
    </w:p>
    <w:p>
      <w:pPr>
        <w:spacing w:after="0" w:line="185" w:lineRule="exact"/>
        <w:rPr>
          <w:sz w:val="20"/>
          <w:szCs w:val="20"/>
          <w:color w:val="auto"/>
        </w:rPr>
      </w:pPr>
    </w:p>
    <w:p>
      <w:pPr>
        <w:ind w:left="1260" w:right="479"/>
        <w:spacing w:after="0" w:line="259" w:lineRule="auto"/>
        <w:rPr>
          <w:sz w:val="20"/>
          <w:szCs w:val="20"/>
          <w:color w:val="auto"/>
        </w:rPr>
      </w:pPr>
      <w:r>
        <w:rPr>
          <w:rFonts w:ascii="Arial" w:cs="Arial" w:eastAsia="Arial" w:hAnsi="Arial"/>
          <w:sz w:val="18"/>
          <w:szCs w:val="18"/>
          <w:b w:val="1"/>
          <w:bCs w:val="1"/>
          <w:i w:val="1"/>
          <w:iCs w:val="1"/>
          <w:color w:val="auto"/>
        </w:rPr>
        <w:t>The regulatory landscape that will govern our product candidates is uncertain. Regulations relating to more established gene therapy and cell therapy products are still developing, and changes in regulatory requirements could result in delays or discontinuation of development of our product candidates or unexpected costs in obtaining regulatory approval.</w:t>
      </w:r>
    </w:p>
    <w:p>
      <w:pPr>
        <w:spacing w:after="0" w:line="106" w:lineRule="exact"/>
        <w:rPr>
          <w:sz w:val="20"/>
          <w:szCs w:val="20"/>
          <w:color w:val="auto"/>
        </w:rPr>
      </w:pPr>
    </w:p>
    <w:p>
      <w:pPr>
        <w:ind w:left="1260" w:right="419" w:firstLine="648"/>
        <w:spacing w:after="0" w:line="268" w:lineRule="auto"/>
        <w:rPr>
          <w:sz w:val="20"/>
          <w:szCs w:val="20"/>
          <w:color w:val="auto"/>
        </w:rPr>
      </w:pPr>
      <w:r>
        <w:rPr>
          <w:rFonts w:ascii="Arial" w:cs="Arial" w:eastAsia="Arial" w:hAnsi="Arial"/>
          <w:sz w:val="17"/>
          <w:szCs w:val="17"/>
          <w:color w:val="auto"/>
        </w:rPr>
        <w:t>The regulatory requirements to which our product candidates will be subject are not entirely clear. Even with respect to more established products that fit into the categories of gene therapies or cell therapies, the regulatory landscape is still developing. For example, regulatory requirements governing gene therapy products and cell therapy products have changed frequently and may continue to change in the future. Moreover, there is substantial, and sometimes uncoordinated, overlap in those responsible for regulation of existing gene therapy products and cell therapy products. Although the FDA decides whether individual gene therapy protocols may proceed, the review process and determinations of other reviewing bodies can impede or delay the initiation of a clinical study, even if the FDA has reviewed the study and authorizes its initiation. Conversely, the FDA can place an Investigational New Drug Application, or IND, on clinical hold even if such other entities have provided a favorable review. Furthermore, gene therapy clinical trials may also require evaluation and assessment by an institutional biosafety committee, or IBC, a local institutional committee that reviews and oversees basic and clinical research conducted at the institution participating in the clinical trial. The IBC assesses the safety of the research and identifies any potential risk to the public health or the environment, and such assessment may result in some delay before initiation of</w:t>
      </w:r>
    </w:p>
    <w:p>
      <w:pPr>
        <w:sectPr>
          <w:pgSz w:w="11900" w:h="16838" w:orient="portrait"/>
          <w:cols w:equalWidth="0" w:num="1">
            <w:col w:w="9879"/>
          </w:cols>
          <w:pgMar w:left="580" w:top="131" w:right="1440" w:bottom="1440" w:gutter="0" w:footer="0" w:header="0"/>
        </w:sectPr>
      </w:pP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279400</wp:posOffset>
            </wp:positionV>
            <wp:extent cx="68065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539"/>
        <w:spacing w:after="0" w:line="263" w:lineRule="auto"/>
        <w:rPr>
          <w:sz w:val="20"/>
          <w:szCs w:val="20"/>
          <w:color w:val="auto"/>
        </w:rPr>
      </w:pPr>
      <w:r>
        <w:rPr>
          <w:rFonts w:ascii="Arial" w:cs="Arial" w:eastAsia="Arial" w:hAnsi="Arial"/>
          <w:sz w:val="18"/>
          <w:szCs w:val="18"/>
          <w:color w:val="auto"/>
        </w:rPr>
        <w:t>a clinical trial. In addition, adverse developments in clinical trials of gene therapy products conducted by others may cause the FDA or other regulatory bodies to change the requirements for approval of any of our product candidates.</w:t>
      </w:r>
    </w:p>
    <w:p>
      <w:pPr>
        <w:spacing w:after="0" w:line="116" w:lineRule="exact"/>
        <w:rPr>
          <w:sz w:val="20"/>
          <w:szCs w:val="20"/>
          <w:color w:val="auto"/>
        </w:rPr>
      </w:pPr>
    </w:p>
    <w:p>
      <w:pPr>
        <w:ind w:left="1260" w:right="419" w:firstLine="648"/>
        <w:spacing w:after="0" w:line="254" w:lineRule="auto"/>
        <w:rPr>
          <w:sz w:val="20"/>
          <w:szCs w:val="20"/>
          <w:color w:val="auto"/>
        </w:rPr>
      </w:pPr>
      <w:r>
        <w:rPr>
          <w:rFonts w:ascii="Arial" w:cs="Arial" w:eastAsia="Arial" w:hAnsi="Arial"/>
          <w:sz w:val="18"/>
          <w:szCs w:val="18"/>
          <w:color w:val="auto"/>
        </w:rPr>
        <w:t>Complex regulatory environments exist in other jurisdictions in which we might consider seeking regulatory approvals for our product candidates, further complicating the regulatory landscape. For example, in the European Union a special committee called the Committee for Advanced Therapies, or CAT, was established within the EMA in accordance with Regulation (EC) No 1394/2007 on advanced-therapy medicinal products, or ATMPs, to assess the quality, safety and efficacy of ATMPs, and to follow scientific developments in the field. ATMPs include gene therapy products as well as somatic cell therapy products and tissue engineered products.</w:t>
      </w:r>
    </w:p>
    <w:p>
      <w:pPr>
        <w:spacing w:after="0" w:line="127" w:lineRule="exact"/>
        <w:rPr>
          <w:sz w:val="20"/>
          <w:szCs w:val="20"/>
          <w:color w:val="auto"/>
        </w:rPr>
      </w:pPr>
    </w:p>
    <w:p>
      <w:pPr>
        <w:ind w:left="1260" w:right="419" w:firstLine="648"/>
        <w:spacing w:after="0" w:line="253" w:lineRule="auto"/>
        <w:rPr>
          <w:sz w:val="20"/>
          <w:szCs w:val="20"/>
          <w:color w:val="auto"/>
        </w:rPr>
      </w:pPr>
      <w:r>
        <w:rPr>
          <w:rFonts w:ascii="Arial" w:cs="Arial" w:eastAsia="Arial" w:hAnsi="Arial"/>
          <w:sz w:val="18"/>
          <w:szCs w:val="18"/>
          <w:color w:val="auto"/>
        </w:rPr>
        <w:t>These various regulatory review committees and advisory groups and new or revised guidelines that they promulgate from time to time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As the regulatory landscape for our product candidates is new, we may face even more cumbersome and complex regulations than those emerging for gene therapy products and cell therapy products. Furthermore, even if our product candidates obtain required regulatory approvals, such approvals may later be withdrawn as a result of changes in regulations or the interpretation of regulations by applicable regulatory agencies.</w:t>
      </w:r>
    </w:p>
    <w:p>
      <w:pPr>
        <w:spacing w:after="0" w:line="115" w:lineRule="exact"/>
        <w:rPr>
          <w:sz w:val="20"/>
          <w:szCs w:val="20"/>
          <w:color w:val="auto"/>
        </w:rPr>
      </w:pPr>
    </w:p>
    <w:p>
      <w:pPr>
        <w:ind w:left="1260" w:right="479" w:firstLine="648"/>
        <w:spacing w:after="0" w:line="263" w:lineRule="auto"/>
        <w:rPr>
          <w:sz w:val="20"/>
          <w:szCs w:val="20"/>
          <w:color w:val="auto"/>
        </w:rPr>
      </w:pPr>
      <w:r>
        <w:rPr>
          <w:rFonts w:ascii="Arial" w:cs="Arial" w:eastAsia="Arial" w:hAnsi="Arial"/>
          <w:sz w:val="18"/>
          <w:szCs w:val="18"/>
          <w:color w:val="auto"/>
        </w:rPr>
        <w:t>Delay or failure to obtain, or unexpected costs in obtaining, the regulatory approval necessary to bring a potential product to market could decrease our ability to generate sufficient product sales revenue to maintain our business.</w:t>
      </w:r>
    </w:p>
    <w:p>
      <w:pPr>
        <w:spacing w:after="0" w:line="116" w:lineRule="exact"/>
        <w:rPr>
          <w:sz w:val="20"/>
          <w:szCs w:val="20"/>
          <w:color w:val="auto"/>
        </w:rPr>
      </w:pPr>
    </w:p>
    <w:p>
      <w:pPr>
        <w:ind w:left="1260" w:right="439" w:firstLine="648"/>
        <w:spacing w:after="0" w:line="267" w:lineRule="auto"/>
        <w:rPr>
          <w:sz w:val="20"/>
          <w:szCs w:val="20"/>
          <w:color w:val="auto"/>
        </w:rPr>
      </w:pPr>
      <w:r>
        <w:rPr>
          <w:rFonts w:ascii="Arial" w:cs="Arial" w:eastAsia="Arial" w:hAnsi="Arial"/>
          <w:sz w:val="17"/>
          <w:szCs w:val="17"/>
          <w:color w:val="auto"/>
        </w:rPr>
        <w:t>Even if we receive regulatory approval for any of our product candidates, we will be subject to ongoing obligations and continued regulatory review, which may materially adversely affect our business, prospects, financial condition and results of operations. We have not previously submitted a BLA, to the FDA, or similar regulatory approval filings to comparable foreign authorities, for any product candidate and never received regulatory approval for any of our product candidates. Even if the FDA, EMA or a comparable foreign regulatory authority approves any of our product candidates, the manufacturing processes, labeling, packaging, distribution, product sampling, adverse event reporting, storage, advertising, marketing, promotion and recordkeeping for the product will be subject to extensive and ongoing regulatory requirements. These requirements include submissions of safety and other post-marketing information and reports, registration, as well as continued compliance with cGMPs and GCPs for any clinical trials that we conduct post-approval, all of which may result in significant expense and limit our ability to commercialize such products. There also are continuing, annual program user fees for any marketed products.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18" w:lineRule="exact"/>
        <w:rPr>
          <w:sz w:val="20"/>
          <w:szCs w:val="20"/>
          <w:color w:val="auto"/>
        </w:rPr>
      </w:pPr>
    </w:p>
    <w:p>
      <w:pPr>
        <w:ind w:left="1260" w:right="459" w:firstLine="648"/>
        <w:spacing w:after="0" w:line="253" w:lineRule="auto"/>
        <w:rPr>
          <w:sz w:val="20"/>
          <w:szCs w:val="20"/>
          <w:color w:val="auto"/>
        </w:rPr>
      </w:pPr>
      <w:r>
        <w:rPr>
          <w:rFonts w:ascii="Arial" w:cs="Arial" w:eastAsia="Arial" w:hAnsi="Arial"/>
          <w:sz w:val="18"/>
          <w:szCs w:val="18"/>
          <w:color w:val="auto"/>
        </w:rPr>
        <w:t>Any regulatory approvals that we receive for our product candidates may also be subject to limitations on the approved indicated uses for which the product may be marketed or to the conditions of approval, or contain requirements for potentially costly post-marketing testing and surveillance to monitor the safety and efficacy of the product. For example, the FDA has the authority to require a REMS as part of a BLA or after approval, which may impose further requirements or restrictions on the distribution or use of an approved product, such as limiting prescribing to certain physicians or medical centers that have undergone specialized training, limiting treatment to patients who meet certain safe-use criteria and requiring treated patients to enroll in a registry. Later discovery of previously unknown problems with a product,</w:t>
      </w:r>
    </w:p>
    <w:p>
      <w:pPr>
        <w:sectPr>
          <w:pgSz w:w="11900" w:h="16838" w:orient="portrait"/>
          <w:cols w:equalWidth="0" w:num="1">
            <w:col w:w="9879"/>
          </w:cols>
          <w:pgMar w:left="580" w:top="132"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39" w:name="page40"/>
    <w:bookmarkEnd w:id="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spacing w:after="0" w:line="248" w:lineRule="auto"/>
        <w:rPr>
          <w:sz w:val="20"/>
          <w:szCs w:val="20"/>
          <w:color w:val="auto"/>
        </w:rPr>
      </w:pPr>
      <w:r>
        <w:rPr>
          <w:rFonts w:ascii="Arial" w:cs="Arial" w:eastAsia="Arial" w:hAnsi="Arial"/>
          <w:sz w:val="18"/>
          <w:szCs w:val="18"/>
          <w:color w:val="auto"/>
        </w:rPr>
        <w:t>including adverse events of unanticipated severity or frequency, or with our third -party manufacturers or manufacturing processes, or failure to comply with regulatory requirements may result in, among other things:</w:t>
      </w:r>
    </w:p>
    <w:p>
      <w:pPr>
        <w:spacing w:after="0" w:line="74" w:lineRule="exact"/>
        <w:rPr>
          <w:sz w:val="20"/>
          <w:szCs w:val="20"/>
          <w:color w:val="auto"/>
        </w:rPr>
      </w:pPr>
    </w:p>
    <w:p>
      <w:pPr>
        <w:ind w:left="2260" w:right="519" w:hanging="352"/>
        <w:spacing w:after="0" w:line="277" w:lineRule="auto"/>
        <w:tabs>
          <w:tab w:leader="none" w:pos="2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w:t>
      </w:r>
    </w:p>
    <w:p>
      <w:pPr>
        <w:spacing w:after="0" w:line="62" w:lineRule="exact"/>
        <w:rPr>
          <w:rFonts w:ascii="Arial" w:cs="Arial" w:eastAsia="Arial" w:hAnsi="Arial"/>
          <w:sz w:val="18"/>
          <w:szCs w:val="18"/>
          <w:color w:val="auto"/>
        </w:rPr>
      </w:pPr>
    </w:p>
    <w:p>
      <w:pPr>
        <w:ind w:left="2260" w:hanging="352"/>
        <w:spacing w:after="0"/>
        <w:tabs>
          <w:tab w:leader="none" w:pos="2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product recalls;</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fines, warning letters, untitled letters or holds on clinical trials;</w:t>
      </w:r>
    </w:p>
    <w:p>
      <w:pPr>
        <w:spacing w:after="0" w:line="117" w:lineRule="exact"/>
        <w:rPr>
          <w:rFonts w:ascii="Arial" w:cs="Arial" w:eastAsia="Arial" w:hAnsi="Arial"/>
          <w:sz w:val="18"/>
          <w:szCs w:val="18"/>
          <w:color w:val="auto"/>
        </w:rPr>
      </w:pPr>
    </w:p>
    <w:p>
      <w:pPr>
        <w:ind w:left="2260" w:right="599" w:hanging="352"/>
        <w:spacing w:after="0" w:line="263" w:lineRule="auto"/>
        <w:tabs>
          <w:tab w:leader="none" w:pos="2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refusal by the FDA, EMA or a comparable foreign regulatory authority to approve pending applications or supplements to approved applications, or suspension or revocation of product approvals;</w:t>
      </w:r>
    </w:p>
    <w:p>
      <w:pPr>
        <w:spacing w:after="0" w:line="75" w:lineRule="exact"/>
        <w:rPr>
          <w:rFonts w:ascii="Arial" w:cs="Arial" w:eastAsia="Arial" w:hAnsi="Arial"/>
          <w:sz w:val="18"/>
          <w:szCs w:val="18"/>
          <w:color w:val="auto"/>
        </w:rPr>
      </w:pPr>
    </w:p>
    <w:p>
      <w:pPr>
        <w:ind w:left="2260" w:right="979" w:hanging="352"/>
        <w:spacing w:after="0" w:line="277" w:lineRule="auto"/>
        <w:tabs>
          <w:tab w:leader="none" w:pos="2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requirements to conduct additional clinical trials, change our product labeling or submit additional applications or application supplements;</w:t>
      </w:r>
    </w:p>
    <w:p>
      <w:pPr>
        <w:spacing w:after="0" w:line="48" w:lineRule="exact"/>
        <w:rPr>
          <w:rFonts w:ascii="Arial" w:cs="Arial" w:eastAsia="Arial" w:hAnsi="Arial"/>
          <w:sz w:val="18"/>
          <w:szCs w:val="18"/>
          <w:color w:val="auto"/>
        </w:rPr>
      </w:pPr>
    </w:p>
    <w:p>
      <w:pPr>
        <w:ind w:left="2260" w:hanging="352"/>
        <w:spacing w:after="0"/>
        <w:tabs>
          <w:tab w:leader="none" w:pos="2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17" w:lineRule="exact"/>
        <w:rPr>
          <w:rFonts w:ascii="Arial" w:cs="Arial" w:eastAsia="Arial" w:hAnsi="Arial"/>
          <w:sz w:val="18"/>
          <w:szCs w:val="18"/>
          <w:color w:val="auto"/>
        </w:rPr>
      </w:pPr>
    </w:p>
    <w:p>
      <w:pPr>
        <w:ind w:left="2260" w:right="699" w:hanging="352"/>
        <w:spacing w:after="0" w:line="277" w:lineRule="auto"/>
        <w:tabs>
          <w:tab w:leader="none" w:pos="2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62" w:lineRule="exact"/>
        <w:rPr>
          <w:rFonts w:ascii="Arial" w:cs="Arial" w:eastAsia="Arial" w:hAnsi="Arial"/>
          <w:sz w:val="18"/>
          <w:szCs w:val="18"/>
          <w:color w:val="auto"/>
        </w:rPr>
      </w:pPr>
    </w:p>
    <w:p>
      <w:pPr>
        <w:ind w:left="2260" w:right="1179" w:hanging="352"/>
        <w:spacing w:after="0" w:line="277" w:lineRule="auto"/>
        <w:tabs>
          <w:tab w:leader="none" w:pos="2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62" w:lineRule="exact"/>
        <w:rPr>
          <w:rFonts w:ascii="Arial" w:cs="Arial" w:eastAsia="Arial" w:hAnsi="Arial"/>
          <w:sz w:val="18"/>
          <w:szCs w:val="18"/>
          <w:color w:val="auto"/>
        </w:rPr>
      </w:pPr>
    </w:p>
    <w:p>
      <w:pPr>
        <w:jc w:val="both"/>
        <w:ind w:left="2260" w:right="1079" w:hanging="352"/>
        <w:spacing w:after="0" w:line="342" w:lineRule="auto"/>
        <w:tabs>
          <w:tab w:leader="none" w:pos="22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issuance of safety alerts, Dear Healthcare Provider letters, press releases and other communications containing warnings or other safety information about the product; or</w:t>
      </w:r>
    </w:p>
    <w:p>
      <w:pPr>
        <w:spacing w:after="0" w:line="15" w:lineRule="exact"/>
        <w:rPr>
          <w:rFonts w:ascii="Arial" w:cs="Arial" w:eastAsia="Arial" w:hAnsi="Arial"/>
          <w:sz w:val="16"/>
          <w:szCs w:val="16"/>
          <w:color w:val="auto"/>
        </w:rPr>
      </w:pPr>
    </w:p>
    <w:p>
      <w:pPr>
        <w:ind w:left="2260" w:hanging="352"/>
        <w:spacing w:after="0"/>
        <w:tabs>
          <w:tab w:leader="none" w:pos="2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58" w:lineRule="exact"/>
        <w:rPr>
          <w:sz w:val="20"/>
          <w:szCs w:val="20"/>
          <w:color w:val="auto"/>
        </w:rPr>
      </w:pPr>
    </w:p>
    <w:p>
      <w:pPr>
        <w:ind w:left="1260" w:right="439" w:firstLine="648"/>
        <w:spacing w:after="0" w:line="257" w:lineRule="auto"/>
        <w:rPr>
          <w:sz w:val="20"/>
          <w:szCs w:val="20"/>
          <w:color w:val="auto"/>
        </w:rPr>
      </w:pPr>
      <w:r>
        <w:rPr>
          <w:rFonts w:ascii="Arial" w:cs="Arial" w:eastAsia="Arial" w:hAnsi="Arial"/>
          <w:sz w:val="17"/>
          <w:szCs w:val="17"/>
          <w:color w:val="auto"/>
        </w:rPr>
        <w:t>In addition, regulatory policies may change or additional government regulations or legislation may be enacted that could prevent, limit or delay regulatory approval of our product candidates. If we fail to comply with existing requirements, are slow or unable to adapt to changes in existing requirements or the adoption of new requirements or policies, or if we are not able to maintain regulatory compliance, we may lose any regulatory approval that we may have obtained or face regulatory or enforcement actions, which may materially adversely affect our business, prospects, financial condition and results of operations.</w:t>
      </w:r>
    </w:p>
    <w:p>
      <w:pPr>
        <w:spacing w:after="0" w:line="94" w:lineRule="exact"/>
        <w:rPr>
          <w:sz w:val="20"/>
          <w:szCs w:val="20"/>
          <w:color w:val="auto"/>
        </w:rPr>
      </w:pPr>
    </w:p>
    <w:p>
      <w:pPr>
        <w:ind w:left="1260" w:right="459" w:firstLine="648"/>
        <w:spacing w:after="0" w:line="252" w:lineRule="auto"/>
        <w:rPr>
          <w:sz w:val="20"/>
          <w:szCs w:val="20"/>
          <w:color w:val="auto"/>
        </w:rPr>
      </w:pPr>
      <w:r>
        <w:rPr>
          <w:rFonts w:ascii="Arial" w:cs="Arial" w:eastAsia="Arial" w:hAnsi="Arial"/>
          <w:sz w:val="18"/>
          <w:szCs w:val="18"/>
          <w:color w:val="auto"/>
        </w:rPr>
        <w:t>In addition, if any of our product candidates is approved, our product labeling, advertising and promotion will be subject to regulatory requirements and continuing regulatory review. The FDA strictly regulates the promotional claims that may be made about prescription products. In particular, a product may not be promoted for uses that are not approved by the FDA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FDA and other agencies actively enforce the laws and regulations prohibiting the promotion of off-label uses, and a company that is found to have improperly promoted off-label uses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31" w:lineRule="exact"/>
        <w:rPr>
          <w:sz w:val="20"/>
          <w:szCs w:val="20"/>
          <w:color w:val="auto"/>
        </w:rPr>
      </w:pPr>
    </w:p>
    <w:p>
      <w:pPr>
        <w:ind w:left="1260" w:right="579" w:firstLine="648"/>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our product candidates.</w:t>
      </w:r>
    </w:p>
    <w:p>
      <w:pPr>
        <w:spacing w:after="0" w:line="119" w:lineRule="exact"/>
        <w:rPr>
          <w:sz w:val="20"/>
          <w:szCs w:val="20"/>
          <w:color w:val="auto"/>
        </w:rPr>
      </w:pPr>
    </w:p>
    <w:p>
      <w:pPr>
        <w:ind w:left="1260" w:right="559" w:firstLine="648"/>
        <w:spacing w:after="0" w:line="255" w:lineRule="auto"/>
        <w:rPr>
          <w:sz w:val="20"/>
          <w:szCs w:val="20"/>
          <w:color w:val="auto"/>
        </w:rPr>
      </w:pPr>
      <w:r>
        <w:rPr>
          <w:rFonts w:ascii="Arial" w:cs="Arial" w:eastAsia="Arial" w:hAnsi="Arial"/>
          <w:sz w:val="18"/>
          <w:szCs w:val="18"/>
          <w:color w:val="auto"/>
        </w:rPr>
        <w:t>Further, the policies of FDA, EMA and other comparable regulatory authorities may change and additional government regulations may be enacted that could prevent, limit or delay regulatory approval of our product candidates. If we are slow or unable to adapt to changes in existing requirements or to adopt new requirements or policies, or if we are not able to maintain regulatory compliance, we may lose any marketing approval that we may have obtained, which would adversely affect our business, prospects and ability to achieve or sustain profitability.</w:t>
      </w:r>
    </w:p>
    <w:p>
      <w:pPr>
        <w:sectPr>
          <w:pgSz w:w="11900" w:h="16838" w:orient="portrait"/>
          <w:cols w:equalWidth="0" w:num="1">
            <w:col w:w="9879"/>
          </w:cols>
          <w:pgMar w:left="580" w:top="132" w:right="1440" w:bottom="1440" w:gutter="0" w:footer="0" w:header="0"/>
        </w:sectPr>
      </w:pP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0" w:name="page41"/>
    <w:bookmarkEnd w:id="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39" w:firstLine="648"/>
        <w:spacing w:after="0" w:line="252" w:lineRule="auto"/>
        <w:rPr>
          <w:sz w:val="20"/>
          <w:szCs w:val="20"/>
          <w:color w:val="auto"/>
        </w:rPr>
      </w:pPr>
      <w:r>
        <w:rPr>
          <w:rFonts w:ascii="Arial" w:cs="Arial" w:eastAsia="Arial" w:hAnsi="Arial"/>
          <w:sz w:val="17"/>
          <w:szCs w:val="17"/>
          <w:color w:val="auto"/>
        </w:rPr>
        <w:t>We also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FDA’s ability to engage in routine regulatory and oversight activities such as implementing statutes through rulemaking, issuance of guidance, and review and approval of marketing applications. It is currently not clear if the new Biden administration will, or will be able to, revoke, modify, or supersede any such Executive Orders signed by the Trump administration. If such Executive Orders remain in effect in the future, it is difficult to predict how these Executive Orders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83" w:lineRule="exact"/>
        <w:rPr>
          <w:sz w:val="20"/>
          <w:szCs w:val="20"/>
          <w:color w:val="auto"/>
        </w:rPr>
      </w:pPr>
    </w:p>
    <w:p>
      <w:pPr>
        <w:ind w:left="1260" w:right="679"/>
        <w:spacing w:after="0" w:line="248" w:lineRule="auto"/>
        <w:rPr>
          <w:sz w:val="20"/>
          <w:szCs w:val="20"/>
          <w:color w:val="auto"/>
        </w:rPr>
      </w:pPr>
      <w:r>
        <w:rPr>
          <w:rFonts w:ascii="Arial" w:cs="Arial" w:eastAsia="Arial" w:hAnsi="Arial"/>
          <w:sz w:val="18"/>
          <w:szCs w:val="18"/>
          <w:b w:val="1"/>
          <w:bCs w:val="1"/>
          <w:i w:val="1"/>
          <w:iCs w:val="1"/>
          <w:color w:val="auto"/>
        </w:rPr>
        <w:t>A breakthrough therapy designation by the FDA for a product candidate may not lead to a faster development or regulatory review or approval process, and it would not increase the likelihood that the product candidate will receive marketing approval.</w:t>
      </w:r>
    </w:p>
    <w:p>
      <w:pPr>
        <w:spacing w:after="0" w:line="114" w:lineRule="exact"/>
        <w:rPr>
          <w:sz w:val="20"/>
          <w:szCs w:val="20"/>
          <w:color w:val="auto"/>
        </w:rPr>
      </w:pPr>
    </w:p>
    <w:p>
      <w:pPr>
        <w:ind w:left="1260" w:right="439" w:firstLine="648"/>
        <w:spacing w:after="0" w:line="253" w:lineRule="auto"/>
        <w:rPr>
          <w:sz w:val="20"/>
          <w:szCs w:val="20"/>
          <w:color w:val="auto"/>
        </w:rPr>
      </w:pPr>
      <w:r>
        <w:rPr>
          <w:rFonts w:ascii="Arial" w:cs="Arial" w:eastAsia="Arial" w:hAnsi="Arial"/>
          <w:sz w:val="17"/>
          <w:szCs w:val="17"/>
          <w:color w:val="auto"/>
        </w:rPr>
        <w:t>We may in the future seek a breakthrough therapy designation for one or more product candidates. A breakthrough therapy is defined as a product candidate that is intended, alone or in combination with one or more other drugs, to treat a serious or life- 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are also eligible for priority review if supported by clinical data at the time of the submission of the BLA.</w:t>
      </w:r>
    </w:p>
    <w:p>
      <w:pPr>
        <w:spacing w:after="0" w:line="113" w:lineRule="exact"/>
        <w:rPr>
          <w:sz w:val="20"/>
          <w:szCs w:val="20"/>
          <w:color w:val="auto"/>
        </w:rPr>
      </w:pPr>
    </w:p>
    <w:p>
      <w:pPr>
        <w:ind w:left="1260" w:right="479" w:firstLine="648"/>
        <w:spacing w:after="0" w:line="253"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product candidates considered for approval under conventional FDA procedures and it would not assure ultimate approval by the FDA. In addition, even if one or more of our product candidates qualify as breakthrough therapies, the FDA may later decide that the product candidate no longer meets the conditions for qualification or it may decide that the time period for FDA review or approval will not be shortened.</w:t>
      </w:r>
    </w:p>
    <w:p>
      <w:pPr>
        <w:spacing w:after="0" w:line="196" w:lineRule="exact"/>
        <w:rPr>
          <w:sz w:val="20"/>
          <w:szCs w:val="20"/>
          <w:color w:val="auto"/>
        </w:rPr>
      </w:pPr>
    </w:p>
    <w:p>
      <w:pPr>
        <w:ind w:left="1260" w:right="759"/>
        <w:spacing w:after="0" w:line="279" w:lineRule="auto"/>
        <w:rPr>
          <w:sz w:val="20"/>
          <w:szCs w:val="20"/>
          <w:color w:val="auto"/>
        </w:rPr>
      </w:pPr>
      <w:r>
        <w:rPr>
          <w:rFonts w:ascii="Arial" w:cs="Arial" w:eastAsia="Arial" w:hAnsi="Arial"/>
          <w:sz w:val="17"/>
          <w:szCs w:val="17"/>
          <w:b w:val="1"/>
          <w:bCs w:val="1"/>
          <w:i w:val="1"/>
          <w:iCs w:val="1"/>
          <w:color w:val="auto"/>
        </w:rPr>
        <w:t>Because we are developing product candidates for the treatment or prevention of diseases in which there is little clinical experience using new technologies, there is increased risk that the FDA, the EMA or other regulatory authorities may not consider the endpoints of our clinical trials to provide clinically meaningful results and that these results may be difficult to analyze.</w:t>
      </w:r>
    </w:p>
    <w:p>
      <w:pPr>
        <w:spacing w:after="0" w:line="90" w:lineRule="exact"/>
        <w:rPr>
          <w:sz w:val="20"/>
          <w:szCs w:val="20"/>
          <w:color w:val="auto"/>
        </w:rPr>
      </w:pPr>
    </w:p>
    <w:p>
      <w:pPr>
        <w:ind w:left="1260" w:right="459" w:firstLine="648"/>
        <w:spacing w:after="0" w:line="254" w:lineRule="auto"/>
        <w:rPr>
          <w:sz w:val="20"/>
          <w:szCs w:val="20"/>
          <w:color w:val="auto"/>
        </w:rPr>
      </w:pPr>
      <w:r>
        <w:rPr>
          <w:rFonts w:ascii="Arial" w:cs="Arial" w:eastAsia="Arial" w:hAnsi="Arial"/>
          <w:sz w:val="18"/>
          <w:szCs w:val="18"/>
          <w:color w:val="auto"/>
        </w:rPr>
        <w:t>As we are developing novel treatments and preventative measures for diseases in which we believe there is limited clinical experience with new endpoints and methodologies, there is heightened risk that the FDA, EMA or comparable foreign regulatory bodies may not consider the clinical trial endpoints to provide clinically meaningful results, and the resulting clinical data and results may be more difficult to analyze. It is difficult to determine how long it will take or how much it will cost to obtain regulatory approvals for our product candidates in the United States, the European Union or other jurisdictions, if ever. Further, approvals by one regulatory agency may not be indicative of what other regulatory agencies may require for approval.</w:t>
      </w:r>
    </w:p>
    <w:p>
      <w:pPr>
        <w:spacing w:after="0" w:line="124" w:lineRule="exact"/>
        <w:rPr>
          <w:sz w:val="20"/>
          <w:szCs w:val="20"/>
          <w:color w:val="auto"/>
        </w:rPr>
      </w:pPr>
    </w:p>
    <w:p>
      <w:pPr>
        <w:ind w:left="1260" w:right="499" w:firstLine="648"/>
        <w:spacing w:after="0" w:line="275" w:lineRule="auto"/>
        <w:rPr>
          <w:sz w:val="20"/>
          <w:szCs w:val="20"/>
          <w:color w:val="auto"/>
        </w:rPr>
      </w:pPr>
      <w:r>
        <w:rPr>
          <w:rFonts w:ascii="Arial" w:cs="Arial" w:eastAsia="Arial" w:hAnsi="Arial"/>
          <w:sz w:val="17"/>
          <w:szCs w:val="17"/>
          <w:color w:val="auto"/>
        </w:rPr>
        <w:t>During the regulatory review process, we will need to identify success criteria and endpoints such that the FDA, the EMA or other regulatory authorities will be able to determine the clinical efficacy and safety profile of any product candidates we may develop. Because our initial focus is to identify and develop product candidates to treat or prevent diseases in which there is little clinical experience using new technologies, there is heightened risk that the FDA, the EMA or other regulatory authorities may not</w:t>
      </w:r>
    </w:p>
    <w:p>
      <w:pPr>
        <w:spacing w:after="0" w:line="35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59"/>
        <w:spacing w:after="0" w:line="243" w:lineRule="auto"/>
        <w:rPr>
          <w:sz w:val="20"/>
          <w:szCs w:val="20"/>
          <w:color w:val="auto"/>
        </w:rPr>
      </w:pPr>
      <w:r>
        <w:rPr>
          <w:rFonts w:ascii="Arial" w:cs="Arial" w:eastAsia="Arial" w:hAnsi="Arial"/>
          <w:sz w:val="18"/>
          <w:szCs w:val="18"/>
          <w:color w:val="auto"/>
        </w:rPr>
        <w:t>consider the clinical trial endpoints that we propose to provide clinically meaningful results. In addition, the resulting clinical data and results may be difficult to analyze. Even if the FDA determines that our success criteria is sufficiently validated and clinically meaningful, we may not achieve the pre-specified endpoints to a sufficient degree of statistical significance.</w:t>
      </w:r>
    </w:p>
    <w:p>
      <w:pPr>
        <w:spacing w:after="0" w:line="120" w:lineRule="exact"/>
        <w:rPr>
          <w:sz w:val="20"/>
          <w:szCs w:val="20"/>
          <w:color w:val="auto"/>
        </w:rPr>
      </w:pPr>
    </w:p>
    <w:p>
      <w:pPr>
        <w:ind w:left="1260" w:right="419" w:firstLine="648"/>
        <w:spacing w:after="0" w:line="253" w:lineRule="auto"/>
        <w:rPr>
          <w:sz w:val="20"/>
          <w:szCs w:val="20"/>
          <w:color w:val="auto"/>
        </w:rPr>
      </w:pPr>
      <w:r>
        <w:rPr>
          <w:rFonts w:ascii="Arial" w:cs="Arial" w:eastAsia="Arial" w:hAnsi="Arial"/>
          <w:sz w:val="17"/>
          <w:szCs w:val="17"/>
          <w:color w:val="auto"/>
        </w:rPr>
        <w:t>This may be a particularly significant risk for many of the genetically defined diseases for which we plan to develop product candidates because many of these diseases have small patient populations, and designing and executing a rigorous clinical trial with appropriate statistical power is more difficult than with diseases that have larger patient populations. Further, even if we do achieve the pre-specified criteria, the results may be unpredictable or inconsistent with the results of the non-primary endpoints or other relevant data. The FDA also weighs the benefits of a product against its risks, and the FDA may view the efficacy results in the context of safety as not being supportive of regulatory approval. The EMA and other regulatory authorities may make similar comments with respect to these endpoints and data. Any product candidate we may develop will be based on a novel technology that makes it difficult to predict the time and cost of development and of subsequently obtaining regulatory approval.</w:t>
      </w:r>
    </w:p>
    <w:p>
      <w:pPr>
        <w:spacing w:after="0" w:line="180" w:lineRule="exact"/>
        <w:rPr>
          <w:sz w:val="20"/>
          <w:szCs w:val="20"/>
          <w:color w:val="auto"/>
        </w:rPr>
      </w:pPr>
    </w:p>
    <w:p>
      <w:pPr>
        <w:ind w:left="1260" w:right="779"/>
        <w:spacing w:after="0" w:line="270" w:lineRule="auto"/>
        <w:rPr>
          <w:sz w:val="20"/>
          <w:szCs w:val="20"/>
          <w:color w:val="auto"/>
        </w:rPr>
      </w:pPr>
      <w:r>
        <w:rPr>
          <w:rFonts w:ascii="Arial" w:cs="Arial" w:eastAsia="Arial" w:hAnsi="Arial"/>
          <w:sz w:val="17"/>
          <w:szCs w:val="17"/>
          <w:b w:val="1"/>
          <w:bCs w:val="1"/>
          <w:i w:val="1"/>
          <w:iCs w:val="1"/>
          <w:color w:val="auto"/>
        </w:rPr>
        <w:t>We and our collaboration partners have conducted and intend to conduct additional clinical trials for selected product candidates at sites outside the United States, and the FDA may not accept data from trials conducted in such locations or may require additional U.S.-based trials.</w:t>
      </w:r>
    </w:p>
    <w:p>
      <w:pPr>
        <w:spacing w:after="0" w:line="96" w:lineRule="exact"/>
        <w:rPr>
          <w:sz w:val="20"/>
          <w:szCs w:val="20"/>
          <w:color w:val="auto"/>
        </w:rPr>
      </w:pPr>
    </w:p>
    <w:p>
      <w:pPr>
        <w:ind w:left="1260" w:right="439" w:firstLine="648"/>
        <w:spacing w:after="0" w:line="241" w:lineRule="auto"/>
        <w:rPr>
          <w:sz w:val="20"/>
          <w:szCs w:val="20"/>
          <w:color w:val="auto"/>
        </w:rPr>
      </w:pPr>
      <w:r>
        <w:rPr>
          <w:rFonts w:ascii="Arial" w:cs="Arial" w:eastAsia="Arial" w:hAnsi="Arial"/>
          <w:sz w:val="18"/>
          <w:szCs w:val="18"/>
          <w:color w:val="auto"/>
        </w:rPr>
        <w:t>We and our collaboration partners have conducted, currently are conducting and intend in the future to conduct, clinical trials outside the United States, particularly in the European Union where we are headquartered. In addition, we recently initiated a Phase 2a clinical trial for our COVID -19 vaccine candidate, CVnCoV, in Peru and Panama, and a Phase 2b/3 clinical trial for CVnCoV in Europe and Latin America.</w:t>
      </w:r>
    </w:p>
    <w:p>
      <w:pPr>
        <w:spacing w:after="0" w:line="108" w:lineRule="exact"/>
        <w:rPr>
          <w:sz w:val="20"/>
          <w:szCs w:val="20"/>
          <w:color w:val="auto"/>
        </w:rPr>
      </w:pPr>
    </w:p>
    <w:p>
      <w:pPr>
        <w:ind w:left="1260" w:right="479" w:firstLine="648"/>
        <w:spacing w:after="0" w:line="237" w:lineRule="auto"/>
        <w:rPr>
          <w:sz w:val="20"/>
          <w:szCs w:val="20"/>
          <w:color w:val="auto"/>
        </w:rPr>
      </w:pPr>
      <w:r>
        <w:rPr>
          <w:rFonts w:ascii="Arial" w:cs="Arial" w:eastAsia="Arial" w:hAnsi="Arial"/>
          <w:sz w:val="18"/>
          <w:szCs w:val="18"/>
          <w:color w:val="auto"/>
        </w:rPr>
        <w:t>Although the FDA may accept data from clinical trials conducted outside the United States, acceptance of this data is subject to certain conditions imposed by the FDA. For example, the clinical trial must be conducted by qualified investigators in accordance with GCPs, and the FDA must be able to validate the trial data through an on-site inspection, if necessary. Generally, the patient population for any clinical trial conducted outside of the United States must be representative of the population for which we intend to seek approval in the United States. There can be no assurance that the FDA will accept data from trials conducted outside of the United States. If the FDA does not accept the data from any clinical trials that we or our collaboration partners conduct outside the United States, it would likely result in the need for additional clinical trials, which would be costly and time consuming and delay or permanently halt our ability to develop and market these or other product candidates in the United States. In other jurisdictions, for instance, in Japan, there is a similar risk regarding the acceptability of clinical trial data conducted outside of that jurisdiction.</w:t>
      </w:r>
    </w:p>
    <w:p>
      <w:pPr>
        <w:spacing w:after="0" w:line="126" w:lineRule="exact"/>
        <w:rPr>
          <w:sz w:val="20"/>
          <w:szCs w:val="20"/>
          <w:color w:val="auto"/>
        </w:rPr>
      </w:pPr>
    </w:p>
    <w:p>
      <w:pPr>
        <w:ind w:left="1260" w:right="479" w:firstLine="648"/>
        <w:spacing w:after="0" w:line="261" w:lineRule="auto"/>
        <w:rPr>
          <w:sz w:val="20"/>
          <w:szCs w:val="20"/>
          <w:color w:val="auto"/>
        </w:rPr>
      </w:pPr>
      <w:r>
        <w:rPr>
          <w:rFonts w:ascii="Arial" w:cs="Arial" w:eastAsia="Arial" w:hAnsi="Arial"/>
          <w:sz w:val="18"/>
          <w:szCs w:val="18"/>
          <w:color w:val="auto"/>
        </w:rPr>
        <w:t>In addition, there are risks inherent in conducting clinical trials in multiple jurisdictions, inside and outside of the United States, such as:</w:t>
      </w:r>
    </w:p>
    <w:p>
      <w:pPr>
        <w:spacing w:after="0" w:line="63" w:lineRule="exact"/>
        <w:rPr>
          <w:sz w:val="20"/>
          <w:szCs w:val="20"/>
          <w:color w:val="auto"/>
        </w:rPr>
      </w:pPr>
    </w:p>
    <w:p>
      <w:pPr>
        <w:ind w:left="2260" w:right="499" w:hanging="352"/>
        <w:spacing w:after="0" w:line="277" w:lineRule="auto"/>
        <w:tabs>
          <w:tab w:leader="none" w:pos="2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and administrative requirements of the jurisdiction where the trial is conducted that could burden or limit our ability to conduct our clinical trials;</w:t>
      </w:r>
    </w:p>
    <w:p>
      <w:pPr>
        <w:spacing w:after="0" w:line="35" w:lineRule="exact"/>
        <w:rPr>
          <w:rFonts w:ascii="Arial" w:cs="Arial" w:eastAsia="Arial" w:hAnsi="Arial"/>
          <w:sz w:val="18"/>
          <w:szCs w:val="18"/>
          <w:color w:val="auto"/>
        </w:rPr>
      </w:pPr>
    </w:p>
    <w:p>
      <w:pPr>
        <w:ind w:left="2260" w:hanging="352"/>
        <w:spacing w:after="0"/>
        <w:tabs>
          <w:tab w:leader="none" w:pos="2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foreign exchange fluctuations;</w:t>
      </w:r>
    </w:p>
    <w:p>
      <w:pPr>
        <w:spacing w:after="0" w:line="90" w:lineRule="exact"/>
        <w:rPr>
          <w:rFonts w:ascii="Arial" w:cs="Arial" w:eastAsia="Arial" w:hAnsi="Arial"/>
          <w:sz w:val="18"/>
          <w:szCs w:val="18"/>
          <w:color w:val="auto"/>
        </w:rPr>
      </w:pPr>
    </w:p>
    <w:p>
      <w:pPr>
        <w:ind w:left="2260" w:hanging="352"/>
        <w:spacing w:after="0"/>
        <w:tabs>
          <w:tab w:leader="none" w:pos="2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manufacturing, customs, shipment and storage requirements;</w:t>
      </w:r>
    </w:p>
    <w:p>
      <w:pPr>
        <w:spacing w:after="0" w:line="103" w:lineRule="exact"/>
        <w:rPr>
          <w:rFonts w:ascii="Arial" w:cs="Arial" w:eastAsia="Arial" w:hAnsi="Arial"/>
          <w:sz w:val="18"/>
          <w:szCs w:val="18"/>
          <w:color w:val="auto"/>
        </w:rPr>
      </w:pPr>
    </w:p>
    <w:p>
      <w:pPr>
        <w:ind w:left="2260" w:hanging="352"/>
        <w:spacing w:after="0"/>
        <w:tabs>
          <w:tab w:leader="none" w:pos="2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cultural differences in medical practice and clinical research; and</w:t>
      </w:r>
    </w:p>
    <w:p>
      <w:pPr>
        <w:spacing w:after="0" w:line="90" w:lineRule="exact"/>
        <w:rPr>
          <w:rFonts w:ascii="Arial" w:cs="Arial" w:eastAsia="Arial" w:hAnsi="Arial"/>
          <w:sz w:val="18"/>
          <w:szCs w:val="18"/>
          <w:color w:val="auto"/>
        </w:rPr>
      </w:pPr>
    </w:p>
    <w:p>
      <w:pPr>
        <w:ind w:left="2260" w:right="939" w:hanging="352"/>
        <w:spacing w:after="0" w:line="308" w:lineRule="auto"/>
        <w:tabs>
          <w:tab w:leader="none" w:pos="22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risk that the patient populations in such trials are not considered representative as compared to the patient population in the target markets where approval is being sought.</w:t>
      </w:r>
    </w:p>
    <w:p>
      <w:pPr>
        <w:spacing w:after="0" w:line="146" w:lineRule="exact"/>
        <w:rPr>
          <w:sz w:val="20"/>
          <w:szCs w:val="20"/>
          <w:color w:val="auto"/>
        </w:rPr>
      </w:pPr>
    </w:p>
    <w:p>
      <w:pPr>
        <w:ind w:left="1260" w:right="539"/>
        <w:spacing w:after="0" w:line="248" w:lineRule="auto"/>
        <w:rPr>
          <w:sz w:val="20"/>
          <w:szCs w:val="20"/>
          <w:color w:val="auto"/>
        </w:rPr>
      </w:pPr>
      <w:r>
        <w:rPr>
          <w:rFonts w:ascii="Arial" w:cs="Arial" w:eastAsia="Arial" w:hAnsi="Arial"/>
          <w:sz w:val="18"/>
          <w:szCs w:val="18"/>
          <w:b w:val="1"/>
          <w:bCs w:val="1"/>
          <w:i w:val="1"/>
          <w:iCs w:val="1"/>
          <w:color w:val="auto"/>
        </w:rPr>
        <w:t>If any of our product candidates receive regulatory approval, the approved products may not achieve broad market acceptance among physicians, patients, the medical community and third-party payors, in which case revenue generated from their sales would be limited.</w:t>
      </w:r>
    </w:p>
    <w:p>
      <w:pPr>
        <w:spacing w:after="0" w:line="101" w:lineRule="exact"/>
        <w:rPr>
          <w:sz w:val="20"/>
          <w:szCs w:val="20"/>
          <w:color w:val="auto"/>
        </w:rPr>
      </w:pPr>
    </w:p>
    <w:p>
      <w:pPr>
        <w:ind w:left="1260" w:right="459" w:firstLine="648"/>
        <w:spacing w:after="0" w:line="248" w:lineRule="auto"/>
        <w:rPr>
          <w:sz w:val="20"/>
          <w:szCs w:val="20"/>
          <w:color w:val="auto"/>
        </w:rPr>
      </w:pPr>
      <w:r>
        <w:rPr>
          <w:rFonts w:ascii="Arial" w:cs="Arial" w:eastAsia="Arial" w:hAnsi="Arial"/>
          <w:sz w:val="18"/>
          <w:szCs w:val="18"/>
          <w:color w:val="auto"/>
        </w:rPr>
        <w:t>The commercial success of our product candidates will depend upon their acceptance among physicians, patients and the medical community. The degree of market acceptance of our product candidates will depend on a number of factors, including:</w:t>
      </w: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60" w:hanging="352"/>
        <w:spacing w:after="0"/>
        <w:tabs>
          <w:tab w:leader="none" w:pos="2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limitations or warnings contained in the approved labeling for a product candidate;</w:t>
      </w:r>
    </w:p>
    <w:p>
      <w:pPr>
        <w:spacing w:after="0" w:line="130" w:lineRule="exact"/>
        <w:rPr>
          <w:rFonts w:ascii="Arial" w:cs="Arial" w:eastAsia="Arial" w:hAnsi="Arial"/>
          <w:sz w:val="18"/>
          <w:szCs w:val="18"/>
          <w:color w:val="auto"/>
        </w:rPr>
      </w:pPr>
    </w:p>
    <w:p>
      <w:pPr>
        <w:ind w:left="2260" w:hanging="352"/>
        <w:spacing w:after="0"/>
        <w:tabs>
          <w:tab w:leader="none" w:pos="22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changes in the standard of care for the targeted indications for any of our product candidates;</w:t>
      </w:r>
    </w:p>
    <w:p>
      <w:pPr>
        <w:spacing w:after="0" w:line="128" w:lineRule="exact"/>
        <w:rPr>
          <w:rFonts w:ascii="Arial" w:cs="Arial" w:eastAsia="Arial" w:hAnsi="Arial"/>
          <w:sz w:val="17"/>
          <w:szCs w:val="17"/>
          <w:color w:val="auto"/>
        </w:rPr>
      </w:pPr>
    </w:p>
    <w:p>
      <w:pPr>
        <w:ind w:left="2260" w:hanging="352"/>
        <w:spacing w:after="0"/>
        <w:tabs>
          <w:tab w:leader="none" w:pos="2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limitations in the approved clinical indications for our product candidates;</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demonstrated clinical safety and efficacy compared to other products;</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lack of significant adverse side effects;</w:t>
      </w:r>
    </w:p>
    <w:p>
      <w:pPr>
        <w:spacing w:after="0" w:line="130" w:lineRule="exact"/>
        <w:rPr>
          <w:rFonts w:ascii="Arial" w:cs="Arial" w:eastAsia="Arial" w:hAnsi="Arial"/>
          <w:sz w:val="18"/>
          <w:szCs w:val="18"/>
          <w:color w:val="auto"/>
        </w:rPr>
      </w:pPr>
    </w:p>
    <w:p>
      <w:pPr>
        <w:ind w:left="2260" w:hanging="352"/>
        <w:spacing w:after="0"/>
        <w:tabs>
          <w:tab w:leader="none" w:pos="2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sales, marketing and distribution support;</w:t>
      </w:r>
    </w:p>
    <w:p>
      <w:pPr>
        <w:spacing w:after="0" w:line="117" w:lineRule="exact"/>
        <w:rPr>
          <w:rFonts w:ascii="Arial" w:cs="Arial" w:eastAsia="Arial" w:hAnsi="Arial"/>
          <w:sz w:val="18"/>
          <w:szCs w:val="18"/>
          <w:color w:val="auto"/>
        </w:rPr>
      </w:pPr>
    </w:p>
    <w:p>
      <w:pPr>
        <w:ind w:left="2260" w:right="459" w:hanging="352"/>
        <w:spacing w:after="0" w:line="277" w:lineRule="auto"/>
        <w:tabs>
          <w:tab w:leader="none" w:pos="2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availability of coverage and extent of reimbursement from managed care plans and other third-party payors;</w:t>
      </w:r>
    </w:p>
    <w:p>
      <w:pPr>
        <w:spacing w:after="0" w:line="62" w:lineRule="exact"/>
        <w:rPr>
          <w:rFonts w:ascii="Arial" w:cs="Arial" w:eastAsia="Arial" w:hAnsi="Arial"/>
          <w:sz w:val="18"/>
          <w:szCs w:val="18"/>
          <w:color w:val="auto"/>
        </w:rPr>
      </w:pPr>
    </w:p>
    <w:p>
      <w:pPr>
        <w:ind w:left="2260" w:hanging="352"/>
        <w:spacing w:after="0"/>
        <w:tabs>
          <w:tab w:leader="none" w:pos="2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timing of market introduction and perceived effectiveness of competitive products;</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degree of cost-effectiveness of our product candidates;</w:t>
      </w:r>
    </w:p>
    <w:p>
      <w:pPr>
        <w:spacing w:after="0" w:line="117" w:lineRule="exact"/>
        <w:rPr>
          <w:rFonts w:ascii="Arial" w:cs="Arial" w:eastAsia="Arial" w:hAnsi="Arial"/>
          <w:sz w:val="18"/>
          <w:szCs w:val="18"/>
          <w:color w:val="auto"/>
        </w:rPr>
      </w:pPr>
    </w:p>
    <w:p>
      <w:pPr>
        <w:ind w:left="2260" w:right="719" w:hanging="352"/>
        <w:spacing w:after="0" w:line="277" w:lineRule="auto"/>
        <w:tabs>
          <w:tab w:leader="none" w:pos="2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availability of alternative therapies at similar or lower cost, including generic and over-the-counter products;</w:t>
      </w:r>
    </w:p>
    <w:p>
      <w:pPr>
        <w:spacing w:after="0" w:line="62" w:lineRule="exact"/>
        <w:rPr>
          <w:rFonts w:ascii="Arial" w:cs="Arial" w:eastAsia="Arial" w:hAnsi="Arial"/>
          <w:sz w:val="18"/>
          <w:szCs w:val="18"/>
          <w:color w:val="auto"/>
        </w:rPr>
      </w:pPr>
    </w:p>
    <w:p>
      <w:pPr>
        <w:ind w:left="2260" w:right="599" w:hanging="352"/>
        <w:spacing w:after="0" w:line="277" w:lineRule="auto"/>
        <w:tabs>
          <w:tab w:leader="none" w:pos="2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whether the product is designated under physician treatment guidelines as a first-line therapy or as a second or third-line therapy for particular diseases;</w:t>
      </w:r>
    </w:p>
    <w:p>
      <w:pPr>
        <w:spacing w:after="0" w:line="62" w:lineRule="exact"/>
        <w:rPr>
          <w:rFonts w:ascii="Arial" w:cs="Arial" w:eastAsia="Arial" w:hAnsi="Arial"/>
          <w:sz w:val="18"/>
          <w:szCs w:val="18"/>
          <w:color w:val="auto"/>
        </w:rPr>
      </w:pPr>
    </w:p>
    <w:p>
      <w:pPr>
        <w:ind w:left="2260" w:right="719" w:hanging="352"/>
        <w:spacing w:after="0" w:line="277" w:lineRule="auto"/>
        <w:tabs>
          <w:tab w:leader="none" w:pos="2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whether the product can be used effectively with other therapies to achieve higher response rates;</w:t>
      </w:r>
    </w:p>
    <w:p>
      <w:pPr>
        <w:spacing w:after="0" w:line="75" w:lineRule="exact"/>
        <w:rPr>
          <w:rFonts w:ascii="Arial" w:cs="Arial" w:eastAsia="Arial" w:hAnsi="Arial"/>
          <w:sz w:val="18"/>
          <w:szCs w:val="18"/>
          <w:color w:val="auto"/>
        </w:rPr>
      </w:pPr>
    </w:p>
    <w:p>
      <w:pPr>
        <w:ind w:left="2260" w:right="999" w:hanging="352"/>
        <w:spacing w:after="0" w:line="277" w:lineRule="auto"/>
        <w:tabs>
          <w:tab w:leader="none" w:pos="2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adverse publicity about our product candidates or favorable publicity about competitive products;</w:t>
      </w:r>
    </w:p>
    <w:p>
      <w:pPr>
        <w:spacing w:after="0" w:line="62" w:lineRule="exact"/>
        <w:rPr>
          <w:rFonts w:ascii="Arial" w:cs="Arial" w:eastAsia="Arial" w:hAnsi="Arial"/>
          <w:sz w:val="18"/>
          <w:szCs w:val="18"/>
          <w:color w:val="auto"/>
        </w:rPr>
      </w:pPr>
    </w:p>
    <w:p>
      <w:pPr>
        <w:ind w:left="2260" w:hanging="352"/>
        <w:spacing w:after="0"/>
        <w:tabs>
          <w:tab w:leader="none" w:pos="2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convenience and ease of administration of our products; and</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44" w:lineRule="exact"/>
        <w:rPr>
          <w:sz w:val="20"/>
          <w:szCs w:val="20"/>
          <w:color w:val="auto"/>
        </w:rPr>
      </w:pPr>
    </w:p>
    <w:p>
      <w:pPr>
        <w:ind w:left="1260" w:right="599" w:firstLine="648"/>
        <w:spacing w:after="0" w:line="257" w:lineRule="auto"/>
        <w:rPr>
          <w:sz w:val="20"/>
          <w:szCs w:val="20"/>
          <w:color w:val="auto"/>
        </w:rPr>
      </w:pPr>
      <w:r>
        <w:rPr>
          <w:rFonts w:ascii="Arial" w:cs="Arial" w:eastAsia="Arial" w:hAnsi="Arial"/>
          <w:sz w:val="18"/>
          <w:szCs w:val="18"/>
          <w:color w:val="auto"/>
        </w:rPr>
        <w:t>If any of our product candidates are approved, but do not achieve an adequate level of acceptance by physicians, patients and the medical community, we may not generate sufficient revenue from these products, and we may not become or remain profitable. In addition, efforts to educate the medical community and third-party payors on the benefits of our product candidates may require significant resources and may never be successful.</w:t>
      </w:r>
    </w:p>
    <w:p>
      <w:pPr>
        <w:spacing w:after="0" w:line="188" w:lineRule="exact"/>
        <w:rPr>
          <w:sz w:val="20"/>
          <w:szCs w:val="20"/>
          <w:color w:val="auto"/>
        </w:rPr>
      </w:pPr>
    </w:p>
    <w:p>
      <w:pPr>
        <w:ind w:left="1260" w:right="459"/>
        <w:spacing w:after="0" w:line="263" w:lineRule="auto"/>
        <w:rPr>
          <w:sz w:val="20"/>
          <w:szCs w:val="20"/>
          <w:color w:val="auto"/>
        </w:rPr>
      </w:pPr>
      <w:r>
        <w:rPr>
          <w:rFonts w:ascii="Arial" w:cs="Arial" w:eastAsia="Arial" w:hAnsi="Arial"/>
          <w:sz w:val="18"/>
          <w:szCs w:val="18"/>
          <w:b w:val="1"/>
          <w:bCs w:val="1"/>
          <w:i w:val="1"/>
          <w:iCs w:val="1"/>
          <w:color w:val="auto"/>
        </w:rPr>
        <w:t>The United Kingdom’s withdrawal from the European Union, or Brexit, could result in increased regulatory and legal complexity, and impose additional challenges in securing regulatory approval of our product candidates in the European Union and the rest of Europe.</w:t>
      </w:r>
    </w:p>
    <w:p>
      <w:pPr>
        <w:spacing w:after="0" w:line="116" w:lineRule="exact"/>
        <w:rPr>
          <w:sz w:val="20"/>
          <w:szCs w:val="20"/>
          <w:color w:val="auto"/>
        </w:rPr>
      </w:pPr>
    </w:p>
    <w:p>
      <w:pPr>
        <w:ind w:left="1260" w:right="439" w:firstLine="648"/>
        <w:spacing w:after="0" w:line="269" w:lineRule="auto"/>
        <w:rPr>
          <w:sz w:val="20"/>
          <w:szCs w:val="20"/>
          <w:color w:val="auto"/>
        </w:rPr>
      </w:pPr>
      <w:r>
        <w:rPr>
          <w:rFonts w:ascii="Arial" w:cs="Arial" w:eastAsia="Arial" w:hAnsi="Arial"/>
          <w:sz w:val="17"/>
          <w:szCs w:val="17"/>
          <w:color w:val="auto"/>
        </w:rPr>
        <w:t>We could face heightened risks with respect to seeking marketing approval in the United Kingdom as a result of the recent withdrawal of the United Kingdom from the European Union, commonly referred to as Brexit. Pursuant to the formal withdrawal arrangements agreed between the United Kingdom and the European Union, the United Kingdom withdrew from the European Union, effective December 31, 2020. On December 24, 2020, the United Kingdom and the European Union entered into a Trade and Cooperation Agreement. The agreement sets out certain procedures for approval and recognition of medical products in each jurisdiction. We cannot predict whether or not the United Kingdom will significantly alter its current laws and regulations in respect of the pharmaceutical industry or how the Trade and Cooperation Agreement will be interpreted and, if so, what impact any such alteration or interpretation would have on us or our business. Moreover, we cannot predict the impact that Brexit will have on (i) the marketing of pharmaceutical products, (ii) the process to obtain regulatory approval in the United Kingdom for product candidates or (iii) the award of exclusivities that are normally part of the European Union legal framework.</w:t>
      </w:r>
    </w:p>
    <w:p>
      <w:pPr>
        <w:spacing w:after="0" w:line="111" w:lineRule="exact"/>
        <w:rPr>
          <w:sz w:val="20"/>
          <w:szCs w:val="20"/>
          <w:color w:val="auto"/>
        </w:rPr>
      </w:pPr>
    </w:p>
    <w:p>
      <w:pPr>
        <w:ind w:left="1260" w:right="519" w:firstLine="648"/>
        <w:spacing w:after="0" w:line="257" w:lineRule="auto"/>
        <w:rPr>
          <w:sz w:val="20"/>
          <w:szCs w:val="20"/>
          <w:color w:val="auto"/>
        </w:rPr>
      </w:pPr>
      <w:r>
        <w:rPr>
          <w:rFonts w:ascii="Arial" w:cs="Arial" w:eastAsia="Arial" w:hAnsi="Arial"/>
          <w:sz w:val="18"/>
          <w:szCs w:val="18"/>
          <w:color w:val="auto"/>
        </w:rPr>
        <w:t>Brexit may also result in a reduction of funding to the EMA if the United Kingdom no longer makes financial contributions to European institutions, such as the EMA. If the United Kingdom funding is so reduced, it could create delays in the EMA issuing regulatory approvals for our products and product candidates and, accordingly, have a material adverse effect on our business, financial position, results of operations and future growth prospects.</w:t>
      </w:r>
    </w:p>
    <w:p>
      <w:pPr>
        <w:sectPr>
          <w:pgSz w:w="11900" w:h="16838" w:orient="portrait"/>
          <w:cols w:equalWidth="0" w:num="1">
            <w:col w:w="9879"/>
          </w:cols>
          <w:pgMar w:left="580" w:top="132"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3" w:name="page44"/>
    <w:bookmarkEnd w:id="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99" w:firstLine="648"/>
        <w:spacing w:after="0" w:line="275" w:lineRule="auto"/>
        <w:rPr>
          <w:sz w:val="20"/>
          <w:szCs w:val="20"/>
          <w:color w:val="auto"/>
        </w:rPr>
      </w:pPr>
      <w:r>
        <w:rPr>
          <w:rFonts w:ascii="Arial" w:cs="Arial" w:eastAsia="Arial" w:hAnsi="Arial"/>
          <w:sz w:val="17"/>
          <w:szCs w:val="17"/>
          <w:color w:val="auto"/>
        </w:rPr>
        <w:t>As a result of Brexit, other European countries may seek to conduct referenda with respect to their continuing membership with the European Union. Given these possibilities and others we may not anticipate, as well as the absence of comparable precedent, it is unclear what financial, regulatory and legal implications the withdrawal of the United Kingdom from the European Union would have and how such withdrawal would affect us, and the full extent to which our business could be adversely affected.</w:t>
      </w:r>
    </w:p>
    <w:p>
      <w:pPr>
        <w:spacing w:after="0" w:line="109" w:lineRule="exact"/>
        <w:rPr>
          <w:sz w:val="20"/>
          <w:szCs w:val="20"/>
          <w:color w:val="auto"/>
        </w:rPr>
      </w:pPr>
    </w:p>
    <w:p>
      <w:pPr>
        <w:ind w:left="1260" w:right="459" w:firstLine="648"/>
        <w:spacing w:after="0" w:line="273" w:lineRule="auto"/>
        <w:rPr>
          <w:sz w:val="20"/>
          <w:szCs w:val="20"/>
          <w:color w:val="auto"/>
        </w:rPr>
      </w:pPr>
      <w:r>
        <w:rPr>
          <w:rFonts w:ascii="Arial" w:cs="Arial" w:eastAsia="Arial" w:hAnsi="Arial"/>
          <w:sz w:val="17"/>
          <w:szCs w:val="17"/>
          <w:color w:val="auto"/>
        </w:rPr>
        <w:t>In addition, following the Brexit vote, the European Union decided to move the headquarters of the EMA from the United Kingdom to the Netherlands. The EMA is currently finishing its relocation process to the Netherlands. However, as a result of the move, the EMA has lost a significant percentage of its employees and was not able to hire at least the same amount of employees that left the EMA upon the movement of its headquarters from the United Kingdom to the Netherlands. This raises the possibility that new drug approvals in the European Union could be delayed as a result of such employee shortage.</w:t>
      </w:r>
    </w:p>
    <w:p>
      <w:pPr>
        <w:spacing w:after="0" w:line="178" w:lineRule="exact"/>
        <w:rPr>
          <w:sz w:val="20"/>
          <w:szCs w:val="20"/>
          <w:color w:val="auto"/>
        </w:rPr>
      </w:pPr>
    </w:p>
    <w:p>
      <w:pPr>
        <w:ind w:left="1260" w:right="759"/>
        <w:spacing w:after="0" w:line="277" w:lineRule="auto"/>
        <w:rPr>
          <w:sz w:val="20"/>
          <w:szCs w:val="20"/>
          <w:color w:val="auto"/>
        </w:rPr>
      </w:pPr>
      <w:r>
        <w:rPr>
          <w:rFonts w:ascii="Arial" w:cs="Arial" w:eastAsia="Arial" w:hAnsi="Arial"/>
          <w:sz w:val="18"/>
          <w:szCs w:val="18"/>
          <w:b w:val="1"/>
          <w:bCs w:val="1"/>
          <w:i w:val="1"/>
          <w:iCs w:val="1"/>
          <w:color w:val="auto"/>
        </w:rPr>
        <w:t>Our product candidates for which we may seek approval as biologic products may face competition sooner than anticipated.</w:t>
      </w:r>
    </w:p>
    <w:p>
      <w:pPr>
        <w:spacing w:after="0" w:line="103" w:lineRule="exact"/>
        <w:rPr>
          <w:sz w:val="20"/>
          <w:szCs w:val="20"/>
          <w:color w:val="auto"/>
        </w:rPr>
      </w:pPr>
    </w:p>
    <w:p>
      <w:pPr>
        <w:ind w:left="1260" w:right="419" w:firstLine="648"/>
        <w:spacing w:after="0" w:line="252" w:lineRule="auto"/>
        <w:rPr>
          <w:sz w:val="20"/>
          <w:szCs w:val="20"/>
          <w:color w:val="auto"/>
        </w:rPr>
      </w:pPr>
      <w:r>
        <w:rPr>
          <w:rFonts w:ascii="Arial" w:cs="Arial" w:eastAsia="Arial" w:hAnsi="Arial"/>
          <w:sz w:val="18"/>
          <w:szCs w:val="18"/>
          <w:color w:val="auto"/>
        </w:rPr>
        <w:t>The Patient Protection and Affordable Care Act, as amended by the Health Care and Education Reconciliation Act of 2010, or collectively, the Affordable Care Act, signed into law on March 23, 2010,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p>
    <w:p>
      <w:pPr>
        <w:spacing w:after="0" w:line="119" w:lineRule="exact"/>
        <w:rPr>
          <w:sz w:val="20"/>
          <w:szCs w:val="20"/>
          <w:color w:val="auto"/>
        </w:rPr>
      </w:pPr>
    </w:p>
    <w:p>
      <w:pPr>
        <w:ind w:left="1260" w:right="459" w:firstLine="648"/>
        <w:spacing w:after="0" w:line="270" w:lineRule="auto"/>
        <w:rPr>
          <w:sz w:val="20"/>
          <w:szCs w:val="20"/>
          <w:color w:val="auto"/>
        </w:rPr>
      </w:pPr>
      <w:r>
        <w:rPr>
          <w:rFonts w:ascii="Arial" w:cs="Arial" w:eastAsia="Arial" w:hAnsi="Arial"/>
          <w:sz w:val="17"/>
          <w:szCs w:val="17"/>
          <w:color w:val="auto"/>
        </w:rPr>
        <w:t>To the extent any of our product candidates approved as a biological product under a BLA qualifies for a 12-year period of exclusivity, for which we make no assurances, there is a risk that such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13" w:lineRule="exact"/>
        <w:rPr>
          <w:sz w:val="20"/>
          <w:szCs w:val="20"/>
          <w:color w:val="auto"/>
        </w:rPr>
      </w:pPr>
    </w:p>
    <w:p>
      <w:pPr>
        <w:ind w:left="1260" w:right="519" w:firstLine="648"/>
        <w:spacing w:after="0" w:line="277" w:lineRule="auto"/>
        <w:rPr>
          <w:sz w:val="20"/>
          <w:szCs w:val="20"/>
          <w:color w:val="auto"/>
        </w:rPr>
      </w:pPr>
      <w:r>
        <w:rPr>
          <w:rFonts w:ascii="Arial" w:cs="Arial" w:eastAsia="Arial" w:hAnsi="Arial"/>
          <w:sz w:val="18"/>
          <w:szCs w:val="18"/>
          <w:color w:val="auto"/>
        </w:rPr>
        <w:t>If any approved products are subject to biosimilar competition sooner than we expect, we will face significant pricing pressure and our commercial opportunity will be limited.</w:t>
      </w:r>
    </w:p>
    <w:p>
      <w:pPr>
        <w:spacing w:after="0" w:line="170" w:lineRule="exact"/>
        <w:rPr>
          <w:sz w:val="20"/>
          <w:szCs w:val="20"/>
          <w:color w:val="auto"/>
        </w:rPr>
      </w:pPr>
    </w:p>
    <w:p>
      <w:pPr>
        <w:ind w:left="1260" w:right="599"/>
        <w:spacing w:after="0" w:line="279" w:lineRule="auto"/>
        <w:rPr>
          <w:sz w:val="20"/>
          <w:szCs w:val="20"/>
          <w:color w:val="auto"/>
        </w:rPr>
      </w:pPr>
      <w:r>
        <w:rPr>
          <w:rFonts w:ascii="Arial" w:cs="Arial" w:eastAsia="Arial" w:hAnsi="Arial"/>
          <w:sz w:val="17"/>
          <w:szCs w:val="17"/>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or approved or commercialized in a timely manner or at all, which could negatively impact our business.</w:t>
      </w:r>
    </w:p>
    <w:p>
      <w:pPr>
        <w:spacing w:after="0" w:line="104" w:lineRule="exact"/>
        <w:rPr>
          <w:sz w:val="20"/>
          <w:szCs w:val="20"/>
          <w:color w:val="auto"/>
        </w:rPr>
      </w:pPr>
    </w:p>
    <w:p>
      <w:pPr>
        <w:ind w:left="1260" w:right="419" w:firstLine="648"/>
        <w:spacing w:after="0" w:line="269"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our product candidates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ectPr>
          <w:pgSz w:w="11900" w:h="16838" w:orient="portrait"/>
          <w:cols w:equalWidth="0" w:num="1">
            <w:col w:w="9879"/>
          </w:cols>
          <w:pgMar w:left="580" w:top="132"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4" w:name="page45"/>
    <w:bookmarkEnd w:id="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39" w:firstLine="648"/>
        <w:spacing w:after="0" w:line="252" w:lineRule="auto"/>
        <w:rPr>
          <w:sz w:val="20"/>
          <w:szCs w:val="20"/>
          <w:color w:val="auto"/>
        </w:rPr>
      </w:pPr>
      <w:r>
        <w:rPr>
          <w:rFonts w:ascii="Arial" w:cs="Arial" w:eastAsia="Arial" w:hAnsi="Arial"/>
          <w:sz w:val="17"/>
          <w:szCs w:val="17"/>
          <w:color w:val="auto"/>
        </w:rPr>
        <w:t>Separately, in response to the global COVID-19 pandemic, on March 10, 2020, the FDA announced its intention to postpone most inspections of foreign manufacturing facilities and products and subsequently,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 -19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the Manufacturing of Our Product Candidates</w:t>
      </w:r>
    </w:p>
    <w:p>
      <w:pPr>
        <w:spacing w:after="0" w:line="229" w:lineRule="exact"/>
        <w:rPr>
          <w:sz w:val="20"/>
          <w:szCs w:val="20"/>
          <w:color w:val="auto"/>
        </w:rPr>
      </w:pPr>
    </w:p>
    <w:p>
      <w:pPr>
        <w:ind w:left="1260" w:right="539"/>
        <w:spacing w:after="0" w:line="243" w:lineRule="auto"/>
        <w:rPr>
          <w:sz w:val="20"/>
          <w:szCs w:val="20"/>
          <w:color w:val="auto"/>
        </w:rPr>
      </w:pPr>
      <w:r>
        <w:rPr>
          <w:rFonts w:ascii="Arial" w:cs="Arial" w:eastAsia="Arial" w:hAnsi="Arial"/>
          <w:sz w:val="18"/>
          <w:szCs w:val="18"/>
          <w:b w:val="1"/>
          <w:bCs w:val="1"/>
          <w:i w:val="1"/>
          <w:iCs w:val="1"/>
          <w:color w:val="auto"/>
        </w:rPr>
        <w:t>The manufacture of mRNA-based medicines is complex and manufacturers often encounter difficulties in production, especially in the field of biologics. If we or any of our third-party manufacturers encounter difficulties, our ability to provide product candidates for clinical trials or products, if approved, to patients or future customers could be delayed or halted.</w:t>
      </w:r>
    </w:p>
    <w:p>
      <w:pPr>
        <w:spacing w:after="0" w:line="120" w:lineRule="exact"/>
        <w:rPr>
          <w:sz w:val="20"/>
          <w:szCs w:val="20"/>
          <w:color w:val="auto"/>
        </w:rPr>
      </w:pPr>
    </w:p>
    <w:p>
      <w:pPr>
        <w:ind w:left="1260" w:right="479" w:firstLine="648"/>
        <w:spacing w:after="0" w:line="238" w:lineRule="auto"/>
        <w:rPr>
          <w:sz w:val="20"/>
          <w:szCs w:val="20"/>
          <w:color w:val="auto"/>
        </w:rPr>
      </w:pPr>
      <w:r>
        <w:rPr>
          <w:rFonts w:ascii="Arial" w:cs="Arial" w:eastAsia="Arial" w:hAnsi="Arial"/>
          <w:sz w:val="18"/>
          <w:szCs w:val="18"/>
          <w:color w:val="auto"/>
        </w:rPr>
        <w:t>The manufacture of mRNA-based medicines is complex and requires significant expertise and capital investment, including the development of advanced manufacturing techniques and analytics. We and our third-party manufacturers must comply with cGMP, regulations and guidelines for the manufacturing of our product candidates used in preclinical studies and clinical trials and, if approved, marketed products. Manufacturers of biotechnology products often encounter difficulties in production, particularly in scaling up and validating initial production. Furthermore, if microbial, viral or other contaminations are discovered in our product candidates or in the manufacturing facilities where our product candidates are made, such manufacturing facilities may be closed for an extended period of time to investigate and remedy the contamination. Shortages of raw materials may also extend the period of time required to develop our product candidates.</w:t>
      </w:r>
    </w:p>
    <w:p>
      <w:pPr>
        <w:spacing w:after="0" w:line="121" w:lineRule="exact"/>
        <w:rPr>
          <w:sz w:val="20"/>
          <w:szCs w:val="20"/>
          <w:color w:val="auto"/>
        </w:rPr>
      </w:pPr>
    </w:p>
    <w:p>
      <w:pPr>
        <w:ind w:left="1260" w:right="479" w:firstLine="648"/>
        <w:spacing w:after="0" w:line="271" w:lineRule="auto"/>
        <w:rPr>
          <w:sz w:val="20"/>
          <w:szCs w:val="20"/>
          <w:color w:val="auto"/>
        </w:rPr>
      </w:pPr>
      <w:r>
        <w:rPr>
          <w:rFonts w:ascii="Arial" w:cs="Arial" w:eastAsia="Arial" w:hAnsi="Arial"/>
          <w:sz w:val="17"/>
          <w:szCs w:val="17"/>
          <w:color w:val="auto"/>
        </w:rPr>
        <w:t>Manufacturing these products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The use of biologically derived ingredients can also lead to allegations of harm, including infections or allergic reactions, or closure of product facilities due to possible contamination.</w:t>
      </w:r>
    </w:p>
    <w:p>
      <w:pPr>
        <w:spacing w:after="0" w:line="97" w:lineRule="exact"/>
        <w:rPr>
          <w:sz w:val="20"/>
          <w:szCs w:val="20"/>
          <w:color w:val="auto"/>
        </w:rPr>
      </w:pPr>
    </w:p>
    <w:p>
      <w:pPr>
        <w:ind w:left="1260" w:right="479" w:firstLine="648"/>
        <w:spacing w:after="0" w:line="253" w:lineRule="auto"/>
        <w:rPr>
          <w:sz w:val="20"/>
          <w:szCs w:val="20"/>
          <w:color w:val="auto"/>
        </w:rPr>
      </w:pPr>
      <w:r>
        <w:rPr>
          <w:rFonts w:ascii="Arial" w:cs="Arial" w:eastAsia="Arial" w:hAnsi="Arial"/>
          <w:sz w:val="18"/>
          <w:szCs w:val="18"/>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obtain marketing approval for any of our product candidates, there is no assurance that we or our manufacturers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If we or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spacing w:after="0" w:line="124" w:lineRule="exact"/>
        <w:rPr>
          <w:sz w:val="20"/>
          <w:szCs w:val="20"/>
          <w:color w:val="auto"/>
        </w:rPr>
      </w:pPr>
    </w:p>
    <w:p>
      <w:pPr>
        <w:ind w:left="1260" w:right="439" w:firstLine="648"/>
        <w:spacing w:after="0" w:line="275" w:lineRule="auto"/>
        <w:rPr>
          <w:sz w:val="20"/>
          <w:szCs w:val="20"/>
          <w:color w:val="auto"/>
        </w:rPr>
      </w:pPr>
      <w:r>
        <w:rPr>
          <w:rFonts w:ascii="Arial" w:cs="Arial" w:eastAsia="Arial" w:hAnsi="Arial"/>
          <w:sz w:val="17"/>
          <w:szCs w:val="17"/>
          <w:color w:val="auto"/>
        </w:rPr>
        <w:t>We cannot assure you that any disruptions or other issues relating to the manufacture of any of our product candidates will not occur in the future.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w:t>
      </w:r>
    </w:p>
    <w:p>
      <w:pPr>
        <w:sectPr>
          <w:pgSz w:w="11900" w:h="16838" w:orient="portrait"/>
          <w:cols w:equalWidth="0" w:num="1">
            <w:col w:w="9879"/>
          </w:cols>
          <w:pgMar w:left="580" w:top="132" w:right="1440" w:bottom="1440" w:gutter="0" w:footer="0" w:header="0"/>
        </w:sectPr>
      </w:pPr>
    </w:p>
    <w:p>
      <w:pPr>
        <w:spacing w:after="0" w:line="35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5" w:name="page46"/>
    <w:bookmarkEnd w:id="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79"/>
        <w:spacing w:after="0" w:line="238" w:lineRule="auto"/>
        <w:rPr>
          <w:sz w:val="20"/>
          <w:szCs w:val="20"/>
          <w:color w:val="auto"/>
        </w:rPr>
      </w:pPr>
      <w:r>
        <w:rPr>
          <w:rFonts w:ascii="Arial" w:cs="Arial" w:eastAsia="Arial" w:hAnsi="Arial"/>
          <w:sz w:val="18"/>
          <w:szCs w:val="18"/>
          <w:color w:val="auto"/>
        </w:rPr>
        <w:t>commercial manufacturing of our product candidates or products may result in shipment delays, inventory shortages, lot failures, product withdrawals or recalls or other interruptions in the supply of our product candidates or products. We may also have to take inventory write- offs and incur other charges and expenses for product candidates or products that fail to meet specifications, undertake costly remediation efforts or seek more costly manufacturing alternatives. Accordingly, failures or difficulties faced at any level of our supply chain could delay or impede the development and commercialization of any of our product candidates or products and could have an adverse effect on our business, prospects, financial condition and results of operations.</w:t>
      </w:r>
    </w:p>
    <w:p>
      <w:pPr>
        <w:spacing w:after="0" w:line="194" w:lineRule="exact"/>
        <w:rPr>
          <w:sz w:val="20"/>
          <w:szCs w:val="20"/>
          <w:color w:val="auto"/>
        </w:rPr>
      </w:pPr>
    </w:p>
    <w:p>
      <w:pPr>
        <w:ind w:left="1260" w:right="439"/>
        <w:spacing w:after="0" w:line="243" w:lineRule="auto"/>
        <w:rPr>
          <w:sz w:val="20"/>
          <w:szCs w:val="20"/>
          <w:color w:val="auto"/>
        </w:rPr>
      </w:pPr>
      <w:r>
        <w:rPr>
          <w:rFonts w:ascii="Arial" w:cs="Arial" w:eastAsia="Arial" w:hAnsi="Arial"/>
          <w:sz w:val="18"/>
          <w:szCs w:val="18"/>
          <w:b w:val="1"/>
          <w:bCs w:val="1"/>
          <w:i w:val="1"/>
          <w:iCs w:val="1"/>
          <w:color w:val="auto"/>
        </w:rPr>
        <w:t>We and our third-party manufacturers and suppliers could be subject to liabilities, fines, penalties or other sanctions under federal, state, local and foreign environmental, health and safety laws and regulations if we or they fail to comply with such laws or regulations or otherwise incur costs that could have a material adverse effect on our business.</w:t>
      </w:r>
    </w:p>
    <w:p>
      <w:pPr>
        <w:spacing w:after="0" w:line="120" w:lineRule="exact"/>
        <w:rPr>
          <w:sz w:val="20"/>
          <w:szCs w:val="20"/>
          <w:color w:val="auto"/>
        </w:rPr>
      </w:pPr>
    </w:p>
    <w:p>
      <w:pPr>
        <w:ind w:left="1260" w:right="459" w:firstLine="648"/>
        <w:spacing w:after="0" w:line="238" w:lineRule="auto"/>
        <w:rPr>
          <w:sz w:val="20"/>
          <w:szCs w:val="20"/>
          <w:color w:val="auto"/>
        </w:rPr>
      </w:pPr>
      <w:r>
        <w:rPr>
          <w:rFonts w:ascii="Arial" w:cs="Arial" w:eastAsia="Arial" w:hAnsi="Arial"/>
          <w:sz w:val="18"/>
          <w:szCs w:val="18"/>
          <w:color w:val="auto"/>
        </w:rPr>
        <w:t>We manufacture and produce mRNA-based active ingredients for our product pipeline. We also currently rely on and expect to continue to rely on third parties for the manufacturing and supply of active pharmaceutical ingredients, or API, and drug products of our product candidates. We and these third parties are subject to various federal, state, local and foreign environmental, health and safety laws and regulations, including those governing laboratory procedures and the generation, handling, labeling, transportation, use, manufacture, storage, treatment and disposal of hazardous materials and wastes and worker health and safety. We do not have control over a manufacturer’s or supplier’s compliance with environmental, health and safety laws and regulations. Liabilities they incur pursuant to these laws and regulations could result in significant costs or in certain circumstances, an interruption in operations, any of which could adversely affect our business and financial condition.</w:t>
      </w:r>
    </w:p>
    <w:p>
      <w:pPr>
        <w:spacing w:after="0" w:line="121" w:lineRule="exact"/>
        <w:rPr>
          <w:sz w:val="20"/>
          <w:szCs w:val="20"/>
          <w:color w:val="auto"/>
        </w:rPr>
      </w:pPr>
    </w:p>
    <w:p>
      <w:pPr>
        <w:ind w:left="1260" w:right="419" w:firstLine="648"/>
        <w:spacing w:after="0" w:line="238" w:lineRule="auto"/>
        <w:rPr>
          <w:sz w:val="20"/>
          <w:szCs w:val="20"/>
          <w:color w:val="auto"/>
        </w:rPr>
      </w:pPr>
      <w:r>
        <w:rPr>
          <w:rFonts w:ascii="Arial" w:cs="Arial" w:eastAsia="Arial" w:hAnsi="Arial"/>
          <w:sz w:val="18"/>
          <w:szCs w:val="18"/>
          <w:color w:val="auto"/>
        </w:rPr>
        <w:t>With respect to any hazardous materials or waste which we are currently, or in the future will be, generating, handling, transporting, using, manufacturing, storing, treating or disposing of, we cannot eliminate the risk of contamination or injury from these materials or waste, including at third-party disposal sites. In the event of such contamination or injury, we could be held liable for any resulting damages and liability. We also could be subject to significant civil or criminal fines and penalties, cessation of operations, investigation or remedial costs or other sanctions for failure to comply with applicable environmental, health and safety laws. In addition, we may incur substantial costs in order to comply with current or future environmental, health and safety laws and regulations. These current or future laws and regulations may impair our research, development or production efforts or otherwise have a material adverse effect on our business.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Undetected errors or defects in our production could harm our reputation or expose us to product liability claims.</w:t>
      </w:r>
    </w:p>
    <w:p>
      <w:pPr>
        <w:spacing w:after="0" w:line="179" w:lineRule="exact"/>
        <w:rPr>
          <w:sz w:val="20"/>
          <w:szCs w:val="20"/>
          <w:color w:val="auto"/>
        </w:rPr>
      </w:pPr>
    </w:p>
    <w:p>
      <w:pPr>
        <w:ind w:left="1260" w:right="459" w:firstLine="648"/>
        <w:spacing w:after="0" w:line="272" w:lineRule="auto"/>
        <w:rPr>
          <w:sz w:val="20"/>
          <w:szCs w:val="20"/>
          <w:color w:val="auto"/>
        </w:rPr>
      </w:pPr>
      <w:r>
        <w:rPr>
          <w:rFonts w:ascii="Arial" w:cs="Arial" w:eastAsia="Arial" w:hAnsi="Arial"/>
          <w:sz w:val="17"/>
          <w:szCs w:val="17"/>
          <w:color w:val="auto"/>
        </w:rPr>
        <w:t>Defects in the cGMP materials we produce may damage the third parties’ businesses we work with and could harm their and our reputation. If that occurs, we may incur significant costs, the attention of our key personnel could be diverted, or other significant problems may arise. We may also be subject to warranty and liability claims for damages related to errors or defects in products made with our cGMP materials. In addition, if we do not meet industry or quality standards, if applicable, such products may be subject to recall. A material liability claim, recall or other occurrence that harms our reputation or decreases market acceptance of such products could harm our business and operating results.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Reliance on Collaborators and Other Third Parties</w:t>
      </w:r>
    </w:p>
    <w:p>
      <w:pPr>
        <w:spacing w:after="0" w:line="229" w:lineRule="exact"/>
        <w:rPr>
          <w:sz w:val="20"/>
          <w:szCs w:val="20"/>
          <w:color w:val="auto"/>
        </w:rPr>
      </w:pPr>
    </w:p>
    <w:p>
      <w:pPr>
        <w:ind w:left="1260" w:right="599"/>
        <w:spacing w:after="0" w:line="301" w:lineRule="auto"/>
        <w:rPr>
          <w:sz w:val="20"/>
          <w:szCs w:val="20"/>
          <w:color w:val="auto"/>
        </w:rPr>
      </w:pPr>
      <w:r>
        <w:rPr>
          <w:rFonts w:ascii="Arial" w:cs="Arial" w:eastAsia="Arial" w:hAnsi="Arial"/>
          <w:sz w:val="16"/>
          <w:szCs w:val="16"/>
          <w:b w:val="1"/>
          <w:bCs w:val="1"/>
          <w:i w:val="1"/>
          <w:iCs w:val="1"/>
          <w:color w:val="auto"/>
        </w:rPr>
        <w:t>We rely on third parties to conduct our nonclinical and clinical trials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90" w:lineRule="exact"/>
        <w:rPr>
          <w:sz w:val="20"/>
          <w:szCs w:val="20"/>
          <w:color w:val="auto"/>
        </w:rPr>
      </w:pPr>
    </w:p>
    <w:p>
      <w:pPr>
        <w:ind w:left="1260" w:right="739" w:firstLine="648"/>
        <w:spacing w:after="0" w:line="286" w:lineRule="auto"/>
        <w:rPr>
          <w:sz w:val="20"/>
          <w:szCs w:val="20"/>
          <w:color w:val="auto"/>
        </w:rPr>
      </w:pPr>
      <w:r>
        <w:rPr>
          <w:rFonts w:ascii="Arial" w:cs="Arial" w:eastAsia="Arial" w:hAnsi="Arial"/>
          <w:sz w:val="17"/>
          <w:szCs w:val="17"/>
          <w:color w:val="auto"/>
        </w:rPr>
        <w:t>We have relied upon and plan to continue to rely upon third-party CROs to monitor and manage data for our ongoing nonclinical and clinical programs. We rely on these parties for execution of our nonclinical and clinical studies and control only certain aspects of their activities. Nevertheless, we are</w:t>
      </w: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39"/>
        <w:spacing w:after="0" w:line="251" w:lineRule="auto"/>
        <w:rPr>
          <w:sz w:val="20"/>
          <w:szCs w:val="20"/>
          <w:color w:val="auto"/>
        </w:rPr>
      </w:pPr>
      <w:r>
        <w:rPr>
          <w:rFonts w:ascii="Arial" w:cs="Arial" w:eastAsia="Arial" w:hAnsi="Arial"/>
          <w:sz w:val="17"/>
          <w:szCs w:val="17"/>
          <w:color w:val="auto"/>
        </w:rPr>
        <w:t>responsible for ensuring that each of our trials is conducted in accordance with the applicable protocol, legal, regulatory and scientific standards and our reliance on the CROs does not relieve us of our regulatory responsibilities. We and our CROs and other vendors are required to comply with cGMP, GCP, Good Laboratory Practice, or GLP, and other regulations and guidelines enforced by the FDA, the Competent Authorities of the Member States of the European Union and comparable foreign regulatory authorities for all of our product candidates in nonclinical and clinical development. Regulatory authorities enforce these regulations through periodic inspections of study sponsors, principal investigators, trial sites and other contractors. If we or any of our CROs or vendors fail to comply with applicable regulations, the data generated in our nonclinical and clinical trials may be deemed unreliable and the EMA, FDA, or other regulatory authorities may require us to perform additional nonclinical and clinical trials before approving our marketing applications. In addition, even if, for example, the EMA finds our data generated in our nonclinical and clinical trials reliable for approving a marketing application, there is no assurance that other regulatory authorities like the FDA will find such data reliable and sufficient for approving a similar market application. We cannot assure you that upon inspection by a given regulatory authority, such regulatory authority will determine that all of our clinical trials comply with cGCP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116" w:lineRule="exact"/>
        <w:rPr>
          <w:sz w:val="20"/>
          <w:szCs w:val="20"/>
          <w:color w:val="auto"/>
        </w:rPr>
      </w:pPr>
    </w:p>
    <w:p>
      <w:pPr>
        <w:ind w:left="1260" w:right="439" w:firstLine="648"/>
        <w:spacing w:after="0" w:line="252" w:lineRule="auto"/>
        <w:rPr>
          <w:sz w:val="20"/>
          <w:szCs w:val="20"/>
          <w:color w:val="auto"/>
        </w:rPr>
      </w:pPr>
      <w:r>
        <w:rPr>
          <w:rFonts w:ascii="Arial" w:cs="Arial" w:eastAsia="Arial" w:hAnsi="Arial"/>
          <w:sz w:val="17"/>
          <w:szCs w:val="17"/>
          <w:color w:val="auto"/>
        </w:rPr>
        <w:t>If any of our relationships with these third-party CROs terminates, we may not be able to enter into arrangements with alternative CROs or do so on commercially reasonable terms. In addition, our CROs are not our employees, and except for remedies available to us under our agreements with such CROs, we cannot control whether or not they devote sufficient time and resources to our ongoing nonclinical and clinical programs. If CROs do not successfully carry out their contractual duties or obligations, meet expected deadlines, conduct our studies in accordance with regulatory requirements or our stated study plans and protocols, if they need to be replaced or if the quality or accuracy of the data they obtain is compromised due to the failure to adhere to our protocols, regulatory requirements, or for other reasons, our clinical trials may be extended, delayed, or terminated and we may not be able to obtain regulatory approval for or successfully commercialize our product candidates. CROs may also generate higher costs than anticipated. As a result, our results of operations and the commercial prospects for our product candidates would be harmed, our costs could increase, and our ability to generate revenue could be delayed.</w:t>
      </w:r>
    </w:p>
    <w:p>
      <w:pPr>
        <w:spacing w:after="0" w:line="116" w:lineRule="exact"/>
        <w:rPr>
          <w:sz w:val="20"/>
          <w:szCs w:val="20"/>
          <w:color w:val="auto"/>
        </w:rPr>
      </w:pPr>
    </w:p>
    <w:p>
      <w:pPr>
        <w:ind w:left="1260" w:right="419" w:firstLine="648"/>
        <w:spacing w:after="0"/>
        <w:rPr>
          <w:sz w:val="20"/>
          <w:szCs w:val="20"/>
          <w:color w:val="auto"/>
        </w:rPr>
      </w:pPr>
      <w:r>
        <w:rPr>
          <w:rFonts w:ascii="Arial" w:cs="Arial" w:eastAsia="Arial" w:hAnsi="Arial"/>
          <w:sz w:val="18"/>
          <w:szCs w:val="18"/>
          <w:color w:val="auto"/>
        </w:rPr>
        <w:t>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89" w:lineRule="exact"/>
        <w:rPr>
          <w:sz w:val="20"/>
          <w:szCs w:val="20"/>
          <w:color w:val="auto"/>
        </w:rPr>
      </w:pPr>
    </w:p>
    <w:p>
      <w:pPr>
        <w:jc w:val="both"/>
        <w:ind w:left="1260" w:right="459"/>
        <w:spacing w:after="0" w:line="270" w:lineRule="auto"/>
        <w:rPr>
          <w:sz w:val="20"/>
          <w:szCs w:val="20"/>
          <w:color w:val="auto"/>
        </w:rPr>
      </w:pPr>
      <w:r>
        <w:rPr>
          <w:rFonts w:ascii="Arial" w:cs="Arial" w:eastAsia="Arial" w:hAnsi="Arial"/>
          <w:sz w:val="17"/>
          <w:szCs w:val="17"/>
          <w:b w:val="1"/>
          <w:bCs w:val="1"/>
          <w:i w:val="1"/>
          <w:iCs w:val="1"/>
          <w:color w:val="auto"/>
        </w:rPr>
        <w:t>If we or any third-party manufacturer of our product candidates is unable to increase the scale of production of our product candidates, and/or increase the product yield of manufacturing, then our costs to manufacture the product may increase and commercialization may be delayed.</w:t>
      </w:r>
    </w:p>
    <w:p>
      <w:pPr>
        <w:spacing w:after="0" w:line="83" w:lineRule="exact"/>
        <w:rPr>
          <w:sz w:val="20"/>
          <w:szCs w:val="20"/>
          <w:color w:val="auto"/>
        </w:rPr>
      </w:pPr>
    </w:p>
    <w:p>
      <w:pPr>
        <w:ind w:left="1260" w:right="459" w:firstLine="648"/>
        <w:spacing w:after="0" w:line="237" w:lineRule="auto"/>
        <w:rPr>
          <w:sz w:val="20"/>
          <w:szCs w:val="20"/>
          <w:color w:val="auto"/>
        </w:rPr>
      </w:pPr>
      <w:r>
        <w:rPr>
          <w:rFonts w:ascii="Arial" w:cs="Arial" w:eastAsia="Arial" w:hAnsi="Arial"/>
          <w:sz w:val="18"/>
          <w:szCs w:val="18"/>
          <w:color w:val="auto"/>
        </w:rPr>
        <w:t>In order to produce sufficient quantities to meet the demand for clinical trials and, if approved, subsequent commercialization of our product candidates in our pipeline or that we may develop, our third-party manufacturers will be required to increase their production and optimize their manufacturing processes while maintaining the quality of the product. The transition to larger scale and more robust production could prove difficult or costly. Further, any claims in our manufacturing process as a result of scaling up or optimization of the manufacturing, supply and fill and finish process may result in the need to obtain regulatory approvals. If we or our third-party manufacturers are not able to optimize manufacturing process to increase the product yield for our product candidates or cGMP production requirement for clinical studies, or are unable to produce increased amounts of our product candidates while maintaining the quality of the product or generally unable to produce the right quality, then we may not be able to meet the demands of clinical trials or market demands, which could decrease our ability to generate profits. Difficulty in achieving commercial scale-up production or production optimization or the need for additional regulatory approvals as a result could have a material adverse impact on our business and results of operations.</w:t>
      </w:r>
    </w:p>
    <w:p>
      <w:pPr>
        <w:spacing w:after="0" w:line="37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229" w:lineRule="exact"/>
        <w:rPr>
          <w:sz w:val="20"/>
          <w:szCs w:val="20"/>
          <w:color w:val="auto"/>
        </w:rPr>
      </w:pPr>
    </w:p>
    <w:p>
      <w:pPr>
        <w:ind w:left="1260" w:right="539"/>
        <w:spacing w:after="0" w:line="411" w:lineRule="auto"/>
        <w:rPr>
          <w:sz w:val="20"/>
          <w:szCs w:val="20"/>
          <w:color w:val="auto"/>
        </w:rPr>
      </w:pPr>
      <w:r>
        <w:rPr>
          <w:rFonts w:ascii="Arial" w:cs="Arial" w:eastAsia="Arial" w:hAnsi="Arial"/>
          <w:sz w:val="13"/>
          <w:szCs w:val="13"/>
          <w:b w:val="1"/>
          <w:bCs w:val="1"/>
          <w:i w:val="1"/>
          <w:iCs w:val="1"/>
          <w:color w:val="auto"/>
        </w:rPr>
        <w:t>If we are unable to obtain, maintain and enforce intellectual property protection for our products or product candidates, or if the scope of our intellectual property protection is not sufficiently broad, our ability to commercialize our product candidates successfully and to compete effectively may be materially adversely affected.</w:t>
      </w:r>
    </w:p>
    <w:p>
      <w:pPr>
        <w:spacing w:after="0" w:line="28" w:lineRule="exact"/>
        <w:rPr>
          <w:sz w:val="20"/>
          <w:szCs w:val="20"/>
          <w:color w:val="auto"/>
        </w:rPr>
      </w:pPr>
    </w:p>
    <w:p>
      <w:pPr>
        <w:ind w:left="1260" w:right="459" w:firstLine="648"/>
        <w:spacing w:after="0" w:line="253" w:lineRule="auto"/>
        <w:rPr>
          <w:sz w:val="20"/>
          <w:szCs w:val="20"/>
          <w:color w:val="auto"/>
        </w:rPr>
      </w:pPr>
      <w:r>
        <w:rPr>
          <w:rFonts w:ascii="Arial" w:cs="Arial" w:eastAsia="Arial" w:hAnsi="Arial"/>
          <w:sz w:val="18"/>
          <w:szCs w:val="18"/>
          <w:color w:val="auto"/>
        </w:rPr>
        <w:t>Our success depends on our ability to obtain and maintain patent and other intellectual property protection in the United States and other countries with respect to our current and future proprietary product candidates. We rely upon a combination of patents, trade secret protection and confidentiality agreements to protect the intellectual property related to our technology, manufacturing processes, products and product candidates. We and our collaborators have primarily sought to protect our proprietary positions by filing patent applications in the United States and abroad related to our proprietary technology, manufacturing processes, and product candidates that are important to our business. Despite our efforts to protect our proprietary rights, unauthorized parties may be able to obtain and use information that we regard as proprietary.</w:t>
      </w:r>
    </w:p>
    <w:p>
      <w:pPr>
        <w:spacing w:after="0" w:line="129" w:lineRule="exact"/>
        <w:rPr>
          <w:sz w:val="20"/>
          <w:szCs w:val="20"/>
          <w:color w:val="auto"/>
        </w:rPr>
      </w:pPr>
    </w:p>
    <w:p>
      <w:pPr>
        <w:ind w:left="1260" w:right="419" w:firstLine="648"/>
        <w:spacing w:after="0" w:line="266" w:lineRule="auto"/>
        <w:rPr>
          <w:sz w:val="20"/>
          <w:szCs w:val="20"/>
          <w:color w:val="auto"/>
        </w:rPr>
      </w:pPr>
      <w:r>
        <w:rPr>
          <w:rFonts w:ascii="Arial" w:cs="Arial" w:eastAsia="Arial" w:hAnsi="Arial"/>
          <w:sz w:val="17"/>
          <w:szCs w:val="17"/>
          <w:color w:val="auto"/>
        </w:rPr>
        <w:t>The patent prosecution process is expensive and time consuming, and we may not be able to file and prosecute all necessary or desirable patent applications at a reasonable cost or in a timely manner or in all jurisdictions where protection may be commercially advantageous. It is also possible that we may fail to identify patentable aspects of our research and development output before it is too late to obtain patent protection. In addition, we or our collaborators, may only pursue, obtain or maintain patent protection in a limited number of countries. There is no assurance that all potentially relevant prior art relating to our patents and patent applications has been found. We may be unaware of prior art that could be used to invalidate or narrow the scope of an issued patent or prevent our pending patent applications from issuing as patents. Because patent applications in the United States, Europe and many other non-U.S. jurisdictions are typically not published until 18 months after filing, or in some cases not at all, and because publications of discoveries in scientific literature lag behind actual discoveries, we cannot be certain that we or our licensors were the first to make the inventions claimed in any of our owned or any in-licensed issued patents or pending patent applications, or that we or our licensors were the first to file for protection of the inventions set forth in our patents or patent applications. As a result, we may not be able to obtain or maintain protection for certain inventions. Even if patents do successfully issue, our owned or in-licensed patents may not adequately protect our intellectual property, provide exclusivity for our products or product candidates, prevent others from designing around our claims or otherwise provide us with a competitive advantage. We cannot offer any assurances about which, if any, patents will issue, the breadth of any such patents or whether any issued patents will be found invalid or unenforceable or will be threatened by third parties. In addition, third parties may challenge the validity, enforceability, ownership, inventorship or scope of any of our patents. Any successful challenge to any of our patents could deprive us of rights necessary for the successful commercialization of any product candidate that we may develop and could impair or eliminate our ability to collect future revenues and royalties with respect to such products or product candidates. If any of our patent applications with respect to our product candidates fail to issue as patents, if their breadth or strength of protection is narrowed or threatened, or if they fail to provide meaningful exclusivity or competitive position, it could dissuade companies from collaborating with us or otherwise adversely affect our competitive position.</w:t>
      </w:r>
    </w:p>
    <w:p>
      <w:pPr>
        <w:spacing w:after="0" w:line="334" w:lineRule="exact"/>
        <w:rPr>
          <w:sz w:val="20"/>
          <w:szCs w:val="20"/>
          <w:color w:val="auto"/>
        </w:rPr>
      </w:pPr>
    </w:p>
    <w:p>
      <w:pPr>
        <w:ind w:left="1260" w:right="439" w:firstLine="648"/>
        <w:spacing w:after="0" w:line="269" w:lineRule="auto"/>
        <w:rPr>
          <w:sz w:val="20"/>
          <w:szCs w:val="20"/>
          <w:color w:val="auto"/>
        </w:rPr>
      </w:pPr>
      <w:r>
        <w:rPr>
          <w:rFonts w:ascii="Arial" w:cs="Arial" w:eastAsia="Arial" w:hAnsi="Arial"/>
          <w:sz w:val="17"/>
          <w:szCs w:val="17"/>
          <w:color w:val="auto"/>
        </w:rPr>
        <w:t>The patent position of pharmaceutical companies is generally uncertain because it involves complex legal, scientific and factual considerations for which legal principles remain unsolved. The standards applied by the United States Patent and Trademark Office, or USPTO, and foreign patent offices in granting patents are not always applied uniformly or predictably, and can change. Additionally, the laws of some foreign countries do not protect intellectual property rights to the same extent as the laws of the United States, and many companies have encountered significant problems in protecting and defending such rights in foreign jurisdictions. The legal systems of certain countries, particularly certain developing countries, do not favor the enforcement of patents and other intellectual property rights, particularly those relating to biotechnology, which could make it difficult for us to stop the infringement, misappropriation, or other violation of our patents or other intellectual property, including the unauthorized reproduction of our manufacturing or other know-how or the marketing of competing products in violation of our intellectual</w:t>
      </w: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479"/>
        <w:spacing w:after="0" w:line="263" w:lineRule="auto"/>
        <w:rPr>
          <w:sz w:val="20"/>
          <w:szCs w:val="20"/>
          <w:color w:val="auto"/>
        </w:rPr>
      </w:pPr>
      <w:r>
        <w:rPr>
          <w:rFonts w:ascii="Arial" w:cs="Arial" w:eastAsia="Arial" w:hAnsi="Arial"/>
          <w:sz w:val="18"/>
          <w:szCs w:val="18"/>
          <w:color w:val="auto"/>
        </w:rPr>
        <w:t>property rights generally. Any of these outcomes could impair our ability to prevent competition from third parties, which may have a material adverse effect on our business, financial condition, results of operations, and prospects.</w:t>
      </w:r>
    </w:p>
    <w:p>
      <w:pPr>
        <w:spacing w:after="0" w:line="116" w:lineRule="exact"/>
        <w:rPr>
          <w:sz w:val="20"/>
          <w:szCs w:val="20"/>
          <w:color w:val="auto"/>
        </w:rPr>
      </w:pPr>
    </w:p>
    <w:p>
      <w:pPr>
        <w:ind w:left="1260" w:right="459" w:firstLine="648"/>
        <w:spacing w:after="0" w:line="252" w:lineRule="auto"/>
        <w:rPr>
          <w:sz w:val="20"/>
          <w:szCs w:val="20"/>
          <w:color w:val="auto"/>
        </w:rPr>
      </w:pPr>
      <w:r>
        <w:rPr>
          <w:rFonts w:ascii="Arial" w:cs="Arial" w:eastAsia="Arial" w:hAnsi="Arial"/>
          <w:sz w:val="18"/>
          <w:szCs w:val="18"/>
          <w:color w:val="auto"/>
        </w:rPr>
        <w:t>Further, the existence of issued patents does not guarantee our right to practice the patented technology or commercialize the patented product candidate. Third parties may have or obtain rights to patents which they may use to prevent or attempt to prevent us from practicing our patented technology or commercializing any of our patented product candidates. If any of these other parties are successful in obtaining valid and enforceable patents, and establishing our infringement of those patents, we could be prevented from selling our products unless we were able to obtain a license under such third-party patents, which may not be available on commercially reasonable terms or at all. In addition, third parties may seek approval to market their own products similar to or otherwise competitive with our products. In these circumstances, we may need to defend or assert our patents, including by filing lawsuits alleging patent infringement. In any of these types of proceedings, a court or agency of competent jurisdiction may find our patents invalid or unenforceable. Our competitors and other third parties may also be able to circumvent our patents by developing similar or alternative product candidates in a non-infringing manner. Any of the foregoing could have a material adverse effect on our business, financial condition, results of operations, and prospects.</w:t>
      </w:r>
    </w:p>
    <w:p>
      <w:pPr>
        <w:spacing w:after="0" w:line="130" w:lineRule="exact"/>
        <w:rPr>
          <w:sz w:val="20"/>
          <w:szCs w:val="20"/>
          <w:color w:val="auto"/>
        </w:rPr>
      </w:pPr>
    </w:p>
    <w:p>
      <w:pPr>
        <w:ind w:left="1260" w:right="419" w:firstLine="648"/>
        <w:spacing w:after="0" w:line="252" w:lineRule="auto"/>
        <w:rPr>
          <w:sz w:val="20"/>
          <w:szCs w:val="20"/>
          <w:color w:val="auto"/>
        </w:rPr>
      </w:pPr>
      <w:r>
        <w:rPr>
          <w:rFonts w:ascii="Arial" w:cs="Arial" w:eastAsia="Arial" w:hAnsi="Arial"/>
          <w:sz w:val="18"/>
          <w:szCs w:val="18"/>
          <w:color w:val="auto"/>
        </w:rPr>
        <w:t>In addition, competitors may use our technologies in jurisdictions where we have not obtained or are unable to adequately enforce patent protection to develop their own products and further, may export otherwise infringing products to territories where we have patent protection, but enforcement is not as strong as that in the United States and Europe. These products may compete with our products, and our patents or other intellectual property rights may not be effective or sufficient to prevent them from competing with us. Proceedings to enforce our patent rights, whether or not successful, could result in substantial costs and divert our efforts and attention from other aspects of our business, could put our patents at risk of being invalidated or held unenforceable,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acquire or license.</w:t>
      </w:r>
    </w:p>
    <w:p>
      <w:pPr>
        <w:spacing w:after="0" w:line="118" w:lineRule="exact"/>
        <w:rPr>
          <w:sz w:val="20"/>
          <w:szCs w:val="20"/>
          <w:color w:val="auto"/>
        </w:rPr>
      </w:pPr>
    </w:p>
    <w:p>
      <w:pPr>
        <w:ind w:left="1260" w:right="499" w:firstLine="648"/>
        <w:spacing w:after="0" w:line="267" w:lineRule="auto"/>
        <w:rPr>
          <w:sz w:val="20"/>
          <w:szCs w:val="20"/>
          <w:color w:val="auto"/>
        </w:rPr>
      </w:pPr>
      <w:r>
        <w:rPr>
          <w:rFonts w:ascii="Arial" w:cs="Arial" w:eastAsia="Arial" w:hAnsi="Arial"/>
          <w:sz w:val="17"/>
          <w:szCs w:val="17"/>
          <w:color w:val="auto"/>
        </w:rPr>
        <w:t>Our owned and in-licensed patents may be subject to a reservation of rights by one or more third parties. For example, the research resulting in certain of our patents and technology, including patents and technology relating to our yellow fever product candidate, was funded in part by the U.S. government. As a result, the U.S. government has certain rights to such patent rights and technology, which include march-in rights. When new technologies are developed with government funding, in order to secure ownership of such patent rights, the recipient of such funding is required to comply with certain government regulations, including timely disclosing the inventions claimed in such patent rights to the U.S. government and timely electing title to such inventions. Additionally, the U.S. government generally obtains certain rights in any resulting patents, including a non-exclusive license authorizing the government to use the invention or to have others use the invention on its behalf. Accordingly, we have granted the U.S. government a non-exclusive, nontransferable, irrevocable, paid-up license to practice or have practiced for or on behalf of the United States, the inventions described in the patents and patent applications relating to our technology or one or more of our product candidates. If the U.S. government decides to exercise these rights, it is not required to engage us as its contractor in connection with doing so. The government’s rights may also permit it to disclose our confidential information to third parties and to exercise march-in rights to use or allow third parties to use such government-funded technology. The government can exercise its march-in rights if it determines that action is necessary because we fail to achieve practical application of the government-funded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If we fail to comply with those requirements, we could lose our ownership of or other rights to any patents subject to such regulations. Any exercise by the government of any of the foregoing rights or by any third party of its reserved rights could have a material adverse effect on our competitive position, business, financial condition, results of operations, and prospects.</w:t>
      </w:r>
    </w:p>
    <w:p>
      <w:pPr>
        <w:sectPr>
          <w:pgSz w:w="11900" w:h="16838" w:orient="portrait"/>
          <w:cols w:equalWidth="0" w:num="1">
            <w:col w:w="9879"/>
          </w:cols>
          <w:pgMar w:left="580" w:top="132"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9" w:name="page50"/>
    <w:bookmarkEnd w:id="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39" w:firstLine="648"/>
        <w:spacing w:after="0" w:line="252" w:lineRule="auto"/>
        <w:rPr>
          <w:sz w:val="20"/>
          <w:szCs w:val="20"/>
          <w:color w:val="auto"/>
        </w:rPr>
      </w:pPr>
      <w:r>
        <w:rPr>
          <w:rFonts w:ascii="Arial" w:cs="Arial" w:eastAsia="Arial" w:hAnsi="Arial"/>
          <w:sz w:val="17"/>
          <w:szCs w:val="17"/>
          <w:color w:val="auto"/>
        </w:rPr>
        <w:t>In Germany, the German federal government, and the Federal Ministry of Health and downstream authorities in the event of a national epidemic, have the right to order the use of our owned and in-licensed patents in the interest of the public welfare or the security of the Federal Republic. The German government may issue such an order with respect to our owned or in-licensed patents and we may lose exclusivity with respect to the technologies and product candidates covered by such patents. For example, if the German government determines that we are unable to develop our COVID-19 vaccine candidate on a timeline or at a scale that is necessary to respond to the COVID-19 pandemic, it may issue a use order for the patents covering our development of the COVID-19 vaccine. We would be entitled to compensation in the event a use order is issued with respect to our owned or in-licensed patents; however, such compensation may be less than what we could otherwise receive and any such use order could have a material adverse effect on our competitive position, business, financial condition, results of operations, and prospects.</w:t>
      </w:r>
    </w:p>
    <w:p>
      <w:pPr>
        <w:spacing w:after="0" w:line="118" w:lineRule="exact"/>
        <w:rPr>
          <w:sz w:val="20"/>
          <w:szCs w:val="20"/>
          <w:color w:val="auto"/>
        </w:rPr>
      </w:pPr>
    </w:p>
    <w:p>
      <w:pPr>
        <w:ind w:left="1260" w:right="439" w:firstLine="648"/>
        <w:spacing w:after="0" w:line="251" w:lineRule="auto"/>
        <w:rPr>
          <w:sz w:val="20"/>
          <w:szCs w:val="20"/>
          <w:color w:val="auto"/>
        </w:rPr>
      </w:pPr>
      <w:r>
        <w:rPr>
          <w:rFonts w:ascii="Arial" w:cs="Arial" w:eastAsia="Arial" w:hAnsi="Arial"/>
          <w:sz w:val="17"/>
          <w:szCs w:val="17"/>
          <w:color w:val="auto"/>
        </w:rPr>
        <w:t>Additionally, the research resulting in certain of our patents and technology, including patents and technology relating to our CV8102 and RSV product candidates, was funded in part by the German Ministry of Education and Research, or the BMBF. Results of such government funded research projects must, subject to certain conditions, be made available free of charge for academic research and teaching in Germany and must be published in half-yearly interim reports and a final report following completion of the funded work. Information relating to intellectual property generated, commercial expectations, scientific chances of success and next steps and certain additional information must be disclosed to the German government and must be disclosed to third parties for academic research and teaching upon request under a written confidentiality agreement. The BMBF additionally has, in the case of a special public interest, a non-exclusive and transferable right to use intellectual property generated as part of the funded work. Contracts with third parties relating the exploitation of the results of the funded work must be disclosed to the BMBF and any such contracts with parties outside of the European Union require the prior consent of the BMBF to the extent they deviate from an exploitation plan previously approved by the BMBF. Additionally, if we fail to use or commercialize the results of the funded work we may be required to grant third parties licenses to use such results. In certain scenarios, including if we come under the decisive influence of foreign investors, the funded results are exclusively or predominantly used outside Germany without the prior consent of the BMBF or if we are in breach of our obligations under the grant, the grant funding, including funding already received, can be revoked.</w:t>
      </w:r>
    </w:p>
    <w:p>
      <w:pPr>
        <w:spacing w:after="0" w:line="114" w:lineRule="exact"/>
        <w:rPr>
          <w:sz w:val="20"/>
          <w:szCs w:val="20"/>
          <w:color w:val="auto"/>
        </w:rPr>
      </w:pPr>
    </w:p>
    <w:p>
      <w:pPr>
        <w:ind w:left="1260" w:right="419" w:firstLine="648"/>
        <w:spacing w:after="0" w:line="255" w:lineRule="auto"/>
        <w:rPr>
          <w:sz w:val="20"/>
          <w:szCs w:val="20"/>
          <w:color w:val="auto"/>
        </w:rPr>
      </w:pPr>
      <w:r>
        <w:rPr>
          <w:rFonts w:ascii="Arial" w:cs="Arial" w:eastAsia="Arial" w:hAnsi="Arial"/>
          <w:sz w:val="17"/>
          <w:szCs w:val="17"/>
          <w:color w:val="auto"/>
        </w:rPr>
        <w:t>Furthermore, certain of our patents and technology, including patents and technology relating to our rotavirus, malaria, Lassa virus and SARS -CoV-2 product candidates, were funded in part by grants from nonprofit third parties, including the Bill &amp; Melinda Gates Foundation and CEPI. We are required to fulfill certain contractual obligations with respect to products created using such grant funding, including making certain products available at an affordable price in a list of clearly defined low and lower-middle income countries and ensuring that certain products are available in geographic regions where there has been an outbreak of an infectious disease at certain reduced economic rates. See “Business — Collaborations.”</w:t>
      </w:r>
    </w:p>
    <w:p>
      <w:pPr>
        <w:spacing w:after="0" w:line="99" w:lineRule="exact"/>
        <w:rPr>
          <w:sz w:val="20"/>
          <w:szCs w:val="20"/>
          <w:color w:val="auto"/>
        </w:rPr>
      </w:pPr>
    </w:p>
    <w:p>
      <w:pPr>
        <w:ind w:left="1260" w:right="439" w:firstLine="648"/>
        <w:spacing w:after="0" w:line="237" w:lineRule="auto"/>
        <w:rPr>
          <w:sz w:val="20"/>
          <w:szCs w:val="20"/>
          <w:color w:val="auto"/>
        </w:rPr>
      </w:pPr>
      <w:r>
        <w:rPr>
          <w:rFonts w:ascii="Arial" w:cs="Arial" w:eastAsia="Arial" w:hAnsi="Arial"/>
          <w:sz w:val="18"/>
          <w:szCs w:val="18"/>
          <w:color w:val="auto"/>
        </w:rPr>
        <w:t>Furthermore, patents have a limited lifespan. In the United States, the natural expiration of a patent is generally 20 years after its effective filing date. Various extensions may be available, however, the life of a patent and the protection it affords is limited. Given the amount of time required for the development, testing, regulatory review and approval of new product candidates, our patents protecting such candidates might expire before or shortly after such candidates are commercialized. If we encounter delays in obtaining regulatory approvals, the period of time during which we could market a product under patent protection could be further reduced. Even if patents covering our product candidates are obtained, once such patents expire, we may be vulnerable to competition from similar or biosimilar products. The launch of a similar or biosimilar version of one of our products would likely result in an immediate and substantial reduction in the demand for our product, which could have a material adverse effect on our business, financial condition, results of operations, and prospects.</w:t>
      </w:r>
    </w:p>
    <w:p>
      <w:pPr>
        <w:spacing w:after="0" w:line="195" w:lineRule="exact"/>
        <w:rPr>
          <w:sz w:val="20"/>
          <w:szCs w:val="20"/>
          <w:color w:val="auto"/>
        </w:rPr>
      </w:pPr>
    </w:p>
    <w:p>
      <w:pPr>
        <w:ind w:left="1260" w:right="519"/>
        <w:spacing w:after="0" w:line="389" w:lineRule="auto"/>
        <w:rPr>
          <w:sz w:val="20"/>
          <w:szCs w:val="20"/>
          <w:color w:val="auto"/>
        </w:rPr>
      </w:pPr>
      <w:r>
        <w:rPr>
          <w:rFonts w:ascii="Arial" w:cs="Arial" w:eastAsia="Arial" w:hAnsi="Arial"/>
          <w:sz w:val="13"/>
          <w:szCs w:val="13"/>
          <w:b w:val="1"/>
          <w:bCs w:val="1"/>
          <w:i w:val="1"/>
          <w:iCs w:val="1"/>
          <w:color w:val="auto"/>
        </w:rPr>
        <w:t>If we fail to comply with our obligations under any license, collaboration or other intellectual property agreements, disagree over contract interpretation, or otherwise experience disruptions to our business relationships with our collaborators or licensors, we could lose intellectual property rights that are necessary to our business.</w:t>
      </w:r>
    </w:p>
    <w:p>
      <w:pPr>
        <w:spacing w:after="0" w:line="29" w:lineRule="exact"/>
        <w:rPr>
          <w:sz w:val="20"/>
          <w:szCs w:val="20"/>
          <w:color w:val="auto"/>
        </w:rPr>
      </w:pPr>
    </w:p>
    <w:p>
      <w:pPr>
        <w:ind w:left="1260" w:right="419" w:firstLine="648"/>
        <w:spacing w:after="0" w:line="270" w:lineRule="auto"/>
        <w:rPr>
          <w:sz w:val="20"/>
          <w:szCs w:val="20"/>
          <w:color w:val="auto"/>
        </w:rPr>
      </w:pPr>
      <w:r>
        <w:rPr>
          <w:rFonts w:ascii="Arial" w:cs="Arial" w:eastAsia="Arial" w:hAnsi="Arial"/>
          <w:sz w:val="17"/>
          <w:szCs w:val="17"/>
          <w:color w:val="auto"/>
        </w:rPr>
        <w:t>We rely, in part, on license, collaboration and other intellectual property agreements. These may not provide exclusive rights to use such intellectual property and technology in all relevant fields of use and in all territories in which we may wish to develop or commercialize our product candidates in the future.</w:t>
      </w: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59" w:firstLine="648"/>
        <w:spacing w:after="0" w:line="251" w:lineRule="auto"/>
        <w:rPr>
          <w:sz w:val="20"/>
          <w:szCs w:val="20"/>
          <w:color w:val="auto"/>
        </w:rPr>
      </w:pPr>
      <w:r>
        <w:rPr>
          <w:rFonts w:ascii="Arial" w:cs="Arial" w:eastAsia="Arial" w:hAnsi="Arial"/>
          <w:sz w:val="17"/>
          <w:szCs w:val="17"/>
          <w:color w:val="auto"/>
        </w:rPr>
        <w:t>In addition, our existing licenses and collaboration agreements, including our agreements with Genmab, Arcturus, Acuitas, Boehringer Ingelheim, GSK, the Bill &amp; Melinda Gates Foundation, CRISPR Therapeutics and CEPI, impose, and any future licenses, collaborations or other intellectual property agreements we enter into are likely to impose, various development, commercialization, funding, milestone, royalty, diligence, sublicensing, insurance, patent prosecution and enforcement or other obligations on us. Our licenses and collaboration agreements, including our agreement with Genmab, impose, and any future agreement we enter into may also impose, restrictions on our ability to license certain of our intellectual property to third parties or to develop or commercialize certain product candidates or technologies. In spite of our best efforts, our licensors, licensees and collaborators may conclude that we have breached our obligations under our agreements, or that we have used the intellectual property licensed to us in an unauthorized manner, in which case, we may be required to pay damages and the licensor, licensee or collaborator may have the right to terminate the agreement. Any of the foregoing could result in us being unable to develop, manufacture and sell products that are covered by the licensed technology, enable a competitor to gain access to the licensed technology or disrupt our right to milestone or royalty payments. We might not have the necessary rights or the financial resources to develop, manufacture or market our current or future product candidates without the rights granted under our licenses, and the loss of sales or potential sales in such product candidates could have a material adverse effect on our business, financial condition, results of operations, and prospects.</w:t>
      </w:r>
    </w:p>
    <w:p>
      <w:pPr>
        <w:spacing w:after="0" w:line="114" w:lineRule="exact"/>
        <w:rPr>
          <w:sz w:val="20"/>
          <w:szCs w:val="20"/>
          <w:color w:val="auto"/>
        </w:rPr>
      </w:pPr>
    </w:p>
    <w:p>
      <w:pPr>
        <w:ind w:left="1260" w:right="939" w:firstLine="648"/>
        <w:spacing w:after="0" w:line="261" w:lineRule="auto"/>
        <w:rPr>
          <w:sz w:val="20"/>
          <w:szCs w:val="20"/>
          <w:color w:val="auto"/>
        </w:rPr>
      </w:pPr>
      <w:r>
        <w:rPr>
          <w:rFonts w:ascii="Arial" w:cs="Arial" w:eastAsia="Arial" w:hAnsi="Arial"/>
          <w:sz w:val="18"/>
          <w:szCs w:val="18"/>
          <w:color w:val="auto"/>
        </w:rPr>
        <w:t>Disputes may arise regarding intellectual property subject to licensing, collaboration or other intellectual property agreements, including:</w:t>
      </w:r>
    </w:p>
    <w:p>
      <w:pPr>
        <w:spacing w:after="0" w:line="63" w:lineRule="exact"/>
        <w:rPr>
          <w:sz w:val="20"/>
          <w:szCs w:val="20"/>
          <w:color w:val="auto"/>
        </w:rPr>
      </w:pPr>
    </w:p>
    <w:p>
      <w:pPr>
        <w:ind w:left="2260" w:hanging="352"/>
        <w:spacing w:after="0"/>
        <w:tabs>
          <w:tab w:leader="none" w:pos="22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scope of rights granted under the license agreement and other interpretation related issues;</w:t>
      </w:r>
    </w:p>
    <w:p>
      <w:pPr>
        <w:spacing w:after="0" w:line="126" w:lineRule="exact"/>
        <w:rPr>
          <w:rFonts w:ascii="Arial" w:cs="Arial" w:eastAsia="Arial" w:hAnsi="Arial"/>
          <w:sz w:val="16"/>
          <w:szCs w:val="16"/>
          <w:color w:val="auto"/>
        </w:rPr>
      </w:pPr>
    </w:p>
    <w:p>
      <w:pPr>
        <w:ind w:left="2260" w:right="959" w:hanging="352"/>
        <w:spacing w:after="0" w:line="277" w:lineRule="auto"/>
        <w:tabs>
          <w:tab w:leader="none" w:pos="2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license agreement;</w:t>
      </w:r>
    </w:p>
    <w:p>
      <w:pPr>
        <w:spacing w:after="0" w:line="62" w:lineRule="exact"/>
        <w:rPr>
          <w:rFonts w:ascii="Arial" w:cs="Arial" w:eastAsia="Arial" w:hAnsi="Arial"/>
          <w:sz w:val="18"/>
          <w:szCs w:val="18"/>
          <w:color w:val="auto"/>
        </w:rPr>
      </w:pPr>
    </w:p>
    <w:p>
      <w:pPr>
        <w:ind w:left="2260" w:hanging="352"/>
        <w:spacing w:after="0"/>
        <w:tabs>
          <w:tab w:leader="none" w:pos="22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sublicensing of patent and other rights under our collaborative development relationships;</w:t>
      </w:r>
    </w:p>
    <w:p>
      <w:pPr>
        <w:spacing w:after="0" w:line="128" w:lineRule="exact"/>
        <w:rPr>
          <w:rFonts w:ascii="Arial" w:cs="Arial" w:eastAsia="Arial" w:hAnsi="Arial"/>
          <w:sz w:val="17"/>
          <w:szCs w:val="17"/>
          <w:color w:val="auto"/>
        </w:rPr>
      </w:pPr>
    </w:p>
    <w:p>
      <w:pPr>
        <w:ind w:left="2260" w:right="1119" w:hanging="352"/>
        <w:spacing w:after="0" w:line="277" w:lineRule="auto"/>
        <w:tabs>
          <w:tab w:leader="none" w:pos="2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62" w:lineRule="exact"/>
        <w:rPr>
          <w:rFonts w:ascii="Arial" w:cs="Arial" w:eastAsia="Arial" w:hAnsi="Arial"/>
          <w:sz w:val="18"/>
          <w:szCs w:val="18"/>
          <w:color w:val="auto"/>
        </w:rPr>
      </w:pPr>
    </w:p>
    <w:p>
      <w:pPr>
        <w:ind w:left="2260" w:hanging="352"/>
        <w:spacing w:after="0"/>
        <w:tabs>
          <w:tab w:leader="none" w:pos="2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financial obligations under the license agreement;</w:t>
      </w:r>
    </w:p>
    <w:p>
      <w:pPr>
        <w:spacing w:after="0" w:line="103" w:lineRule="exact"/>
        <w:rPr>
          <w:rFonts w:ascii="Arial" w:cs="Arial" w:eastAsia="Arial" w:hAnsi="Arial"/>
          <w:sz w:val="18"/>
          <w:szCs w:val="18"/>
          <w:color w:val="auto"/>
        </w:rPr>
      </w:pPr>
    </w:p>
    <w:p>
      <w:pPr>
        <w:ind w:left="2260" w:right="579" w:hanging="352"/>
        <w:spacing w:after="0" w:line="277" w:lineRule="auto"/>
        <w:tabs>
          <w:tab w:leader="none" w:pos="2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62" w:lineRule="exact"/>
        <w:rPr>
          <w:rFonts w:ascii="Arial" w:cs="Arial" w:eastAsia="Arial" w:hAnsi="Arial"/>
          <w:sz w:val="18"/>
          <w:szCs w:val="18"/>
          <w:color w:val="auto"/>
        </w:rPr>
      </w:pPr>
    </w:p>
    <w:p>
      <w:pPr>
        <w:ind w:left="2260" w:hanging="352"/>
        <w:spacing w:after="0"/>
        <w:tabs>
          <w:tab w:leader="none" w:pos="2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58" w:lineRule="exact"/>
        <w:rPr>
          <w:sz w:val="20"/>
          <w:szCs w:val="20"/>
          <w:color w:val="auto"/>
        </w:rPr>
      </w:pPr>
    </w:p>
    <w:p>
      <w:pPr>
        <w:jc w:val="both"/>
        <w:ind w:left="1260" w:right="479" w:firstLine="648"/>
        <w:spacing w:after="0" w:line="251" w:lineRule="auto"/>
        <w:rPr>
          <w:sz w:val="20"/>
          <w:szCs w:val="20"/>
          <w:color w:val="auto"/>
        </w:rPr>
      </w:pPr>
      <w:r>
        <w:rPr>
          <w:rFonts w:ascii="Arial" w:cs="Arial" w:eastAsia="Arial" w:hAnsi="Arial"/>
          <w:sz w:val="17"/>
          <w:szCs w:val="17"/>
          <w:color w:val="auto"/>
        </w:rPr>
        <w:t>In addition, the agreements under which we currently license intellectual property or technology to or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w:t>
      </w:r>
    </w:p>
    <w:p>
      <w:pPr>
        <w:spacing w:after="0" w:line="4" w:lineRule="exact"/>
        <w:rPr>
          <w:sz w:val="20"/>
          <w:szCs w:val="20"/>
          <w:color w:val="auto"/>
        </w:rPr>
      </w:pPr>
    </w:p>
    <w:p>
      <w:pPr>
        <w:jc w:val="both"/>
        <w:ind w:left="1260" w:right="999"/>
        <w:spacing w:after="0" w:line="239" w:lineRule="auto"/>
        <w:rPr>
          <w:sz w:val="20"/>
          <w:szCs w:val="20"/>
          <w:color w:val="auto"/>
        </w:rPr>
      </w:pPr>
      <w:r>
        <w:rPr>
          <w:rFonts w:ascii="Arial" w:cs="Arial" w:eastAsia="Arial" w:hAnsi="Arial"/>
          <w:sz w:val="18"/>
          <w:szCs w:val="18"/>
          <w:color w:val="auto"/>
        </w:rPr>
        <w:t>Moreover, if disputes over intellectual property that we have licensed prevent or impair our ability to maintain our current licensing arrangements on commercially acceptable terms, we may be unable to successfully develop and commercialize the affected product candidates.</w:t>
      </w:r>
    </w:p>
    <w:p>
      <w:pPr>
        <w:spacing w:after="0" w:line="108" w:lineRule="exact"/>
        <w:rPr>
          <w:sz w:val="20"/>
          <w:szCs w:val="20"/>
          <w:color w:val="auto"/>
        </w:rPr>
      </w:pPr>
    </w:p>
    <w:p>
      <w:pPr>
        <w:ind w:left="1260" w:right="519" w:firstLine="648"/>
        <w:spacing w:after="0" w:line="254" w:lineRule="auto"/>
        <w:rPr>
          <w:sz w:val="20"/>
          <w:szCs w:val="20"/>
          <w:color w:val="auto"/>
        </w:rPr>
      </w:pPr>
      <w:r>
        <w:rPr>
          <w:rFonts w:ascii="Arial" w:cs="Arial" w:eastAsia="Arial" w:hAnsi="Arial"/>
          <w:sz w:val="17"/>
          <w:szCs w:val="17"/>
          <w:color w:val="auto"/>
        </w:rPr>
        <w:t>In some circumstances, we may not have the right to control the preparation, filing, prosecution, maintenance, enforcement, and defense of patents and patent applications covering the technology that we license from third parties. We cannot be certain that these patents and applications will be prepared, filed, prosecuted, maintained, enforced, and defended in a manner consistent with the best interests of our business. If our licensors fail to prosecute, maintain, enforce, and defend such intellectual property, or lose rights to such intellectual property, the rights we have licensed and our exclusivity may be reduced or eliminated and our right to develop and commercialize any of our products that are subject to such licensed rights could be adversely affected.</w:t>
      </w:r>
    </w:p>
    <w:p>
      <w:pPr>
        <w:spacing w:after="0" w:line="113" w:lineRule="exact"/>
        <w:rPr>
          <w:sz w:val="20"/>
          <w:szCs w:val="20"/>
          <w:color w:val="auto"/>
        </w:rPr>
      </w:pPr>
    </w:p>
    <w:p>
      <w:pPr>
        <w:ind w:left="1260" w:right="679" w:firstLine="648"/>
        <w:spacing w:after="0" w:line="243" w:lineRule="auto"/>
        <w:rPr>
          <w:sz w:val="20"/>
          <w:szCs w:val="20"/>
          <w:color w:val="auto"/>
        </w:rPr>
      </w:pPr>
      <w:r>
        <w:rPr>
          <w:rFonts w:ascii="Arial" w:cs="Arial" w:eastAsia="Arial" w:hAnsi="Arial"/>
          <w:sz w:val="18"/>
          <w:szCs w:val="18"/>
          <w:color w:val="auto"/>
        </w:rPr>
        <w:t>Moreover, our rights to our in-licensed patents and patent applications may depend, in part, on inter-institutional or other operating agreements between the joint owners of such in-licensed patents and patent applications. If one or more of such joint owners breaches such inter-institutional or operating agreements,</w:t>
      </w: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19"/>
        <w:spacing w:after="0" w:line="253" w:lineRule="auto"/>
        <w:rPr>
          <w:sz w:val="20"/>
          <w:szCs w:val="20"/>
          <w:color w:val="auto"/>
        </w:rPr>
      </w:pPr>
      <w:r>
        <w:rPr>
          <w:rFonts w:ascii="Arial" w:cs="Arial" w:eastAsia="Arial" w:hAnsi="Arial"/>
          <w:sz w:val="18"/>
          <w:szCs w:val="18"/>
          <w:color w:val="auto"/>
        </w:rPr>
        <w:t>our rights to such in-licensed patents and patent applications may be adversely affected.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 In addition, the development of certain of our product candidates is funded by grants that impose certain pricing limitations on such product candidates and limit our ability to commercialize such product candidates and to achieve or maintain profitability. Any of the foregoing could have a material adverse effect on our competitive position, business, financial conditions, results of operations, and prospects.</w:t>
      </w:r>
    </w:p>
    <w:p>
      <w:pPr>
        <w:spacing w:after="0" w:line="127" w:lineRule="exact"/>
        <w:rPr>
          <w:sz w:val="20"/>
          <w:szCs w:val="20"/>
          <w:color w:val="auto"/>
        </w:rPr>
      </w:pPr>
    </w:p>
    <w:p>
      <w:pPr>
        <w:ind w:left="1260" w:right="599" w:firstLine="648"/>
        <w:spacing w:after="0" w:line="259" w:lineRule="auto"/>
        <w:rPr>
          <w:sz w:val="20"/>
          <w:szCs w:val="20"/>
          <w:color w:val="auto"/>
        </w:rPr>
      </w:pPr>
      <w:r>
        <w:rPr>
          <w:rFonts w:ascii="Arial" w:cs="Arial" w:eastAsia="Arial" w:hAnsi="Arial"/>
          <w:sz w:val="18"/>
          <w:szCs w:val="18"/>
          <w:color w:val="auto"/>
        </w:rPr>
        <w:t>If we are unable to successfully obtain rights to required third-party intellectual property rights or maintain the existing intellectual property rights we have on reasonable terms or at all, we may have to abandon development of the relevant program or product candidate and our business, financial condition, results of operations, and prospects could suffer.</w:t>
      </w:r>
    </w:p>
    <w:p>
      <w:pPr>
        <w:spacing w:after="0" w:line="187" w:lineRule="exact"/>
        <w:rPr>
          <w:sz w:val="20"/>
          <w:szCs w:val="20"/>
          <w:color w:val="auto"/>
        </w:rPr>
      </w:pPr>
    </w:p>
    <w:p>
      <w:pPr>
        <w:ind w:left="1260" w:right="639"/>
        <w:spacing w:after="0" w:line="263"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which could be expensive, time consuming and unsuccessful and could result in a court or administrative body finding our patents to be invalid or unenforceable.</w:t>
      </w:r>
    </w:p>
    <w:p>
      <w:pPr>
        <w:spacing w:after="0" w:line="116" w:lineRule="exact"/>
        <w:rPr>
          <w:sz w:val="20"/>
          <w:szCs w:val="20"/>
          <w:color w:val="auto"/>
        </w:rPr>
      </w:pPr>
    </w:p>
    <w:p>
      <w:pPr>
        <w:ind w:left="1260" w:right="419" w:firstLine="648"/>
        <w:spacing w:after="0" w:line="266" w:lineRule="auto"/>
        <w:rPr>
          <w:sz w:val="20"/>
          <w:szCs w:val="20"/>
          <w:color w:val="auto"/>
        </w:rPr>
      </w:pPr>
      <w:r>
        <w:rPr>
          <w:rFonts w:ascii="Arial" w:cs="Arial" w:eastAsia="Arial" w:hAnsi="Arial"/>
          <w:sz w:val="17"/>
          <w:szCs w:val="17"/>
          <w:color w:val="auto"/>
        </w:rPr>
        <w:t xml:space="preserve">Even if the patent applications we own or license are issued, third parties may infringe our patents. To counter infringement, we may be required to file infringement claims, which can be expensive and time consuming. If we initiate legal proceedings against a third party to enforce a patent covering any of our product candidates,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novelty, non-obviousness (or inventive step), written description or enablement. In addition, patent validity challenges may, under certain circumstances, be based upon non-statutory obviousness-type double patenting, which, if successful, could result in a finding that the claims are invalid for obviousness-type double patenting or the loss of patent term if a terminal disclaimer is filed to obviate a finding of obviousness-type double patenting. Grounds for an unenforceability assertion could be an allegation that someone connected with prosecution of the patent withheld information material to patentability from the USPTO, or made a misleading statement, during prosecution. In an infringement proceeding, a court may decide that one or more of our patents is not valid, is unenforceable or is not infringed, or may refuse to stop the other party from using the technology at issue on the grounds that our patents do not cover the technology in question. Third parties also may raise similar claims before administrative bodies in the United States or abroad, even outside the context of litigation. Such mechanisms include re-examination,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interference proceedings, derivation proceedings, and equivalent proceedings in foreign jurisdictions (e.g., opposition proceedings). Such proceedings could result in the revocation or cancellation of or amendment to our patents in such a way that they no longer cover our product candidates or provide any competitive advantage. For example, one of our manufacturing related U.S. patents was invalidated in an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 and certain of our European patents relating to RNA-based adjuvants/immunostimulants and RNA-coded antibodies have been revoked in European opposition proceedings. Some of these decisions are currently on appeal and continuation or divisional applications of certain of the revoked patents have been filed and are currently under examination, although there can be no assurance that any such appeal will be successful or that any such patent applications will issue as patents that provide us with any competitive advantage. Additionally, several of our European and Australian patents relating to RNA-based adjuvants/immunostimulants, mRNA formulation, mRNA-based vaccination of specific patient populations, combination of mRNA-based vaccination and inhibition of the PD-1 pathway, combination of mRNA-based vaccination and agonistic OX40 antibodies, methods for RNA analysis, intratumoral (m)RNA treatment, and production of mRNA cocktails are currently subject to opposition proceedings. The outcome following legal assertions of invalidity and unenforceability is unpredictable. If a third party were to prevail on a legal assertion of invalidity or unenforceability, we could lose part or all of the patent protection on one or more of our product candidates, which could result in our competitors and other third parties using our technology to compete with us. Such a loss of patent protection could have a material adverse impact on our business.</w:t>
      </w:r>
    </w:p>
    <w:p>
      <w:pPr>
        <w:sectPr>
          <w:pgSz w:w="11900" w:h="16838" w:orient="portrait"/>
          <w:cols w:equalWidth="0" w:num="1">
            <w:col w:w="9879"/>
          </w:cols>
          <w:pgMar w:left="580" w:top="132" w:right="1440" w:bottom="1440" w:gutter="0" w:footer="0" w:header="0"/>
        </w:sectPr>
      </w:pP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2" w:name="page53"/>
    <w:bookmarkEnd w:id="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19" w:firstLine="648"/>
        <w:spacing w:after="0" w:line="253" w:lineRule="auto"/>
        <w:rPr>
          <w:sz w:val="20"/>
          <w:szCs w:val="20"/>
          <w:color w:val="auto"/>
        </w:rPr>
      </w:pPr>
      <w:r>
        <w:rPr>
          <w:rFonts w:ascii="Arial" w:cs="Arial" w:eastAsia="Arial" w:hAnsi="Arial"/>
          <w:sz w:val="17"/>
          <w:szCs w:val="17"/>
          <w:color w:val="auto"/>
        </w:rPr>
        <w:t>Interference proceedings, or other similar enforcement and revocation proceedings, provoked by third parties or brought by us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infringement, misappropriation or other violation of our intellectual property rights, particularly in countries where the laws may not protect those rights as fully as in the United States.</w:t>
      </w:r>
    </w:p>
    <w:p>
      <w:pPr>
        <w:spacing w:after="0" w:line="116" w:lineRule="exact"/>
        <w:rPr>
          <w:sz w:val="20"/>
          <w:szCs w:val="20"/>
          <w:color w:val="auto"/>
        </w:rPr>
      </w:pPr>
    </w:p>
    <w:p>
      <w:pPr>
        <w:ind w:left="1260" w:right="499" w:firstLine="648"/>
        <w:spacing w:after="0" w:line="241" w:lineRule="auto"/>
        <w:rPr>
          <w:sz w:val="20"/>
          <w:szCs w:val="20"/>
          <w:color w:val="auto"/>
        </w:rPr>
      </w:pPr>
      <w:r>
        <w:rPr>
          <w:rFonts w:ascii="Arial" w:cs="Arial" w:eastAsia="Arial" w:hAnsi="Arial"/>
          <w:sz w:val="18"/>
          <w:szCs w:val="18"/>
          <w:color w:val="auto"/>
        </w:rPr>
        <w:t>An adverse outcome in a litigation or proceeding involving our patents could limit our ability to assert our patents against competitors, affect our ability to receive royalties or other licensing consideration from our licensees, and may curtail or preclude our ability to exclude third parties from making, using and selling similar or competitive products. Any of these occurrences could have a material adverse effect on our business, financial condition, results of operations, and prospects.</w:t>
      </w:r>
    </w:p>
    <w:p>
      <w:pPr>
        <w:spacing w:after="0" w:line="189" w:lineRule="exact"/>
        <w:rPr>
          <w:sz w:val="20"/>
          <w:szCs w:val="20"/>
          <w:color w:val="auto"/>
        </w:rPr>
      </w:pPr>
    </w:p>
    <w:p>
      <w:pPr>
        <w:ind w:left="1260" w:right="659"/>
        <w:spacing w:after="0" w:line="248" w:lineRule="auto"/>
        <w:rPr>
          <w:sz w:val="20"/>
          <w:szCs w:val="20"/>
          <w:color w:val="auto"/>
        </w:rPr>
      </w:pPr>
      <w:r>
        <w:rPr>
          <w:rFonts w:ascii="Arial" w:cs="Arial" w:eastAsia="Arial" w:hAnsi="Arial"/>
          <w:sz w:val="18"/>
          <w:szCs w:val="18"/>
          <w:b w:val="1"/>
          <w:bCs w:val="1"/>
          <w:i w:val="1"/>
          <w:iCs w:val="1"/>
          <w:color w:val="auto"/>
        </w:rPr>
        <w:t>If we are sued for infringing, misappropriating, or otherwise violating intellectual property rights of third parties, such litigation could be costly and time consuming and could prevent or delay us from developing or commercializing our product candidates.</w:t>
      </w:r>
    </w:p>
    <w:p>
      <w:pPr>
        <w:spacing w:after="0" w:line="114" w:lineRule="exact"/>
        <w:rPr>
          <w:sz w:val="20"/>
          <w:szCs w:val="20"/>
          <w:color w:val="auto"/>
        </w:rPr>
      </w:pPr>
    </w:p>
    <w:p>
      <w:pPr>
        <w:ind w:left="1260" w:right="479" w:firstLine="648"/>
        <w:spacing w:after="0" w:line="248" w:lineRule="auto"/>
        <w:rPr>
          <w:sz w:val="20"/>
          <w:szCs w:val="20"/>
          <w:color w:val="auto"/>
        </w:rPr>
      </w:pPr>
      <w:r>
        <w:rPr>
          <w:rFonts w:ascii="Arial" w:cs="Arial" w:eastAsia="Arial" w:hAnsi="Arial"/>
          <w:sz w:val="18"/>
          <w:szCs w:val="18"/>
          <w:color w:val="auto"/>
        </w:rPr>
        <w:t>Our commercial success depends, in part, on our ability to develop, manufacture, market and sell our product candidates without infringing, misappropriating, or otherwise violating the intellectual property and other proprietary rights of third parties.</w:t>
      </w:r>
    </w:p>
    <w:p>
      <w:pPr>
        <w:spacing w:after="0" w:line="101" w:lineRule="exact"/>
        <w:rPr>
          <w:sz w:val="20"/>
          <w:szCs w:val="20"/>
          <w:color w:val="auto"/>
        </w:rPr>
      </w:pPr>
    </w:p>
    <w:p>
      <w:pPr>
        <w:ind w:left="1260" w:right="439" w:firstLine="648"/>
        <w:spacing w:after="0" w:line="249" w:lineRule="auto"/>
        <w:rPr>
          <w:sz w:val="20"/>
          <w:szCs w:val="20"/>
          <w:color w:val="auto"/>
        </w:rPr>
      </w:pPr>
      <w:r>
        <w:rPr>
          <w:rFonts w:ascii="Arial" w:cs="Arial" w:eastAsia="Arial" w:hAnsi="Arial"/>
          <w:sz w:val="17"/>
          <w:szCs w:val="17"/>
          <w:color w:val="auto"/>
        </w:rPr>
        <w:t>There is a substantial amount of intellectual property litigation in the biotechnology and pharmaceutical industries, and we may become party to, or threatened with, litigation or other adversarial proceedings regarding intellectual property rights of third parties with respect to our product candidates, including interference and post-grant proceedings before the USPTO. There may be third-party patents or patent applications with claims to materials, formulations, methods of manufacture or methods for treatment related to the composition, formulation, use or manufacture of our product candidates. Because patent applications can take many years to issue, there may be currently pending patent applications that we may or may not be aware of which may later result in issued patents that our product candidates may be accused of infringing. Additionally, pending patent applications that have been published can, subject to certain limitations, be later amended in a manner that could cover our product candidates or the use of our product candidates. After issuance, the scope of patent claims remains subject to construction based on interpretation of the law, the written disclosure in a patent and the patent’s prosecution history. Our interpretation of the relevance or the scope of a patent or a pending application may be incorrect. In addition, third parties may obtain patents in the future and claim that use of our technologies infringes upon these patents. Accordingly, third parties may assert infringement claims against us based on intellectual property rights that exist now or arise in the future.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or manufacture. The scope of protection afforded by a patent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at issue are invalid or unenforceable,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we may not have sufficient resources to bring these actions to a successful conclusion.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especially as we gain greater visibility and market exposure as a public company.</w:t>
      </w:r>
    </w:p>
    <w:p>
      <w:pPr>
        <w:spacing w:after="0" w:line="39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19" w:firstLine="648"/>
        <w:spacing w:after="0" w:line="237" w:lineRule="auto"/>
        <w:rPr>
          <w:sz w:val="20"/>
          <w:szCs w:val="20"/>
          <w:color w:val="auto"/>
        </w:rPr>
      </w:pPr>
      <w:r>
        <w:rPr>
          <w:rFonts w:ascii="Arial" w:cs="Arial" w:eastAsia="Arial" w:hAnsi="Arial"/>
          <w:sz w:val="18"/>
          <w:szCs w:val="18"/>
          <w:color w:val="auto"/>
        </w:rPr>
        <w:t>Third parties have, and may in the future have, U.S. and non-U.S. issued patents and pending patent applications relating to compounds, methods of manufacturing compounds or methods of use for the treatment of the disease indications for which we are developing our product candidates that may cover our product candidates. For example, we are aware of certain third-party U.S. and non-U.S. issued patents and patent applications, including those of our competitors, that relate to RNA-encoded antigens in LNPs and LNP-formulated RNA that may be construed to cover the LNP- formulated RNA technology used in our vaccines and protein and antibody therapies. We are also aware of certain third-party U.S. and non-U.S. patents and patent applications, including those of our competitors, that relate to coronavirus vaccines and treatments and vaccines against other infectious diseases and we expect such third parties to have filed additional patent applications, which have not yet been published and to file additional patent applications in the future.</w:t>
      </w:r>
    </w:p>
    <w:p>
      <w:pPr>
        <w:spacing w:after="0" w:line="128" w:lineRule="exact"/>
        <w:rPr>
          <w:sz w:val="20"/>
          <w:szCs w:val="20"/>
          <w:color w:val="auto"/>
        </w:rPr>
      </w:pPr>
    </w:p>
    <w:p>
      <w:pPr>
        <w:ind w:left="1260" w:right="439" w:firstLine="648"/>
        <w:spacing w:after="0" w:line="272" w:lineRule="auto"/>
        <w:rPr>
          <w:sz w:val="20"/>
          <w:szCs w:val="20"/>
          <w:color w:val="auto"/>
        </w:rPr>
      </w:pPr>
      <w:r>
        <w:rPr>
          <w:rFonts w:ascii="Arial" w:cs="Arial" w:eastAsia="Arial" w:hAnsi="Arial"/>
          <w:sz w:val="16"/>
          <w:szCs w:val="16"/>
          <w:color w:val="auto"/>
        </w:rPr>
        <w:t>In the event that any of these patent rights were asserted against us, we believe that we have defenses against any such action, including that such patents would not be infringed by our product candidates and/or that such patents are not valid. However, if any such patent rights were to be asserted against us and our defenses to such assertion were unsuccessful, unless we obtain a license to such patents, we could be liable for damages, which could be significant and include treble damages and attorneys’ fees if we are found to willfully infringe such patents, and we could be precluded from commercializing any product candidates that were ultimately held to infringe such patents, any of which could have a material adverse effect on our business, financial condition, results of operations and prospects.</w:t>
      </w:r>
    </w:p>
    <w:p>
      <w:pPr>
        <w:spacing w:after="0" w:line="100" w:lineRule="exact"/>
        <w:rPr>
          <w:sz w:val="20"/>
          <w:szCs w:val="20"/>
          <w:color w:val="auto"/>
        </w:rPr>
      </w:pPr>
    </w:p>
    <w:p>
      <w:pPr>
        <w:ind w:left="1260" w:right="439" w:firstLine="648"/>
        <w:spacing w:after="0" w:line="251" w:lineRule="auto"/>
        <w:rPr>
          <w:sz w:val="20"/>
          <w:szCs w:val="20"/>
          <w:color w:val="auto"/>
        </w:rPr>
      </w:pPr>
      <w:r>
        <w:rPr>
          <w:rFonts w:ascii="Arial" w:cs="Arial" w:eastAsia="Arial" w:hAnsi="Arial"/>
          <w:sz w:val="17"/>
          <w:szCs w:val="17"/>
          <w:color w:val="auto"/>
        </w:rPr>
        <w:t>If we are required to obtain a license from any third party in order to use the infringing technology and continue developing, manufacturing or marketing the infringing product candidate, we may not be able to obtain such required license on commercially reasonable terms or at all. In particular, any of our competitors that control intellectual property that we are found to infringe may be unwilling to provide us a license under any terms. Even if we were able to obtain a license, it could be non-exclusive, thereby giving our competitors access to the same technologies licensed to us; alternatively or additionally it could include terms that impede or destroy our ability to compete successfully in the commercial marketplace. In addition, we could be found liable for monetary damages, including treble damages and attorneys’ fees if we are found to have willfully infringed a patent. Further, if a patent infringement suit is brought against us or our third-party service providers and if we are unable to successfully obtain rights to required third-party intellectual property, we may be required to expend significant time and resources to redesign our product candidates, or to develop or license replacement technology, all of which may not be feasible on a technical or commercial basis, and may delay or require us to abandon our development, manufacturing or sales activities relating to our product candidates. A finding of infringement could prevent us from commercializing our product candidates or force us to cease some of our business operations, which could harm our business. Claims that we have misappropriated the confidential information or trade secrets of third parties could have a similar negative impact on our business. Any of the foregoing could have a material adverse effect on our business, financial condition, results of operations, and prospects.</w:t>
      </w:r>
    </w:p>
    <w:p>
      <w:pPr>
        <w:spacing w:after="0" w:line="181" w:lineRule="exact"/>
        <w:rPr>
          <w:sz w:val="20"/>
          <w:szCs w:val="20"/>
          <w:color w:val="auto"/>
        </w:rPr>
      </w:pPr>
    </w:p>
    <w:p>
      <w:pPr>
        <w:ind w:left="1260" w:right="479"/>
        <w:spacing w:after="0" w:line="261" w:lineRule="auto"/>
        <w:rPr>
          <w:sz w:val="20"/>
          <w:szCs w:val="20"/>
          <w:color w:val="auto"/>
        </w:rPr>
      </w:pPr>
      <w:r>
        <w:rPr>
          <w:rFonts w:ascii="Arial" w:cs="Arial" w:eastAsia="Arial" w:hAnsi="Arial"/>
          <w:sz w:val="18"/>
          <w:szCs w:val="18"/>
          <w:b w:val="1"/>
          <w:bCs w:val="1"/>
          <w:i w:val="1"/>
          <w:iCs w:val="1"/>
          <w:color w:val="auto"/>
        </w:rPr>
        <w:t>Intellectual property litigation and other proceedings could cause us to spend substantial resources and distract our personnel from their normal responsibilities.</w:t>
      </w:r>
    </w:p>
    <w:p>
      <w:pPr>
        <w:spacing w:after="0" w:line="90" w:lineRule="exact"/>
        <w:rPr>
          <w:sz w:val="20"/>
          <w:szCs w:val="20"/>
          <w:color w:val="auto"/>
        </w:rPr>
      </w:pPr>
    </w:p>
    <w:p>
      <w:pPr>
        <w:ind w:left="1260" w:right="439" w:firstLine="648"/>
        <w:spacing w:after="0" w:line="236" w:lineRule="auto"/>
        <w:rPr>
          <w:sz w:val="20"/>
          <w:szCs w:val="20"/>
          <w:color w:val="auto"/>
        </w:rPr>
      </w:pPr>
      <w:r>
        <w:rPr>
          <w:rFonts w:ascii="Arial" w:cs="Arial" w:eastAsia="Arial" w:hAnsi="Arial"/>
          <w:sz w:val="18"/>
          <w:szCs w:val="18"/>
          <w:color w:val="auto"/>
        </w:rPr>
        <w:t>Even if resolved in our favor, intellectual property litigation or other legal proceedings relating to our, our licensor’s or other third parties’ intellectual property claims may cause us to incur significant expenses and could distract our personnel from their normal responsibilities. Patent litigation and other proceedings may also absorb significant management time. If not resolved in our favor, litigation may require us to pay any portion of our opponents’ legal fees.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Our competitors or other third parties may be able to sustain the cost of such litigation and proceedings more effectively than we can because of their substantially greater resources. Uncertainties resulting from our participation in patent litigation or other proceedings could have a material adverse effect on our ability to compete in the marketplace. Furthermore, because of the substantial amount of discovery required in certain jurisdictions in connection with intellectual property litigation, there is a risk that some of our confidential information could be compromised by disclosure during this type of litigation. There could also be public announcements of the results of hearings, motions or</w:t>
      </w:r>
    </w:p>
    <w:p>
      <w:pPr>
        <w:spacing w:after="0" w:line="38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39"/>
        <w:spacing w:after="0" w:line="241" w:lineRule="auto"/>
        <w:rPr>
          <w:sz w:val="20"/>
          <w:szCs w:val="20"/>
          <w:color w:val="auto"/>
        </w:rPr>
      </w:pPr>
      <w:r>
        <w:rPr>
          <w:rFonts w:ascii="Arial" w:cs="Arial" w:eastAsia="Arial" w:hAnsi="Arial"/>
          <w:sz w:val="18"/>
          <w:szCs w:val="18"/>
          <w:color w:val="auto"/>
        </w:rPr>
        <w:t>other interim proceedings or developments. If securities analysts or investors perceive these results to be negative, the perceived value of our product candidates or intellectual property could be diminished. Accordingly, the market price of our common shares may decline. Uncertainties resulting from the initiation and continuation of patent litigation or other proceedings could have a material adverse effect on our business, financial condition, results of operations and prospects.</w:t>
      </w:r>
    </w:p>
    <w:p>
      <w:pPr>
        <w:spacing w:after="0" w:line="189" w:lineRule="exact"/>
        <w:rPr>
          <w:sz w:val="20"/>
          <w:szCs w:val="20"/>
          <w:color w:val="auto"/>
        </w:rPr>
      </w:pPr>
    </w:p>
    <w:p>
      <w:pPr>
        <w:ind w:left="1260" w:right="739"/>
        <w:spacing w:after="0" w:line="294" w:lineRule="auto"/>
        <w:rPr>
          <w:sz w:val="20"/>
          <w:szCs w:val="20"/>
          <w:color w:val="auto"/>
        </w:rPr>
      </w:pPr>
      <w:r>
        <w:rPr>
          <w:rFonts w:ascii="Arial" w:cs="Arial" w:eastAsia="Arial" w:hAnsi="Arial"/>
          <w:sz w:val="16"/>
          <w:szCs w:val="16"/>
          <w:b w:val="1"/>
          <w:bCs w:val="1"/>
          <w:i w:val="1"/>
          <w:iCs w:val="1"/>
          <w:color w:val="auto"/>
        </w:rPr>
        <w:t>Changes to the patent law in the United States and other jurisdictions could increase the uncertainties and costs surrounding the prosecution of our patent applications and the enforcement or defense of our issued patents, thereby impairing our ability to protect our technologies and product candidates.</w:t>
      </w:r>
    </w:p>
    <w:p>
      <w:pPr>
        <w:spacing w:after="0" w:line="80" w:lineRule="exact"/>
        <w:rPr>
          <w:sz w:val="20"/>
          <w:szCs w:val="20"/>
          <w:color w:val="auto"/>
        </w:rPr>
      </w:pPr>
    </w:p>
    <w:p>
      <w:pPr>
        <w:ind w:left="1260" w:right="419" w:firstLine="648"/>
        <w:spacing w:after="0" w:line="250" w:lineRule="auto"/>
        <w:rPr>
          <w:sz w:val="20"/>
          <w:szCs w:val="20"/>
          <w:color w:val="auto"/>
        </w:rPr>
      </w:pPr>
      <w:r>
        <w:rPr>
          <w:rFonts w:ascii="Arial" w:cs="Arial" w:eastAsia="Arial" w:hAnsi="Arial"/>
          <w:sz w:val="17"/>
          <w:szCs w:val="17"/>
          <w:color w:val="auto"/>
        </w:rPr>
        <w:t xml:space="preserve">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For example, the Leahy- Smith America Invents Act, or the America Invents Act, was signed into law on September 16, 2011, and many of the substantive changes became effective on March 16, 2013.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 Specifically, the America Invents Act reforms United States patent law in part by changing the U.S. patent system from a “first to invent” system to a “first inventor to file” system. Under a “first inventor to file” system, assuming the other requirements for patentability are met, the first inventor to file a patent application generally will be entitled to the patent on an invention regardless of whether another inventor was the first to invent the invention. This will require us to be cognizant going forward of the time from invention to filing of a patent application and be diligent in filing patent applications. Circumstances may arise that could prevent us from promptly filing patent applications on our inventions and allow third parties to file patents claiming our inventions before we are able to do so. The America Invents Act also includes a number of significant changes that affect the way patent applications will be prosecuted and may also affect patent litigation. These include allowing third-party submission of prior art to the USPTO during patent prosecution and additional procedures to attack the validity of a patent by the USPTO administered post grant proceedings, including reexamination proceedings,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 grant review and derivation proceedings. These adversarial proceedings at the USPTO review patent claims without the presumption of validity afforded to U.S. patents in lawsuits in U.S. federal courts, and use a lower burden of proof than used in litigation in U.S. federal courts. Therefore, it is generally considered easier for a competitor or third party to have a U.S. patent invalidated in a USPTO post-grant review or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 than in a litigation in a U.S. federal court. One of our manufacturing related patents has been invalidated in an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proceeding and if any of our other patents are challenged by a third party in a USPTO proceeding, there is no guarantee that we or our licensors or collaborators will be successful in defending the patent, which would result in a loss or narrowing of the challenged patent right to us.</w:t>
      </w:r>
    </w:p>
    <w:p>
      <w:pPr>
        <w:spacing w:after="0" w:line="115" w:lineRule="exact"/>
        <w:rPr>
          <w:sz w:val="20"/>
          <w:szCs w:val="20"/>
          <w:color w:val="auto"/>
        </w:rPr>
      </w:pPr>
    </w:p>
    <w:p>
      <w:pPr>
        <w:ind w:left="1260" w:right="459" w:firstLine="648"/>
        <w:spacing w:after="0" w:line="253" w:lineRule="auto"/>
        <w:rPr>
          <w:sz w:val="20"/>
          <w:szCs w:val="20"/>
          <w:color w:val="auto"/>
        </w:rPr>
      </w:pPr>
      <w:r>
        <w:rPr>
          <w:rFonts w:ascii="Arial" w:cs="Arial" w:eastAsia="Arial" w:hAnsi="Arial"/>
          <w:sz w:val="17"/>
          <w:szCs w:val="17"/>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In addition, the complexity and uncertainty of European patent laws have also increased in recent years. Complying with these laws and regulations could have a material adverse effect on our existing patent portfolio and our ability to protect and enforce our intellectual property in the future.</w:t>
      </w:r>
    </w:p>
    <w:p>
      <w:pPr>
        <w:spacing w:after="0" w:line="184" w:lineRule="exact"/>
        <w:rPr>
          <w:sz w:val="20"/>
          <w:szCs w:val="20"/>
          <w:color w:val="auto"/>
        </w:rPr>
      </w:pPr>
    </w:p>
    <w:p>
      <w:pPr>
        <w:ind w:left="1260" w:right="599"/>
        <w:spacing w:after="0" w:line="248"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consultants, independent contractors or we have misappropriated their intellectual property, or claiming ownership of what we regard as our own intellectual property and proprietary technology.</w:t>
      </w:r>
    </w:p>
    <w:p>
      <w:pPr>
        <w:spacing w:after="0" w:line="101" w:lineRule="exact"/>
        <w:rPr>
          <w:sz w:val="20"/>
          <w:szCs w:val="20"/>
          <w:color w:val="auto"/>
        </w:rPr>
      </w:pPr>
    </w:p>
    <w:p>
      <w:pPr>
        <w:ind w:left="1260" w:right="499" w:firstLine="648"/>
        <w:spacing w:after="0" w:line="291" w:lineRule="auto"/>
        <w:rPr>
          <w:sz w:val="20"/>
          <w:szCs w:val="20"/>
          <w:color w:val="auto"/>
        </w:rPr>
      </w:pPr>
      <w:r>
        <w:rPr>
          <w:rFonts w:ascii="Arial" w:cs="Arial" w:eastAsia="Arial" w:hAnsi="Arial"/>
          <w:sz w:val="17"/>
          <w:szCs w:val="17"/>
          <w:color w:val="auto"/>
        </w:rPr>
        <w:t>Many of our current and former employees, consultants, and independent contractors including our senior management, were previously employed at universities or at other biotechnology or pharmaceutical</w:t>
      </w: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99"/>
        <w:spacing w:after="0" w:line="269" w:lineRule="auto"/>
        <w:rPr>
          <w:sz w:val="20"/>
          <w:szCs w:val="20"/>
          <w:color w:val="auto"/>
        </w:rPr>
      </w:pPr>
      <w:r>
        <w:rPr>
          <w:rFonts w:ascii="Arial" w:cs="Arial" w:eastAsia="Arial" w:hAnsi="Arial"/>
          <w:sz w:val="16"/>
          <w:szCs w:val="16"/>
          <w:color w:val="auto"/>
        </w:rPr>
        <w:t>companies, including some which may be competitors or potential competitors. Although we try to ensure that our employees, consultants and independent contractors do not use the proprietary information or know-how of others in their work for us, we may be subject to claims that we or these employees, consultants or independent contractors have used or disclosed intellectual property, including trade secrets or other proprietary information, of such individual’s current or former employers, or that patents and applications we have filed to protect inventions of these individuals, even those related to one or more of our product candidates, are rightfully owned by their former or concurrent employer.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an exclusive basis or on commercially reasonable terms or at all. Even if we are successful in defending against such claims, litigation could result in substantial costs and be a distraction to management.</w:t>
      </w:r>
    </w:p>
    <w:p>
      <w:pPr>
        <w:spacing w:after="0" w:line="306" w:lineRule="exact"/>
        <w:rPr>
          <w:sz w:val="20"/>
          <w:szCs w:val="20"/>
          <w:color w:val="auto"/>
        </w:rPr>
      </w:pPr>
    </w:p>
    <w:p>
      <w:pPr>
        <w:ind w:left="1260" w:right="439" w:firstLine="648"/>
        <w:spacing w:after="0" w:line="252" w:lineRule="auto"/>
        <w:rPr>
          <w:sz w:val="20"/>
          <w:szCs w:val="20"/>
          <w:color w:val="auto"/>
        </w:rPr>
      </w:pPr>
      <w:r>
        <w:rPr>
          <w:rFonts w:ascii="Arial" w:cs="Arial" w:eastAsia="Arial" w:hAnsi="Arial"/>
          <w:sz w:val="17"/>
          <w:szCs w:val="17"/>
          <w:color w:val="auto"/>
        </w:rPr>
        <w:t>In addition, while we typically require our employees, consultants and independent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or such agreements may be breached or alleged to be ineffective, and the assignment may not be self-executing, which may result in claims by or against us related to the ownership of such intellectual property or may result in such intellectual property becoming assigned to third parties. If we fail in enforcing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 Any of the foregoing could have a material adverse effect on our business, financial condition, results of operations, and prospects.</w:t>
      </w:r>
    </w:p>
    <w:p>
      <w:pPr>
        <w:spacing w:after="0" w:line="186" w:lineRule="exact"/>
        <w:rPr>
          <w:sz w:val="20"/>
          <w:szCs w:val="20"/>
          <w:color w:val="auto"/>
        </w:rPr>
      </w:pPr>
    </w:p>
    <w:p>
      <w:pPr>
        <w:ind w:left="1260" w:right="579"/>
        <w:spacing w:after="0" w:line="243" w:lineRule="auto"/>
        <w:rPr>
          <w:sz w:val="20"/>
          <w:szCs w:val="20"/>
          <w:color w:val="auto"/>
        </w:rPr>
      </w:pPr>
      <w:r>
        <w:rPr>
          <w:rFonts w:ascii="Arial" w:cs="Arial" w:eastAsia="Arial" w:hAnsi="Arial"/>
          <w:sz w:val="18"/>
          <w:szCs w:val="18"/>
          <w:b w:val="1"/>
          <w:bCs w:val="1"/>
          <w:i w:val="1"/>
          <w:iCs w:val="1"/>
          <w:color w:val="auto"/>
        </w:rPr>
        <w:t>Obtaining and maintaining our patent protection, including patents licensed from third parties, depends on compliance with various procedural, documentary, fee payment and other requirements imposed by governmental patent agencies, and our patent protection could be reduced or eliminated for noncompliance with these requirements.</w:t>
      </w:r>
    </w:p>
    <w:p>
      <w:pPr>
        <w:spacing w:after="0" w:line="120" w:lineRule="exact"/>
        <w:rPr>
          <w:sz w:val="20"/>
          <w:szCs w:val="20"/>
          <w:color w:val="auto"/>
        </w:rPr>
      </w:pPr>
    </w:p>
    <w:p>
      <w:pPr>
        <w:ind w:left="1260" w:right="439" w:firstLine="648"/>
        <w:spacing w:after="0" w:line="251"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 patent applications will be due to be paid to the USPTO and various government patent agencies outside the United States over the lifetime of our patents and patent applications and any patent rights we may own or license in the future. Additionally, the USPTO and various government patent agencies outside the United States require compliance with a number of procedural, documentary, fee payment and other similar provisions during the patent application process. In certain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we or our licensors fail to maintain the patents and patent applications covering or otherwise protecting our product candidates, it could have a material adverse effect on our business. In addition, to the extent that we have responsibility for taking any action related to the prosecution or maintenance of patents or patent applications in -licensed from a third party, any failure on our part to maintain the in-licensed intellectual property could jeopardize our rights under the relevant license and may have a material adverse effect on our business, financial condition, results of operations, and prospects.</w:t>
      </w:r>
    </w:p>
    <w:p>
      <w:pPr>
        <w:spacing w:after="0" w:line="187" w:lineRule="exact"/>
        <w:rPr>
          <w:sz w:val="20"/>
          <w:szCs w:val="20"/>
          <w:color w:val="auto"/>
        </w:rPr>
      </w:pPr>
    </w:p>
    <w:p>
      <w:pPr>
        <w:ind w:left="1260" w:right="419"/>
        <w:spacing w:after="0" w:line="261" w:lineRule="auto"/>
        <w:rPr>
          <w:sz w:val="20"/>
          <w:szCs w:val="20"/>
          <w:color w:val="auto"/>
        </w:rPr>
      </w:pPr>
      <w:r>
        <w:rPr>
          <w:rFonts w:ascii="Arial" w:cs="Arial" w:eastAsia="Arial" w:hAnsi="Arial"/>
          <w:sz w:val="18"/>
          <w:szCs w:val="18"/>
          <w:b w:val="1"/>
          <w:bCs w:val="1"/>
          <w:i w:val="1"/>
          <w:iCs w:val="1"/>
          <w:color w:val="auto"/>
        </w:rPr>
        <w:t>If we do not obtain patent term extensions and data exclusivity for each of our product candidates, our business may be materially harmed.</w:t>
      </w:r>
    </w:p>
    <w:p>
      <w:pPr>
        <w:spacing w:after="0" w:line="90" w:lineRule="exact"/>
        <w:rPr>
          <w:sz w:val="20"/>
          <w:szCs w:val="20"/>
          <w:color w:val="auto"/>
        </w:rPr>
      </w:pPr>
    </w:p>
    <w:p>
      <w:pPr>
        <w:ind w:left="1260" w:right="439" w:firstLine="648"/>
        <w:spacing w:after="0" w:line="238" w:lineRule="auto"/>
        <w:rPr>
          <w:sz w:val="20"/>
          <w:szCs w:val="20"/>
          <w:color w:val="auto"/>
        </w:rPr>
      </w:pPr>
      <w:r>
        <w:rPr>
          <w:rFonts w:ascii="Arial" w:cs="Arial" w:eastAsia="Arial" w:hAnsi="Arial"/>
          <w:sz w:val="18"/>
          <w:szCs w:val="18"/>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w:t>
      </w: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19"/>
        <w:spacing w:after="0" w:line="269" w:lineRule="auto"/>
        <w:rPr>
          <w:sz w:val="20"/>
          <w:szCs w:val="20"/>
          <w:color w:val="auto"/>
        </w:rPr>
      </w:pPr>
      <w:r>
        <w:rPr>
          <w:rFonts w:ascii="Arial" w:cs="Arial" w:eastAsia="Arial" w:hAnsi="Arial"/>
          <w:sz w:val="17"/>
          <w:szCs w:val="17"/>
          <w:color w:val="auto"/>
        </w:rPr>
        <w:t>method for manufacturing it may be extended. In the European Union, a maximum of five and a half years of supplementary protection can be achieved for an active ingredient or combinations of active ingredients of a medicinal product protected by a basic patent, if a valid marketing authorization exists (which must be the first authorization to place the product on the market as a medicinal product) and if the product has not already been the subject of supplementary protection. However, we may not receive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length of the extension could be less than we request. If we are unable to obtain patent term extension or if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Certain employees and patents are subject to German law</w:t>
      </w:r>
    </w:p>
    <w:p>
      <w:pPr>
        <w:spacing w:after="0" w:line="158" w:lineRule="exact"/>
        <w:rPr>
          <w:sz w:val="20"/>
          <w:szCs w:val="20"/>
          <w:color w:val="auto"/>
        </w:rPr>
      </w:pPr>
    </w:p>
    <w:p>
      <w:pPr>
        <w:ind w:left="1260" w:right="419" w:firstLine="648"/>
        <w:spacing w:after="0" w:line="267" w:lineRule="auto"/>
        <w:rPr>
          <w:sz w:val="20"/>
          <w:szCs w:val="20"/>
          <w:color w:val="auto"/>
        </w:rPr>
      </w:pPr>
      <w:r>
        <w:rPr>
          <w:rFonts w:ascii="Arial" w:cs="Arial" w:eastAsia="Arial" w:hAnsi="Arial"/>
          <w:sz w:val="17"/>
          <w:szCs w:val="17"/>
          <w:color w:val="auto"/>
        </w:rPr>
        <w:t>A significant number of our personnel work in Germany and are subject to German employment law. Inventions which may be the subject of a patent or of protection as a utility model as well as technical improvement proposals for other technical innovations that may not be the subject of a patent or of protection as a utility model made by such employees are subject to the provisions of the German Act on Employees’ Inventions (</w:t>
      </w:r>
      <w:r>
        <w:rPr>
          <w:rFonts w:ascii="Arial" w:cs="Arial" w:eastAsia="Arial" w:hAnsi="Arial"/>
          <w:sz w:val="17"/>
          <w:szCs w:val="17"/>
          <w:i w:val="1"/>
          <w:iCs w:val="1"/>
          <w:color w:val="auto"/>
        </w:rPr>
        <w:t>Gesetz über Arbeitnehmererfindungen</w:t>
      </w:r>
      <w:r>
        <w:rPr>
          <w:rFonts w:ascii="Arial" w:cs="Arial" w:eastAsia="Arial" w:hAnsi="Arial"/>
          <w:sz w:val="17"/>
          <w:szCs w:val="17"/>
          <w:color w:val="auto"/>
        </w:rPr>
        <w:t>), which regulates the ownership of, and compensation for, inventions made by employees. We face the risk that disputes may occur between us and our current or former employees pertaining to the sufficiency of compensation paid by us, allocation of rights to inventions under this act, or alleged non-adherence to the provisions of this act, any of which may be costly to resolve and take up our management’s time and efforts whether we prevail or fail in such dispute. In addition, under the German Act on Employees’ Inventions, certain employees retain rights to patents they invented or co-invented and disclosed to us prior to October 1, 2009 if the employee inventions were not actively claimed by us after notification by the employee inventors. While we believe that all of our current and past German employee inventors have assigned to us their interest in inventions and patents they invented or co-invented, there can be no assurance that all such assignments are fully effective. Therefore, there can be no assurance that present or former employees do not hold rights to intellectual property used by us or that such employees will not demand the registration of intellectual property rights in their name or demand damages pursuant to the German Act on Employees’ Inventions or other applicable laws. Even if we lawfully own all inventions of our employee inventors who are subject to the German Act on Employees’ Inventions, we are required under German law to reasonably compensate such employees for the use of the inventions. If we are required to pay increased compensation or face other disputes under the German Act on Employees’ Inventions, our business, financial condition, results of operations, and prospects could be adversely affected.</w:t>
      </w:r>
    </w:p>
    <w:p>
      <w:pPr>
        <w:spacing w:after="0" w:line="116" w:lineRule="exact"/>
        <w:rPr>
          <w:sz w:val="20"/>
          <w:szCs w:val="20"/>
          <w:color w:val="auto"/>
        </w:rPr>
      </w:pPr>
    </w:p>
    <w:p>
      <w:pPr>
        <w:ind w:left="1260" w:right="439" w:firstLine="648"/>
        <w:spacing w:after="0" w:line="252" w:lineRule="auto"/>
        <w:rPr>
          <w:sz w:val="20"/>
          <w:szCs w:val="20"/>
          <w:color w:val="auto"/>
        </w:rPr>
      </w:pPr>
      <w:r>
        <w:rPr>
          <w:rFonts w:ascii="Arial" w:cs="Arial" w:eastAsia="Arial" w:hAnsi="Arial"/>
          <w:sz w:val="18"/>
          <w:szCs w:val="18"/>
          <w:color w:val="auto"/>
        </w:rPr>
        <w:t>The German Act on Employees’ Inventions does not generally apply to managing directors, supervisory directors, freelancers or agents who are not employees under German labor law. Unless the German Act on Employees’ Inventions has been referred to in the respective services agreements, inventions and intellectual property rights created by such inventors must be assigned to us by contract. While we believe that all of our managing directors, supervisory directors, freelancers or agents which are not employees have assigned to us their interest in inventions and patents required for our course of business, there can be no assurance that all such assignments are fully effective. If any of our current or past employees, managing directors, supervisory directors, freelancers or agents obtain or retain ownership of any inventions or related intellectual property rights that we believe we own, we may lose valuable intellectual property rights and be required to obtain and maintain licenses from such persons to such inventions or intellectual property rights, which may not be available on commercially reasonable terms or at all, or may be non-exclusive. If we are unable to obtain and maintain a license to any such person’s interest in such inventions or intellectual property rights, we may need to cease the development, manufacture, and commercialization of one or more of our product candidates or the product candidates we may develop. In addition, any loss of exclusivity of our intellectual property rights could limit our ability to stop others from using or commercializing similar or identical technologies and products. Any of the foregoing events could have a material adverse effect on our business, financial condition, results of operations, and prospects.</w:t>
      </w: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7" w:name="page58"/>
    <w:bookmarkEnd w:id="5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19"/>
        <w:spacing w:after="0" w:line="261"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the value of our technology and products could be materially adversely affected.</w:t>
      </w:r>
    </w:p>
    <w:p>
      <w:pPr>
        <w:spacing w:after="0" w:line="103" w:lineRule="exact"/>
        <w:rPr>
          <w:sz w:val="20"/>
          <w:szCs w:val="20"/>
          <w:color w:val="auto"/>
        </w:rPr>
      </w:pPr>
    </w:p>
    <w:p>
      <w:pPr>
        <w:ind w:left="1260" w:right="519" w:firstLine="648"/>
        <w:spacing w:after="0" w:line="251" w:lineRule="auto"/>
        <w:rPr>
          <w:sz w:val="20"/>
          <w:szCs w:val="20"/>
          <w:color w:val="auto"/>
        </w:rPr>
      </w:pPr>
      <w:r>
        <w:rPr>
          <w:rFonts w:ascii="Arial" w:cs="Arial" w:eastAsia="Arial" w:hAnsi="Arial"/>
          <w:sz w:val="17"/>
          <w:szCs w:val="17"/>
          <w:color w:val="auto"/>
        </w:rPr>
        <w:t>In addition to patent protection, we also rely on trade secrets and confidentiality agreements to protect other proprietary information that is not patentable or that we elect not to patent. To maintain the confidentiality of trade secrets and proprietary information, we enter into confidentiality agreements with our employees, consultants, independent contractors, collaborators, CMOs, CROs and others upon the commencement of their relationships with us. These agreements require that all confidential information developed by the individual or entity or made known to the individual or entity by us during the course of the individual’s or entity’s relationship with us be kept confidential and not disclosed to third parties. Our agreements with employees as well as our personnel policies also generally provide that any inventions conceived by the individual in the course of rendering services to us shall be our exclusive property (to the extent not covered by the German Act on Employees’ Inventions) or that we may obtain full rights to such inventions at our election. However, we cannot guarantee that we have entered into such agreements with each party that may have or has had access to our trade secrets or proprietary technology and processes and cannot guarantee that individuals with whom we have these agreements will comply with their terms. We also face the risk that present or former employees could continue to hold rights to intellectual property used by us, may demand the registration of intellectual property rights in their name, and demand damages pursuant to the Patent Act. In addition, present or former employees may demand damages due to violation of obligations under the German Act on Employees’ Invention. In the event of unauthorized use or disclosure of our trade secrets or proprietary information, these agreements, even if obtained, may not provide meaningful protection, particularly for our trade secrets.</w:t>
      </w:r>
    </w:p>
    <w:p>
      <w:pPr>
        <w:spacing w:after="0" w:line="112" w:lineRule="exact"/>
        <w:rPr>
          <w:sz w:val="20"/>
          <w:szCs w:val="20"/>
          <w:color w:val="auto"/>
        </w:rPr>
      </w:pPr>
    </w:p>
    <w:p>
      <w:pPr>
        <w:ind w:left="1260" w:right="439" w:firstLine="648"/>
        <w:spacing w:after="0" w:line="252" w:lineRule="auto"/>
        <w:rPr>
          <w:sz w:val="20"/>
          <w:szCs w:val="20"/>
          <w:color w:val="auto"/>
        </w:rPr>
      </w:pPr>
      <w:r>
        <w:rPr>
          <w:rFonts w:ascii="Arial" w:cs="Arial" w:eastAsia="Arial" w:hAnsi="Arial"/>
          <w:sz w:val="17"/>
          <w:szCs w:val="17"/>
          <w:color w:val="auto"/>
        </w:rPr>
        <w:t>We may not have adequate remedies in the event of unauthorized use or disclosure of our proprietary information in the case of a breach of any such agreements and our trade secrets and other proprietary information could be disclosed to third parties, including our competitors. Many of our partners also collaborate with our competitors and other third parties. The disclosure of our trade secrets to our competitors, or more broadly, would impair our competitive position and may materially harm our business, financial condition, results of operations, and prospects. Costly and time-consuming litigation could be necessary to enforce and determine the scope of our proprietary rights, and failure to maintain trade secret protection could adversely affect our competitive business position. The enforceability of confidentiality agreements may vary from jurisdiction to jurisdiction. Courts outside the United States are sometimes less willing to protect proprietary information, technology and know-how. In addition, others may independently discover or develop substantially equivalent or superior proprietary information and techniques, and the existence of our own trade secrets affords no protection against such independent discovery.</w:t>
      </w:r>
    </w:p>
    <w:p>
      <w:pPr>
        <w:spacing w:after="0" w:line="183" w:lineRule="exact"/>
        <w:rPr>
          <w:sz w:val="20"/>
          <w:szCs w:val="20"/>
          <w:color w:val="auto"/>
        </w:rPr>
      </w:pPr>
    </w:p>
    <w:p>
      <w:pPr>
        <w:ind w:left="1260" w:right="1179"/>
        <w:spacing w:after="0" w:line="277" w:lineRule="auto"/>
        <w:rPr>
          <w:sz w:val="20"/>
          <w:szCs w:val="20"/>
          <w:color w:val="auto"/>
        </w:rPr>
      </w:pPr>
      <w:r>
        <w:rPr>
          <w:rFonts w:ascii="Arial" w:cs="Arial" w:eastAsia="Arial" w:hAnsi="Arial"/>
          <w:sz w:val="18"/>
          <w:szCs w:val="18"/>
          <w:b w:val="1"/>
          <w:bCs w:val="1"/>
          <w:i w:val="1"/>
          <w:iCs w:val="1"/>
          <w:color w:val="auto"/>
        </w:rPr>
        <w:t>We may not be successful in obtaining necessary intellectual property rights to product candidates for our development pipeline through acquisitions and in-licenses.</w:t>
      </w:r>
    </w:p>
    <w:p>
      <w:pPr>
        <w:spacing w:after="0" w:line="89" w:lineRule="exact"/>
        <w:rPr>
          <w:sz w:val="20"/>
          <w:szCs w:val="20"/>
          <w:color w:val="auto"/>
        </w:rPr>
      </w:pPr>
    </w:p>
    <w:p>
      <w:pPr>
        <w:ind w:left="1260" w:right="459" w:firstLine="648"/>
        <w:spacing w:after="0" w:line="271" w:lineRule="auto"/>
        <w:rPr>
          <w:sz w:val="20"/>
          <w:szCs w:val="20"/>
          <w:color w:val="auto"/>
        </w:rPr>
      </w:pPr>
      <w:r>
        <w:rPr>
          <w:rFonts w:ascii="Arial" w:cs="Arial" w:eastAsia="Arial" w:hAnsi="Arial"/>
          <w:sz w:val="17"/>
          <w:szCs w:val="17"/>
          <w:color w:val="auto"/>
        </w:rPr>
        <w:t>Although we intend to develop product candidates through our own internal research, we may need to obtain additional licenses from others to advance our research or allow commercialization of our product candidates and it is possible that we may be unable to obtain additional licenses at a reasonable cost or on reasonable terms, if at all. However, we may be unable to acquire or in-license intellectual property rights relating to, or necessary for, any product candidates from third parties on an exclusive basis or commercially reasonable terms or at all. In that event, we may be unable to develop or commercialize such product candidates. We may also be unable to identify product candidates that we believe are an appropriate strategic fit for our company and intellectual property relating to, or necessary for, such product candidates.</w:t>
      </w:r>
    </w:p>
    <w:p>
      <w:pPr>
        <w:spacing w:after="0" w:line="111" w:lineRule="exact"/>
        <w:rPr>
          <w:sz w:val="20"/>
          <w:szCs w:val="20"/>
          <w:color w:val="auto"/>
        </w:rPr>
      </w:pPr>
    </w:p>
    <w:p>
      <w:pPr>
        <w:ind w:left="1260" w:right="499" w:firstLine="648"/>
        <w:spacing w:after="0" w:line="253" w:lineRule="auto"/>
        <w:rPr>
          <w:sz w:val="20"/>
          <w:szCs w:val="20"/>
          <w:color w:val="auto"/>
        </w:rPr>
      </w:pPr>
      <w:r>
        <w:rPr>
          <w:rFonts w:ascii="Arial" w:cs="Arial" w:eastAsia="Arial" w:hAnsi="Arial"/>
          <w:sz w:val="18"/>
          <w:szCs w:val="18"/>
          <w:color w:val="auto"/>
        </w:rPr>
        <w:t>The in-licensing and acquisition of third-party intellectual property is a competitive area, and a number of more established companies are also pursuing strategies to in-license or acquire third-party intellectual property rights that we may consider attractive or necessary. These established companies may have a competitive advantage over us due to their size, cash resources and greater clinical development and commercialization capabilities. Furthermore, companies that perceive us to be a competitor may be unwilling to assign or license rights to us. In addition, we expect that competition for the in-licensing or acquisition of third-party intellectual property rights for product candidates that are attractive to us may increase in the future, which may mean fewer suitable opportunities for us as well as higher acquisition or licensing costs. We may be unable to in-license or acquire the third-party intellectual property rights for product candidates</w:t>
      </w: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8" w:name="page59"/>
    <w:bookmarkEnd w:id="5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039"/>
        <w:spacing w:after="0" w:line="248" w:lineRule="auto"/>
        <w:rPr>
          <w:sz w:val="20"/>
          <w:szCs w:val="20"/>
          <w:color w:val="auto"/>
        </w:rPr>
      </w:pPr>
      <w:r>
        <w:rPr>
          <w:rFonts w:ascii="Arial" w:cs="Arial" w:eastAsia="Arial" w:hAnsi="Arial"/>
          <w:sz w:val="18"/>
          <w:szCs w:val="18"/>
          <w:color w:val="auto"/>
        </w:rPr>
        <w:t>on terms that would allow us to make an appropriate return on our investment. If we are unable to successfully obtain rights to suitable product candidates, our business, financial condition, results of operations, and prospects for growth could suffer.</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and proprietary rights throughout the world.</w:t>
      </w:r>
    </w:p>
    <w:p>
      <w:pPr>
        <w:spacing w:after="0" w:line="156" w:lineRule="exact"/>
        <w:rPr>
          <w:sz w:val="20"/>
          <w:szCs w:val="20"/>
          <w:color w:val="auto"/>
        </w:rPr>
      </w:pPr>
    </w:p>
    <w:p>
      <w:pPr>
        <w:ind w:left="1260" w:right="419" w:firstLine="648"/>
        <w:spacing w:after="0" w:line="238" w:lineRule="auto"/>
        <w:rPr>
          <w:sz w:val="20"/>
          <w:szCs w:val="20"/>
          <w:color w:val="auto"/>
        </w:rPr>
      </w:pPr>
      <w:r>
        <w:rPr>
          <w:rFonts w:ascii="Arial" w:cs="Arial" w:eastAsia="Arial" w:hAnsi="Arial"/>
          <w:sz w:val="18"/>
          <w:szCs w:val="18"/>
          <w:color w:val="auto"/>
        </w:rPr>
        <w:t>Filing, prosecuting, and defending patents on product candidates in all countries throughout the world would be prohibitively expensive, and the laws of foreign countries may not protect our rights to the same extent as the laws of the United States. Consequently, we may not be able to prevent third parties from practicing our inventions in all countries outside the United States, or from selling or importing products made using our inventions in and into the United States or other jurisdictions. Third parties may use our technologies in jurisdictions where we have not obtained or are unable to adequately enforce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07" w:lineRule="exact"/>
        <w:rPr>
          <w:sz w:val="20"/>
          <w:szCs w:val="20"/>
          <w:color w:val="auto"/>
        </w:rPr>
      </w:pPr>
    </w:p>
    <w:p>
      <w:pPr>
        <w:ind w:left="1260" w:right="419" w:firstLine="648"/>
        <w:spacing w:after="0" w:line="252"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13" w:lineRule="exact"/>
        <w:rPr>
          <w:sz w:val="20"/>
          <w:szCs w:val="20"/>
          <w:color w:val="auto"/>
        </w:rPr>
      </w:pPr>
    </w:p>
    <w:p>
      <w:pPr>
        <w:ind w:left="1260" w:right="419" w:firstLine="648"/>
        <w:spacing w:after="0" w:line="239"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191" w:lineRule="exact"/>
        <w:rPr>
          <w:sz w:val="20"/>
          <w:szCs w:val="20"/>
          <w:color w:val="auto"/>
        </w:rPr>
      </w:pPr>
    </w:p>
    <w:p>
      <w:pPr>
        <w:ind w:left="1260" w:right="539"/>
        <w:spacing w:after="0" w:line="248"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we may not be able to build name recognition in our markets of interest and our business, financial condition, results of operations, and prospects may be adversely affected.</w:t>
      </w:r>
    </w:p>
    <w:p>
      <w:pPr>
        <w:spacing w:after="0" w:line="101" w:lineRule="exact"/>
        <w:rPr>
          <w:sz w:val="20"/>
          <w:szCs w:val="20"/>
          <w:color w:val="auto"/>
        </w:rPr>
      </w:pPr>
    </w:p>
    <w:p>
      <w:pPr>
        <w:ind w:left="1260" w:right="479" w:firstLine="648"/>
        <w:spacing w:after="0" w:line="252" w:lineRule="auto"/>
        <w:rPr>
          <w:sz w:val="20"/>
          <w:szCs w:val="20"/>
          <w:color w:val="auto"/>
        </w:rPr>
      </w:pPr>
      <w:r>
        <w:rPr>
          <w:rFonts w:ascii="Arial" w:cs="Arial" w:eastAsia="Arial" w:hAnsi="Arial"/>
          <w:sz w:val="17"/>
          <w:szCs w:val="17"/>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or marks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financial condition, results of operations, and prospects may be adversely affected.</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31" w:lineRule="exact"/>
        <w:rPr>
          <w:sz w:val="20"/>
          <w:szCs w:val="20"/>
          <w:color w:val="auto"/>
        </w:rPr>
      </w:pPr>
    </w:p>
    <w:p>
      <w:pPr>
        <w:ind w:left="1260" w:right="819" w:firstLine="648"/>
        <w:spacing w:after="0" w:line="248" w:lineRule="auto"/>
        <w:rPr>
          <w:sz w:val="20"/>
          <w:szCs w:val="20"/>
          <w:color w:val="auto"/>
        </w:rPr>
      </w:pPr>
      <w:r>
        <w:rPr>
          <w:rFonts w:ascii="Arial" w:cs="Arial" w:eastAsia="Arial" w:hAnsi="Arial"/>
          <w:sz w:val="18"/>
          <w:szCs w:val="18"/>
          <w:color w:val="auto"/>
        </w:rPr>
        <w:t>The degree of future protection afforded by our proprietary and intellectual property rights is uncertain because such rights offer only limited protection and may not adequately protect our rights or permit us to gain or keep our competitive advantage. For example:</w:t>
      </w:r>
    </w:p>
    <w:p>
      <w:pPr>
        <w:sectPr>
          <w:pgSz w:w="11900" w:h="16838" w:orient="portrait"/>
          <w:cols w:equalWidth="0" w:num="1">
            <w:col w:w="9879"/>
          </w:cols>
          <w:pgMar w:left="580" w:top="132"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279400</wp:posOffset>
            </wp:positionV>
            <wp:extent cx="68065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9" w:name="page60"/>
    <w:bookmarkEnd w:id="5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60" w:right="779" w:hanging="352"/>
        <w:spacing w:after="0" w:line="263" w:lineRule="auto"/>
        <w:tabs>
          <w:tab w:leader="none" w:pos="2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others may be able to develop products that are similar to, or better than, our product candidates in a way that is not covered by the claims of the patents we license or may own currently or in the future;</w:t>
      </w:r>
    </w:p>
    <w:p>
      <w:pPr>
        <w:spacing w:after="0" w:line="75" w:lineRule="exact"/>
        <w:rPr>
          <w:rFonts w:ascii="Arial" w:cs="Arial" w:eastAsia="Arial" w:hAnsi="Arial"/>
          <w:sz w:val="18"/>
          <w:szCs w:val="18"/>
          <w:color w:val="auto"/>
        </w:rPr>
      </w:pPr>
    </w:p>
    <w:p>
      <w:pPr>
        <w:ind w:left="2260" w:right="459" w:hanging="352"/>
        <w:spacing w:after="0" w:line="263" w:lineRule="auto"/>
        <w:tabs>
          <w:tab w:leader="none" w:pos="2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or our licensing partners or current or future collaborators, might not have been the first to make the inventions covered by issued patents or pending patent applications that we license or may own currently or in the future;</w:t>
      </w:r>
    </w:p>
    <w:p>
      <w:pPr>
        <w:spacing w:after="0" w:line="89" w:lineRule="exact"/>
        <w:rPr>
          <w:rFonts w:ascii="Arial" w:cs="Arial" w:eastAsia="Arial" w:hAnsi="Arial"/>
          <w:sz w:val="18"/>
          <w:szCs w:val="18"/>
          <w:color w:val="auto"/>
        </w:rPr>
      </w:pPr>
    </w:p>
    <w:p>
      <w:pPr>
        <w:ind w:left="2260" w:right="459" w:hanging="352"/>
        <w:spacing w:after="0" w:line="277" w:lineRule="auto"/>
        <w:tabs>
          <w:tab w:leader="none" w:pos="2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or our licensing partners or current or future collaborators, might not have been the first to file patent applications for certain of our or their inventions;</w:t>
      </w:r>
    </w:p>
    <w:p>
      <w:pPr>
        <w:spacing w:after="0" w:line="62" w:lineRule="exact"/>
        <w:rPr>
          <w:rFonts w:ascii="Arial" w:cs="Arial" w:eastAsia="Arial" w:hAnsi="Arial"/>
          <w:sz w:val="18"/>
          <w:szCs w:val="18"/>
          <w:color w:val="auto"/>
        </w:rPr>
      </w:pPr>
    </w:p>
    <w:p>
      <w:pPr>
        <w:ind w:left="2260" w:hanging="352"/>
        <w:spacing w:after="0"/>
        <w:tabs>
          <w:tab w:leader="none" w:pos="2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pending owned or in-licensed patent applications may not lead to issued patents;</w:t>
      </w:r>
    </w:p>
    <w:p>
      <w:pPr>
        <w:spacing w:after="0" w:line="117" w:lineRule="exact"/>
        <w:rPr>
          <w:rFonts w:ascii="Arial" w:cs="Arial" w:eastAsia="Arial" w:hAnsi="Arial"/>
          <w:sz w:val="18"/>
          <w:szCs w:val="18"/>
          <w:color w:val="auto"/>
        </w:rPr>
      </w:pPr>
    </w:p>
    <w:p>
      <w:pPr>
        <w:ind w:left="2260" w:right="459" w:hanging="352"/>
        <w:spacing w:after="0" w:line="277" w:lineRule="auto"/>
        <w:tabs>
          <w:tab w:leader="none" w:pos="2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choose not to file a patent for certain trade secrets or know-how, and a third party may subsequently file a patent covering such intellectual property;</w:t>
      </w:r>
    </w:p>
    <w:p>
      <w:pPr>
        <w:spacing w:after="0" w:line="62" w:lineRule="exact"/>
        <w:rPr>
          <w:rFonts w:ascii="Arial" w:cs="Arial" w:eastAsia="Arial" w:hAnsi="Arial"/>
          <w:sz w:val="18"/>
          <w:szCs w:val="18"/>
          <w:color w:val="auto"/>
        </w:rPr>
      </w:pPr>
    </w:p>
    <w:p>
      <w:pPr>
        <w:ind w:left="2260" w:right="619" w:hanging="352"/>
        <w:spacing w:after="0" w:line="286" w:lineRule="auto"/>
        <w:tabs>
          <w:tab w:leader="none" w:pos="22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57" w:lineRule="exact"/>
        <w:rPr>
          <w:rFonts w:ascii="Arial" w:cs="Arial" w:eastAsia="Arial" w:hAnsi="Arial"/>
          <w:sz w:val="17"/>
          <w:szCs w:val="17"/>
          <w:color w:val="auto"/>
        </w:rPr>
      </w:pPr>
    </w:p>
    <w:p>
      <w:pPr>
        <w:ind w:left="2260" w:right="619" w:hanging="352"/>
        <w:spacing w:after="0" w:line="277" w:lineRule="auto"/>
        <w:tabs>
          <w:tab w:leader="none" w:pos="2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our or our licensors’ patents;</w:t>
      </w:r>
    </w:p>
    <w:p>
      <w:pPr>
        <w:spacing w:after="0" w:line="62" w:lineRule="exact"/>
        <w:rPr>
          <w:rFonts w:ascii="Arial" w:cs="Arial" w:eastAsia="Arial" w:hAnsi="Arial"/>
          <w:sz w:val="18"/>
          <w:szCs w:val="18"/>
          <w:color w:val="auto"/>
        </w:rPr>
      </w:pPr>
    </w:p>
    <w:p>
      <w:pPr>
        <w:ind w:left="2260" w:right="799" w:hanging="352"/>
        <w:spacing w:after="0" w:line="277" w:lineRule="auto"/>
        <w:tabs>
          <w:tab w:leader="none" w:pos="2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patents of third parties or pending or future applications of third parties, if issued, may have an adverse effect on our business;</w:t>
      </w:r>
    </w:p>
    <w:p>
      <w:pPr>
        <w:spacing w:after="0" w:line="62" w:lineRule="exact"/>
        <w:rPr>
          <w:rFonts w:ascii="Arial" w:cs="Arial" w:eastAsia="Arial" w:hAnsi="Arial"/>
          <w:sz w:val="18"/>
          <w:szCs w:val="18"/>
          <w:color w:val="auto"/>
        </w:rPr>
      </w:pPr>
    </w:p>
    <w:p>
      <w:pPr>
        <w:ind w:left="2260" w:right="1039" w:hanging="352"/>
        <w:spacing w:after="0" w:line="277" w:lineRule="auto"/>
        <w:tabs>
          <w:tab w:leader="none" w:pos="2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patents that we obtain may not provide us with any competitive advantages or may ultimately be found not to be owned by us, invalid or unenforceable; or</w:t>
      </w:r>
    </w:p>
    <w:p>
      <w:pPr>
        <w:spacing w:after="0" w:line="62" w:lineRule="exact"/>
        <w:rPr>
          <w:rFonts w:ascii="Arial" w:cs="Arial" w:eastAsia="Arial" w:hAnsi="Arial"/>
          <w:sz w:val="18"/>
          <w:szCs w:val="18"/>
          <w:color w:val="auto"/>
        </w:rPr>
      </w:pPr>
    </w:p>
    <w:p>
      <w:pPr>
        <w:ind w:left="2260" w:hanging="352"/>
        <w:spacing w:after="0"/>
        <w:tabs>
          <w:tab w:leader="none" w:pos="2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44" w:lineRule="exact"/>
        <w:rPr>
          <w:sz w:val="20"/>
          <w:szCs w:val="20"/>
          <w:color w:val="auto"/>
        </w:rPr>
      </w:pPr>
    </w:p>
    <w:p>
      <w:pPr>
        <w:ind w:left="1260" w:right="559" w:firstLine="648"/>
        <w:spacing w:after="0" w:line="277" w:lineRule="auto"/>
        <w:rPr>
          <w:sz w:val="20"/>
          <w:szCs w:val="20"/>
          <w:color w:val="auto"/>
        </w:rPr>
      </w:pPr>
      <w:r>
        <w:rPr>
          <w:rFonts w:ascii="Arial" w:cs="Arial" w:eastAsia="Arial" w:hAnsi="Arial"/>
          <w:sz w:val="18"/>
          <w:szCs w:val="18"/>
          <w:color w:val="auto"/>
        </w:rPr>
        <w:t>Should any of these events occur, they could significantly harm our business, financial conditions, results of operations, and prospects.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1260" w:right="519"/>
        <w:spacing w:after="0" w:line="259" w:lineRule="auto"/>
        <w:rPr>
          <w:sz w:val="20"/>
          <w:szCs w:val="20"/>
          <w:color w:val="auto"/>
        </w:rPr>
      </w:pPr>
      <w:r>
        <w:rPr>
          <w:rFonts w:ascii="Arial" w:cs="Arial" w:eastAsia="Arial" w:hAnsi="Arial"/>
          <w:sz w:val="18"/>
          <w:szCs w:val="18"/>
          <w:b w:val="1"/>
          <w:bCs w:val="1"/>
          <w:i w:val="1"/>
          <w:iCs w:val="1"/>
          <w:color w:val="auto"/>
        </w:rPr>
        <w:t>Our current and future relationships with third-party payors, healthcare professionals and customers in the United States and elsewhere may be subject, directly or indirectly, to applicable anti-kickback, fraud and abuse, false claims, physician payment transparency and other healthcare laws and regulations, which could expose us to significant penalties.</w:t>
      </w:r>
    </w:p>
    <w:p>
      <w:pPr>
        <w:spacing w:after="0" w:line="119" w:lineRule="exact"/>
        <w:rPr>
          <w:sz w:val="20"/>
          <w:szCs w:val="20"/>
          <w:color w:val="auto"/>
        </w:rPr>
      </w:pPr>
    </w:p>
    <w:p>
      <w:pPr>
        <w:ind w:left="1260" w:right="419" w:firstLine="648"/>
        <w:spacing w:after="0" w:line="253" w:lineRule="auto"/>
        <w:rPr>
          <w:sz w:val="20"/>
          <w:szCs w:val="20"/>
          <w:color w:val="auto"/>
        </w:rPr>
      </w:pPr>
      <w:r>
        <w:rPr>
          <w:rFonts w:ascii="Arial" w:cs="Arial" w:eastAsia="Arial" w:hAnsi="Arial"/>
          <w:sz w:val="18"/>
          <w:szCs w:val="18"/>
          <w:color w:val="auto"/>
        </w:rPr>
        <w:t>Healthcare providers, physicians and third-party payors in the United States and elsewhere will play a primary role in the recommendation and prescription of any product candidates for which we obtain marketing approval. Our current and future arrangements with healthcare professionals, third-party payors and customers may expose us to broadly applicable fraud and abuse and other healthcare laws and regulations, including, without limitation, the federal Anti-Kickback Statute and the federal civil False Claims Act, that may constrain the business or financial arrangements and relationships through which we conduct clinical research, sell, market and distribute any products for which we obtain marketing approval. In addition, we may be subject to physician payment transparency laws and patient privacy regulation by the federal government and by the U.S. states and foreign jurisdictions in which we conduct our business. The applicable federal, state and foreign healthcare laws and regulations that may affect our ability to operate include the following:</w:t>
      </w:r>
    </w:p>
    <w:p>
      <w:pPr>
        <w:spacing w:after="0" w:line="84" w:lineRule="exact"/>
        <w:rPr>
          <w:sz w:val="20"/>
          <w:szCs w:val="20"/>
          <w:color w:val="auto"/>
        </w:rPr>
      </w:pPr>
    </w:p>
    <w:p>
      <w:pPr>
        <w:ind w:left="2260" w:right="459" w:hanging="352"/>
        <w:spacing w:after="0" w:line="253" w:lineRule="auto"/>
        <w:tabs>
          <w:tab w:leader="none" w:pos="2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to have committed a violation. Further, several courts have interpreted the statute’s intent requirement to mean that if any one purpose of an arrangement involving</w:t>
      </w:r>
    </w:p>
    <w:p>
      <w:pPr>
        <w:sectPr>
          <w:pgSz w:w="11900" w:h="16838" w:orient="portrait"/>
          <w:cols w:equalWidth="0" w:num="1">
            <w:col w:w="9879"/>
          </w:cols>
          <w:pgMar w:left="580" w:top="132"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279400</wp:posOffset>
            </wp:positionV>
            <wp:extent cx="68065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0" w:name="page61"/>
    <w:bookmarkEnd w:id="6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60" w:right="579"/>
        <w:spacing w:after="0" w:line="261" w:lineRule="auto"/>
        <w:rPr>
          <w:sz w:val="20"/>
          <w:szCs w:val="20"/>
          <w:color w:val="auto"/>
        </w:rPr>
      </w:pPr>
      <w:r>
        <w:rPr>
          <w:rFonts w:ascii="Arial" w:cs="Arial" w:eastAsia="Arial" w:hAnsi="Arial"/>
          <w:sz w:val="18"/>
          <w:szCs w:val="18"/>
          <w:color w:val="auto"/>
        </w:rPr>
        <w:t>remuneration is to induce referrals of federal healthcare covered business, the Anti-Kickback Statute has been violated;</w:t>
      </w:r>
    </w:p>
    <w:p>
      <w:pPr>
        <w:spacing w:after="0" w:line="63" w:lineRule="exact"/>
        <w:rPr>
          <w:sz w:val="20"/>
          <w:szCs w:val="20"/>
          <w:color w:val="auto"/>
        </w:rPr>
      </w:pPr>
    </w:p>
    <w:p>
      <w:pPr>
        <w:ind w:left="2260" w:right="419" w:hanging="352"/>
        <w:spacing w:after="0" w:line="253" w:lineRule="auto"/>
        <w:tabs>
          <w:tab w:leader="none" w:pos="2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federal civil and criminal false claims laws, including, without limitation, the federal civil False Claims Act (that can be enforced through civil whistleblower or qui tam actions), and the civil monetary penalties law, which impose criminal and civil penalties against individuals or entities for knowingly presenting, or causing to be presented, to the federal government, including the Medicare and Medicaid programs, claims for payment that are false or fraudulent or making a false statement to avoid, decrease or conceal an obligation to pay money to the federal government. Moreover, the government may assert that a claim including items or services resulting from a violation of the federal Anti-Kickback Statute constitutes a false or fraudulent claim for purposes of the False Claims Act;</w:t>
      </w:r>
    </w:p>
    <w:p>
      <w:pPr>
        <w:spacing w:after="0" w:line="88" w:lineRule="exact"/>
        <w:rPr>
          <w:rFonts w:ascii="Arial" w:cs="Arial" w:eastAsia="Arial" w:hAnsi="Arial"/>
          <w:sz w:val="18"/>
          <w:szCs w:val="18"/>
          <w:color w:val="auto"/>
        </w:rPr>
      </w:pPr>
    </w:p>
    <w:p>
      <w:pPr>
        <w:ind w:left="2260" w:right="419" w:hanging="352"/>
        <w:spacing w:after="0" w:line="257" w:lineRule="auto"/>
        <w:tabs>
          <w:tab w:leader="none" w:pos="2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imposes criminal and civil liability for, among other things, executing a scheme to defraud any healthcare benefit program or making false statements relating to healthcare matters. Similar to the federal Anti-Kickback Statute, a person or entity does not need to have actual knowledge of the statute or specific intent to violate it to have committed a violation;</w:t>
      </w:r>
    </w:p>
    <w:p>
      <w:pPr>
        <w:spacing w:after="0" w:line="66" w:lineRule="exact"/>
        <w:rPr>
          <w:rFonts w:ascii="Arial" w:cs="Arial" w:eastAsia="Arial" w:hAnsi="Arial"/>
          <w:sz w:val="18"/>
          <w:szCs w:val="18"/>
          <w:color w:val="auto"/>
        </w:rPr>
      </w:pPr>
    </w:p>
    <w:p>
      <w:pPr>
        <w:ind w:left="2260" w:right="879" w:hanging="352"/>
        <w:spacing w:after="0" w:line="277" w:lineRule="auto"/>
        <w:tabs>
          <w:tab w:leader="none" w:pos="2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U.S. Federal Food, Drug, and Cosmetic Act, which prohibits, among other things, the adulteration or misbranding of drugs, biologics and medical devices;</w:t>
      </w:r>
    </w:p>
    <w:p>
      <w:pPr>
        <w:spacing w:after="0" w:line="62" w:lineRule="exact"/>
        <w:rPr>
          <w:rFonts w:ascii="Arial" w:cs="Arial" w:eastAsia="Arial" w:hAnsi="Arial"/>
          <w:sz w:val="18"/>
          <w:szCs w:val="18"/>
          <w:color w:val="auto"/>
        </w:rPr>
      </w:pPr>
    </w:p>
    <w:p>
      <w:pPr>
        <w:ind w:left="2260" w:right="679" w:hanging="352"/>
        <w:spacing w:after="0" w:line="263" w:lineRule="auto"/>
        <w:tabs>
          <w:tab w:leader="none" w:pos="2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U.S. Public Health Service Act, or PHSA, which prohibits, among other things, the introduction into interstate commerce of a biological product unless a biologics license is in effect for that product;</w:t>
      </w:r>
    </w:p>
    <w:p>
      <w:pPr>
        <w:spacing w:after="0" w:line="75" w:lineRule="exact"/>
        <w:rPr>
          <w:rFonts w:ascii="Arial" w:cs="Arial" w:eastAsia="Arial" w:hAnsi="Arial"/>
          <w:sz w:val="18"/>
          <w:szCs w:val="18"/>
          <w:color w:val="auto"/>
        </w:rPr>
      </w:pPr>
    </w:p>
    <w:p>
      <w:pPr>
        <w:ind w:left="2260" w:right="439" w:hanging="352"/>
        <w:spacing w:after="0" w:line="269" w:lineRule="auto"/>
        <w:tabs>
          <w:tab w:leader="none" w:pos="22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Physician Payments Sunshine Act, created under Section 6002 of the Affordable Care Act, and its implementing regulations, which requires specified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which is defined to include doctors, dentists, optometrists, podiatrists and chiropractors, certain other healthcare providers beginning in 2022, and teaching hospitals and applicable manufacturers to report annually to CMS ownership and investment interests held by physicians and their immediate family members by the 90th day of each calendar year. All such reported information is publicly available; and</w:t>
      </w:r>
    </w:p>
    <w:p>
      <w:pPr>
        <w:spacing w:after="0" w:line="77" w:lineRule="exact"/>
        <w:rPr>
          <w:rFonts w:ascii="Arial" w:cs="Arial" w:eastAsia="Arial" w:hAnsi="Arial"/>
          <w:sz w:val="17"/>
          <w:szCs w:val="17"/>
          <w:color w:val="auto"/>
        </w:rPr>
      </w:pPr>
    </w:p>
    <w:p>
      <w:pPr>
        <w:ind w:left="2260" w:right="559" w:hanging="352"/>
        <w:spacing w:after="0" w:line="270" w:lineRule="auto"/>
        <w:tabs>
          <w:tab w:leader="none" w:pos="22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and state and foreign laws that require drug manufacturers to report information related to payments and other transfers of value to physicians and other healthcare providers or marketing expenditures.</w:t>
      </w:r>
    </w:p>
    <w:p>
      <w:pPr>
        <w:spacing w:after="0" w:line="100" w:lineRule="exact"/>
        <w:rPr>
          <w:sz w:val="20"/>
          <w:szCs w:val="20"/>
          <w:color w:val="auto"/>
        </w:rPr>
      </w:pPr>
    </w:p>
    <w:p>
      <w:pPr>
        <w:ind w:left="1260" w:right="599" w:firstLine="648"/>
        <w:spacing w:after="0"/>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may involve substantial costs. It is possible that governmental authorities will conclude that our business practices, including our relationships with physicians and other healthcare providers, some of whom may recommend, purchase or prescribe our product candidate, if approved, may not comply with current or future statutes, regulations or case law involving applicable fraud and abuse or other healthcare laws and regulations.</w:t>
      </w:r>
    </w:p>
    <w:p>
      <w:pPr>
        <w:spacing w:after="0" w:line="122" w:lineRule="exact"/>
        <w:rPr>
          <w:sz w:val="20"/>
          <w:szCs w:val="20"/>
          <w:color w:val="auto"/>
        </w:rPr>
      </w:pPr>
    </w:p>
    <w:p>
      <w:pPr>
        <w:ind w:left="1260" w:right="459" w:firstLine="648"/>
        <w:spacing w:after="0" w:line="257" w:lineRule="auto"/>
        <w:rPr>
          <w:sz w:val="20"/>
          <w:szCs w:val="20"/>
          <w:color w:val="auto"/>
        </w:rPr>
      </w:pPr>
      <w:r>
        <w:rPr>
          <w:rFonts w:ascii="Arial" w:cs="Arial" w:eastAsia="Arial" w:hAnsi="Arial"/>
          <w:sz w:val="17"/>
          <w:szCs w:val="17"/>
          <w:color w:val="auto"/>
        </w:rPr>
        <w:t>If our operations are found to be in violation of any of these laws or any other governmental regulations that may apply to us, we may be subject to significant civil, criminal and administrative penalties, including, without limitation, damages, fines, disgorgement, individual imprisonment, exclusion from participation in government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sectPr>
          <w:pgSz w:w="11900" w:h="16838" w:orient="portrait"/>
          <w:cols w:equalWidth="0" w:num="1">
            <w:col w:w="9879"/>
          </w:cols>
          <w:pgMar w:left="580" w:top="132"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1" w:name="page62"/>
    <w:bookmarkEnd w:id="6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599"/>
        <w:spacing w:after="0" w:line="262" w:lineRule="auto"/>
        <w:rPr>
          <w:sz w:val="20"/>
          <w:szCs w:val="20"/>
          <w:color w:val="auto"/>
        </w:rPr>
      </w:pPr>
      <w:r>
        <w:rPr>
          <w:rFonts w:ascii="Arial" w:cs="Arial" w:eastAsia="Arial" w:hAnsi="Arial"/>
          <w:sz w:val="17"/>
          <w:szCs w:val="17"/>
          <w:color w:val="auto"/>
        </w:rPr>
        <w:t>which could have a material adverse effect on our business. If any of the physicians or other healthcare providers or entities with whom we expect to do business is found not to be in compliance with applicable laws, they may be subject to criminal, civil or administrative sanctions, including exclusions from participation in government healthcare programs, which could also materially affect our business.</w:t>
      </w:r>
    </w:p>
    <w:p>
      <w:pPr>
        <w:spacing w:after="0" w:line="172" w:lineRule="exact"/>
        <w:rPr>
          <w:sz w:val="20"/>
          <w:szCs w:val="20"/>
          <w:color w:val="auto"/>
        </w:rPr>
      </w:pPr>
    </w:p>
    <w:p>
      <w:pPr>
        <w:ind w:left="1260" w:right="439"/>
        <w:spacing w:after="0" w:line="276" w:lineRule="auto"/>
        <w:rPr>
          <w:sz w:val="20"/>
          <w:szCs w:val="20"/>
          <w:color w:val="auto"/>
        </w:rPr>
      </w:pPr>
      <w:r>
        <w:rPr>
          <w:rFonts w:ascii="Arial" w:cs="Arial" w:eastAsia="Arial" w:hAnsi="Arial"/>
          <w:sz w:val="16"/>
          <w:szCs w:val="16"/>
          <w:b w:val="1"/>
          <w:bCs w:val="1"/>
          <w:i w:val="1"/>
          <w:iCs w:val="1"/>
          <w:color w:val="auto"/>
        </w:rPr>
        <w:t>Even if we, or any future collaborators, are able to commercialize any product candidate that we, or they, develop, the successful commercialization of our product candidates will depend in part on the extent to which governmental authorities, private health insurers and other third-party payors provide coverage and adequate reimbursement levels and implement pricing policies favorable for our product candidates. Failure to obtain or maintain coverage and adequate reimbursement for our product candidates, if approved, could limit our ability to market those products and decrease our ability to generate revenue.</w:t>
      </w:r>
    </w:p>
    <w:p>
      <w:pPr>
        <w:spacing w:after="0" w:line="94" w:lineRule="exact"/>
        <w:rPr>
          <w:sz w:val="20"/>
          <w:szCs w:val="20"/>
          <w:color w:val="auto"/>
        </w:rPr>
      </w:pPr>
    </w:p>
    <w:p>
      <w:pPr>
        <w:ind w:left="1260" w:right="419" w:firstLine="648"/>
        <w:spacing w:after="0" w:line="236" w:lineRule="auto"/>
        <w:rPr>
          <w:sz w:val="20"/>
          <w:szCs w:val="20"/>
          <w:color w:val="auto"/>
        </w:rPr>
      </w:pPr>
      <w:r>
        <w:rPr>
          <w:rFonts w:ascii="Arial" w:cs="Arial" w:eastAsia="Arial" w:hAnsi="Arial"/>
          <w:sz w:val="18"/>
          <w:szCs w:val="18"/>
          <w:color w:val="auto"/>
        </w:rPr>
        <w:t>The healthcare industry is acutely focused on cost containment, both in the United States and elsewhere. Government authorities and third -party payors have attempted to control costs by limiting coverage and the amount of reimbursement. The insurance coverage and reimbursement status of newly approved products for orphan diseases is particularly uncertain and failure to obtain or maintain adequate coverage and reimbursement for our product candidates could limit our ability to generate revenue. Third-party payors may not view our product candidates, if approved, as cost-effective, and coverage and reimbursement may not be available to our customers or may not be sufficient to allow our products, if any, to be marketed on a competitive basis. If coverage and reimbursement are not available, or reimbursement is available only to limited levels, we, or any future collaborators, may not be able to successfully commercialize our product candidates. Even if coverage is provided, the approved reimbursement amount may not be high enough to allow us, or any future collaborators, to establish or maintain pricing sufficient to realize a sufficient return on our or their investments. Cost-control initiatives could also cause us to decrease any price we might establish for our product candidates, which could result in lower than anticipated product revenues. Moreover, eligibility for reimbursement does not imply that any product will be paid for in all cases or at a rate that covers our costs, including our costs related to research, development, manufacture, sale and distribution. Reimbursement rates may vary, by way of example, according to the use of the product and the clinical setting in which it is used. For products administered under the supervision of a physician, obtaining coverage and adequate reimbursement may be particularly difficult because of the higher prices often associated with such drugs. If the prices for our product candidates, if approved, decrease or if governmental and other third-party payors do not provide adequate coverage or reimbursement, our business, prospects, operating results and financial condition will suffer, perhaps materially.</w:t>
      </w:r>
    </w:p>
    <w:p>
      <w:pPr>
        <w:spacing w:after="0" w:line="126" w:lineRule="exact"/>
        <w:rPr>
          <w:sz w:val="20"/>
          <w:szCs w:val="20"/>
          <w:color w:val="auto"/>
        </w:rPr>
      </w:pPr>
    </w:p>
    <w:p>
      <w:pPr>
        <w:ind w:left="1260" w:right="439" w:firstLine="648"/>
        <w:spacing w:after="0" w:line="236"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including genetic treatments. In the United States, the Centers for Medicare &amp; Medicaid Services, or CMS, the federal agency responsible for administering the Medicare program, make the principal decisions about coverage and reimbursement for new treatments under Medicare. Private payors tend to follow CMS to a substantial degree. It is difficult to predict what CMS will decide with respect to reimbursement for novel products such as ours. In addition, certain Affordable Care Act marketplace and other private payor plans are required to include coverage for certain preventative services, including vaccinations recommended by the U.S. Centers for Disease Control’s, or CDC’s, Advisory Committee on Immunization Practices, or ACIP, without cost share obligations (i.e., co-payments, deductibles or co-insurance) for plan members. For Medicare beneficiaries, vaccines may be covered for reimbursement under either the Part B program or Part D depending on several criteria, including the type of vaccine and the beneficiary’s coverage eligibility. If our vaccine candidates, once approved, are reimbursed only under the Part D program, physicians may be less willing to use our products because of the claims adjudication costs and time related to the claims adjudication process and collection of co-payment associated with the Part D program.</w:t>
      </w:r>
    </w:p>
    <w:p>
      <w:pPr>
        <w:spacing w:after="0" w:line="119" w:lineRule="exact"/>
        <w:rPr>
          <w:sz w:val="20"/>
          <w:szCs w:val="20"/>
          <w:color w:val="auto"/>
        </w:rPr>
      </w:pPr>
    </w:p>
    <w:p>
      <w:pPr>
        <w:ind w:left="1260" w:right="499" w:firstLine="648"/>
        <w:spacing w:after="0" w:line="238" w:lineRule="auto"/>
        <w:rPr>
          <w:sz w:val="20"/>
          <w:szCs w:val="20"/>
          <w:color w:val="auto"/>
        </w:rPr>
      </w:pPr>
      <w:r>
        <w:rPr>
          <w:rFonts w:ascii="Arial" w:cs="Arial" w:eastAsia="Arial" w:hAnsi="Arial"/>
          <w:sz w:val="18"/>
          <w:szCs w:val="18"/>
          <w:color w:val="auto"/>
        </w:rPr>
        <w:t>Outside the United States, certain countries, including a number of Member States of the European Union, set prices and reimbursement for pharmaceutical products, with limited participation from the marketing authorization holders. We cannot be sure that such prices and reimbursement will be acceptable to us or our collaborators. If the regulatory authorities in these jurisdictions set prices or reimbursement levels that are not commercially attractive for us or our collaborators, our revenues from sales by us or our collaborators, and the potential profitability of our product candidates, in those countries would be negatively affected. Additionally, some countries require approval of the sale price of a product before it can be</w:t>
      </w: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59"/>
        <w:spacing w:after="0"/>
        <w:rPr>
          <w:sz w:val="20"/>
          <w:szCs w:val="20"/>
          <w:color w:val="auto"/>
        </w:rPr>
      </w:pPr>
      <w:r>
        <w:rPr>
          <w:rFonts w:ascii="Arial" w:cs="Arial" w:eastAsia="Arial" w:hAnsi="Arial"/>
          <w:sz w:val="18"/>
          <w:szCs w:val="18"/>
          <w:color w:val="auto"/>
        </w:rPr>
        <w:t>marketed. In many countries, the pricing review period begins after marketing or product licensing approval is granted. As a result, we might obtain marketing approval for a product in a particular country, but then may experience delays in the reimbursement approval of our product or be subject to price regulations that would delay our commercial launch of the product, possibly for lengthy time periods, which could negatively impact the revenues we are able to generate from the sale of the product in that particular country.</w:t>
      </w:r>
    </w:p>
    <w:p>
      <w:pPr>
        <w:spacing w:after="0" w:line="122" w:lineRule="exact"/>
        <w:rPr>
          <w:sz w:val="20"/>
          <w:szCs w:val="20"/>
          <w:color w:val="auto"/>
        </w:rPr>
      </w:pPr>
    </w:p>
    <w:p>
      <w:pPr>
        <w:ind w:left="1260" w:right="419" w:firstLine="648"/>
        <w:spacing w:after="0" w:line="254" w:lineRule="auto"/>
        <w:rPr>
          <w:sz w:val="20"/>
          <w:szCs w:val="20"/>
          <w:color w:val="auto"/>
        </w:rPr>
      </w:pPr>
      <w:r>
        <w:rPr>
          <w:rFonts w:ascii="Arial" w:cs="Arial" w:eastAsia="Arial" w:hAnsi="Arial"/>
          <w:sz w:val="17"/>
          <w:szCs w:val="17"/>
          <w:color w:val="auto"/>
        </w:rPr>
        <w:t>Moreover, an increasing number of countries are taking initiatives to attempt to reduce large budget deficits by focusing cost-cutting efforts on pharmaceuticals for their state -run healthcare systems. These international price control efforts have impacted all regions of the world, but have been most drastic in the European Union. In some countries, in particular in many Member States of the European Union, we may be required to conduct a clinical trial or other studies that compare the cost-effectiveness of our product candidates to other available therapies in order to obtain or maintain reimbursement or pricing approval. In addition, publication of discounts by third -party payors or authorities may lead to further pressure on the prices or reimbursement levels within the country of publication and other countries.</w:t>
      </w:r>
    </w:p>
    <w:p>
      <w:pPr>
        <w:spacing w:after="0" w:line="113" w:lineRule="exact"/>
        <w:rPr>
          <w:sz w:val="20"/>
          <w:szCs w:val="20"/>
          <w:color w:val="auto"/>
        </w:rPr>
      </w:pPr>
    </w:p>
    <w:p>
      <w:pPr>
        <w:ind w:left="1260" w:right="419" w:firstLine="648"/>
        <w:spacing w:after="0" w:line="238" w:lineRule="auto"/>
        <w:rPr>
          <w:sz w:val="20"/>
          <w:szCs w:val="20"/>
          <w:color w:val="auto"/>
        </w:rPr>
      </w:pPr>
      <w:r>
        <w:rPr>
          <w:rFonts w:ascii="Arial" w:cs="Arial" w:eastAsia="Arial" w:hAnsi="Arial"/>
          <w:sz w:val="18"/>
          <w:szCs w:val="18"/>
          <w:color w:val="auto"/>
        </w:rPr>
        <w:t>If reimbursement of our products is unavailable or limited in scope or amount, or if pricing is set at unsatisfactory levels, our business, financial condition, results of operations or prospects could be materially adversely affected. Cost-control initiatives could cause us, or any future collaborators, to decrease the price we, or they, might establish for products, which could result in lower than anticipated product revenues. An inability to promptly obtain coverage and adequate payment rates from both government-funded and private payors for any of our product candidates for which we, or any future collaborator, obtain marketing approval could significantly harm our operating results, our ability to raise capital needed to commercialize products and our overall financial condition.</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Price controls may be imposed in certain markets, which may adversely affect our future profitability.</w:t>
      </w:r>
    </w:p>
    <w:p>
      <w:pPr>
        <w:spacing w:after="0" w:line="156" w:lineRule="exact"/>
        <w:rPr>
          <w:sz w:val="20"/>
          <w:szCs w:val="20"/>
          <w:color w:val="auto"/>
        </w:rPr>
      </w:pPr>
    </w:p>
    <w:p>
      <w:pPr>
        <w:ind w:left="1260" w:right="539" w:firstLine="648"/>
        <w:spacing w:after="0" w:line="268" w:lineRule="auto"/>
        <w:rPr>
          <w:sz w:val="20"/>
          <w:szCs w:val="20"/>
          <w:color w:val="auto"/>
        </w:rPr>
      </w:pPr>
      <w:r>
        <w:rPr>
          <w:rFonts w:ascii="Arial" w:cs="Arial" w:eastAsia="Arial" w:hAnsi="Arial"/>
          <w:sz w:val="17"/>
          <w:szCs w:val="17"/>
          <w:color w:val="auto"/>
        </w:rPr>
        <w:t>In some countries, particularly Member States of the European Union, the pricing of prescription drugs is subject to governmental control or control by associations of health insurers.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countries and parallel distribution, or arbitrage between low-priced and high-priced countries, can further reduce prices. In some countries, in particular in many Member States of the European Union, we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unsatisfactory levels, our business, financial condition, results of operations or prospects could be materially adversely affected.</w:t>
      </w:r>
    </w:p>
    <w:p>
      <w:pPr>
        <w:spacing w:after="0" w:line="182" w:lineRule="exact"/>
        <w:rPr>
          <w:sz w:val="20"/>
          <w:szCs w:val="20"/>
          <w:color w:val="auto"/>
        </w:rPr>
      </w:pPr>
    </w:p>
    <w:p>
      <w:pPr>
        <w:ind w:left="1260" w:right="699"/>
        <w:spacing w:after="0" w:line="277" w:lineRule="auto"/>
        <w:rPr>
          <w:sz w:val="20"/>
          <w:szCs w:val="20"/>
          <w:color w:val="auto"/>
        </w:rPr>
      </w:pPr>
      <w:r>
        <w:rPr>
          <w:rFonts w:ascii="Arial" w:cs="Arial" w:eastAsia="Arial" w:hAnsi="Arial"/>
          <w:sz w:val="18"/>
          <w:szCs w:val="18"/>
          <w:b w:val="1"/>
          <w:bCs w:val="1"/>
          <w:i w:val="1"/>
          <w:iCs w:val="1"/>
          <w:color w:val="auto"/>
        </w:rPr>
        <w:t>Exchange rate fluctuations or abandonment of the euro currency may materially affect our results of operations and financial condition.</w:t>
      </w:r>
    </w:p>
    <w:p>
      <w:pPr>
        <w:spacing w:after="0" w:line="103" w:lineRule="exact"/>
        <w:rPr>
          <w:sz w:val="20"/>
          <w:szCs w:val="20"/>
          <w:color w:val="auto"/>
        </w:rPr>
      </w:pPr>
    </w:p>
    <w:p>
      <w:pPr>
        <w:ind w:left="1260" w:right="479" w:firstLine="648"/>
        <w:spacing w:after="0" w:line="253" w:lineRule="auto"/>
        <w:rPr>
          <w:sz w:val="20"/>
          <w:szCs w:val="20"/>
          <w:color w:val="auto"/>
        </w:rPr>
      </w:pPr>
      <w:r>
        <w:rPr>
          <w:rFonts w:ascii="Arial" w:cs="Arial" w:eastAsia="Arial" w:hAnsi="Arial"/>
          <w:sz w:val="18"/>
          <w:szCs w:val="18"/>
          <w:color w:val="auto"/>
        </w:rPr>
        <w:t>Potential future expense and revenue may be incurred or derived from outside the European Union, particularly the United States. As a result, our business and share price may be affected by fluctuations in foreign exchange rates between the euro and other currencies, particularly the U.S. dollar, which may also have a significant impact on our reported results of operations and cash flows from period to period. In addition, the abandonment of the euro by one or more members of the European Union could lead to the re-introduction of individual currencies in one or more European Union Member States, or in more extreme circumstances, the dissolution of the European Union. The effects on our business of the abandonment of the euro as a currency, the exit of one or more European Union Member States from the European Union (such as Brexit) or a potential dissolution of the European Union, are impossible to predict with certainty, and any such events could have a material adverse effect on our business, financial condition and results of operations.</w:t>
      </w: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3" w:name="page64"/>
    <w:bookmarkEnd w:id="6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i w:val="1"/>
          <w:iCs w:val="1"/>
          <w:color w:val="auto"/>
        </w:rPr>
        <w:t>We could be subject to strict restrictions on the movement of cash and the exchange of foreign currencies.</w:t>
      </w:r>
    </w:p>
    <w:p>
      <w:pPr>
        <w:spacing w:after="0" w:line="169" w:lineRule="exact"/>
        <w:rPr>
          <w:sz w:val="20"/>
          <w:szCs w:val="20"/>
          <w:color w:val="auto"/>
        </w:rPr>
      </w:pPr>
    </w:p>
    <w:p>
      <w:pPr>
        <w:ind w:left="1260" w:right="559" w:firstLine="648"/>
        <w:spacing w:after="0" w:line="262" w:lineRule="auto"/>
        <w:rPr>
          <w:sz w:val="20"/>
          <w:szCs w:val="20"/>
          <w:color w:val="auto"/>
        </w:rPr>
      </w:pPr>
      <w:r>
        <w:rPr>
          <w:rFonts w:ascii="Arial" w:cs="Arial" w:eastAsia="Arial" w:hAnsi="Arial"/>
          <w:sz w:val="17"/>
          <w:szCs w:val="17"/>
          <w:color w:val="auto"/>
        </w:rPr>
        <w:t>In some countries, we could be subject to strict restrictions on the movement of cash and the exchange of foreign currencies, which would limit our ability to use this cash across our global operations. This risk could increase as we continue our geographic expansion, and in particular if we seek to expand into emerging markets, which are more likely to impose these restrictions than more established markets.</w:t>
      </w:r>
    </w:p>
    <w:p>
      <w:pPr>
        <w:spacing w:after="0" w:line="172" w:lineRule="exact"/>
        <w:rPr>
          <w:sz w:val="20"/>
          <w:szCs w:val="20"/>
          <w:color w:val="auto"/>
        </w:rPr>
      </w:pPr>
    </w:p>
    <w:p>
      <w:pPr>
        <w:ind w:left="1260" w:right="479"/>
        <w:spacing w:after="0" w:line="362" w:lineRule="auto"/>
        <w:rPr>
          <w:sz w:val="20"/>
          <w:szCs w:val="20"/>
          <w:color w:val="auto"/>
        </w:rPr>
      </w:pPr>
      <w:r>
        <w:rPr>
          <w:rFonts w:ascii="Arial" w:cs="Arial" w:eastAsia="Arial" w:hAnsi="Arial"/>
          <w:sz w:val="15"/>
          <w:szCs w:val="15"/>
          <w:b w:val="1"/>
          <w:bCs w:val="1"/>
          <w:i w:val="1"/>
          <w:iCs w:val="1"/>
          <w:color w:val="auto"/>
        </w:rPr>
        <w:t>Current and future legislation may increase the difficulty and cost for us and any collaborators to obtain marketing approval of and commercialize our product candidates and affect the prices we, or they, may obtain.</w:t>
      </w:r>
    </w:p>
    <w:p>
      <w:pPr>
        <w:spacing w:after="0" w:line="33" w:lineRule="exact"/>
        <w:rPr>
          <w:sz w:val="20"/>
          <w:szCs w:val="20"/>
          <w:color w:val="auto"/>
        </w:rPr>
      </w:pPr>
    </w:p>
    <w:p>
      <w:pPr>
        <w:ind w:left="1260" w:right="419" w:firstLine="648"/>
        <w:spacing w:after="0" w:line="238" w:lineRule="auto"/>
        <w:rPr>
          <w:sz w:val="20"/>
          <w:szCs w:val="20"/>
          <w:color w:val="auto"/>
        </w:rPr>
      </w:pPr>
      <w:r>
        <w:rPr>
          <w:rFonts w:ascii="Arial" w:cs="Arial" w:eastAsia="Arial" w:hAnsi="Arial"/>
          <w:sz w:val="18"/>
          <w:szCs w:val="18"/>
          <w:color w:val="auto"/>
        </w:rPr>
        <w:t>In the United States and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We expect that current laws, as well as other healthcare reform measures that may be adopted in the future, may result in additional reductions in Medicare and other healthcare funding, more rigorous coverage criteria, new payment methodologies and in additional downward pressure on the price that we, or any collaborators, may receive for any approved products.</w:t>
      </w:r>
    </w:p>
    <w:p>
      <w:pPr>
        <w:spacing w:after="0" w:line="113" w:lineRule="exact"/>
        <w:rPr>
          <w:sz w:val="20"/>
          <w:szCs w:val="20"/>
          <w:color w:val="auto"/>
        </w:rPr>
      </w:pPr>
    </w:p>
    <w:p>
      <w:pPr>
        <w:ind w:left="1260" w:right="439" w:firstLine="648"/>
        <w:spacing w:after="0" w:line="248" w:lineRule="auto"/>
        <w:rPr>
          <w:sz w:val="20"/>
          <w:szCs w:val="20"/>
          <w:color w:val="auto"/>
        </w:rPr>
      </w:pPr>
      <w:r>
        <w:rPr>
          <w:rFonts w:ascii="Arial" w:cs="Arial" w:eastAsia="Arial" w:hAnsi="Arial"/>
          <w:sz w:val="18"/>
          <w:szCs w:val="18"/>
          <w:color w:val="auto"/>
        </w:rPr>
        <w:t>In March 2010, President Obama signed the Affordable Care Act into law. Among the provisions of the Affordable Care Act of potential importance to our business and our product candidates are the following:</w:t>
      </w:r>
    </w:p>
    <w:p>
      <w:pPr>
        <w:spacing w:after="0" w:line="74" w:lineRule="exact"/>
        <w:rPr>
          <w:sz w:val="20"/>
          <w:szCs w:val="20"/>
          <w:color w:val="auto"/>
        </w:rPr>
      </w:pPr>
    </w:p>
    <w:p>
      <w:pPr>
        <w:ind w:left="2260" w:right="739" w:hanging="352"/>
        <w:spacing w:after="0" w:line="277" w:lineRule="auto"/>
        <w:tabs>
          <w:tab w:leader="none" w:pos="2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products and biologic products;</w:t>
      </w:r>
    </w:p>
    <w:p>
      <w:pPr>
        <w:spacing w:after="0" w:line="62" w:lineRule="exact"/>
        <w:rPr>
          <w:rFonts w:ascii="Arial" w:cs="Arial" w:eastAsia="Arial" w:hAnsi="Arial"/>
          <w:sz w:val="18"/>
          <w:szCs w:val="18"/>
          <w:color w:val="auto"/>
        </w:rPr>
      </w:pPr>
    </w:p>
    <w:p>
      <w:pPr>
        <w:ind w:left="2260" w:right="799" w:hanging="352"/>
        <w:spacing w:after="0" w:line="277" w:lineRule="auto"/>
        <w:tabs>
          <w:tab w:leader="none" w:pos="2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48" w:lineRule="exact"/>
        <w:rPr>
          <w:rFonts w:ascii="Arial" w:cs="Arial" w:eastAsia="Arial" w:hAnsi="Arial"/>
          <w:sz w:val="18"/>
          <w:szCs w:val="18"/>
          <w:color w:val="auto"/>
        </w:rPr>
      </w:pPr>
    </w:p>
    <w:p>
      <w:pPr>
        <w:ind w:left="2260" w:right="479" w:hanging="352"/>
        <w:spacing w:after="0" w:line="308" w:lineRule="auto"/>
        <w:tabs>
          <w:tab w:leader="none" w:pos="22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 new methodology by which rebates owed by manufacturers under the Medicaid Drug Rebate Program are calculated for products that are inhaled, infused, instilled, implanted or injected;</w:t>
      </w:r>
    </w:p>
    <w:p>
      <w:pPr>
        <w:spacing w:after="0" w:line="38" w:lineRule="exact"/>
        <w:rPr>
          <w:rFonts w:ascii="Arial" w:cs="Arial" w:eastAsia="Arial" w:hAnsi="Arial"/>
          <w:sz w:val="17"/>
          <w:szCs w:val="17"/>
          <w:color w:val="auto"/>
        </w:rPr>
      </w:pPr>
    </w:p>
    <w:p>
      <w:pPr>
        <w:ind w:left="2260" w:right="879" w:hanging="352"/>
        <w:spacing w:after="0" w:line="277" w:lineRule="auto"/>
        <w:tabs>
          <w:tab w:leader="none" w:pos="2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individuals enrolled in Medicaid managed care organizations;</w:t>
      </w:r>
    </w:p>
    <w:p>
      <w:pPr>
        <w:spacing w:after="0" w:line="62" w:lineRule="exact"/>
        <w:rPr>
          <w:rFonts w:ascii="Arial" w:cs="Arial" w:eastAsia="Arial" w:hAnsi="Arial"/>
          <w:sz w:val="18"/>
          <w:szCs w:val="18"/>
          <w:color w:val="auto"/>
        </w:rPr>
      </w:pPr>
    </w:p>
    <w:p>
      <w:pPr>
        <w:ind w:left="2260" w:right="479" w:hanging="352"/>
        <w:spacing w:after="0" w:line="277" w:lineRule="auto"/>
        <w:tabs>
          <w:tab w:leader="none" w:pos="2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62" w:lineRule="exact"/>
        <w:rPr>
          <w:rFonts w:ascii="Arial" w:cs="Arial" w:eastAsia="Arial" w:hAnsi="Arial"/>
          <w:sz w:val="18"/>
          <w:szCs w:val="18"/>
          <w:color w:val="auto"/>
        </w:rPr>
      </w:pPr>
    </w:p>
    <w:p>
      <w:pPr>
        <w:ind w:left="2260" w:right="539" w:hanging="352"/>
        <w:spacing w:after="0" w:line="259" w:lineRule="auto"/>
        <w:tabs>
          <w:tab w:leader="none" w:pos="2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requirement that certain Affordable Care Act marketplace and other private payor plans include coverage for preventative services, including vaccinations recommended by the ACIP without cost share obligations (i.e., co-payments, deductibles or co-insurance) for plan members;</w:t>
      </w:r>
    </w:p>
    <w:p>
      <w:pPr>
        <w:spacing w:after="0" w:line="65" w:lineRule="exact"/>
        <w:rPr>
          <w:rFonts w:ascii="Arial" w:cs="Arial" w:eastAsia="Arial" w:hAnsi="Arial"/>
          <w:sz w:val="18"/>
          <w:szCs w:val="18"/>
          <w:color w:val="auto"/>
        </w:rPr>
      </w:pPr>
    </w:p>
    <w:p>
      <w:pPr>
        <w:jc w:val="both"/>
        <w:ind w:left="2260" w:right="799" w:hanging="352"/>
        <w:spacing w:after="0" w:line="308" w:lineRule="auto"/>
        <w:tabs>
          <w:tab w:leader="none" w:pos="22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 new Patient-Centered Outcomes Research Institute to oversee, identify priorities in, and conduct comparative clinical effectiveness research, along with funding for such research;</w:t>
      </w:r>
    </w:p>
    <w:p>
      <w:pPr>
        <w:spacing w:after="0" w:line="38" w:lineRule="exact"/>
        <w:rPr>
          <w:rFonts w:ascii="Arial" w:cs="Arial" w:eastAsia="Arial" w:hAnsi="Arial"/>
          <w:sz w:val="17"/>
          <w:szCs w:val="17"/>
          <w:color w:val="auto"/>
        </w:rPr>
      </w:pPr>
    </w:p>
    <w:p>
      <w:pPr>
        <w:jc w:val="both"/>
        <w:ind w:left="2260" w:right="779" w:hanging="352"/>
        <w:spacing w:after="0" w:line="263" w:lineRule="auto"/>
        <w:tabs>
          <w:tab w:leader="none" w:pos="2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new Independent Payment Advisory Board, or IPAB, which has authority to recommend certain changes to the Medicare program to reduce expenditures by the program that could result in reduced payments for prescription products; and</w:t>
      </w:r>
    </w:p>
    <w:p>
      <w:pPr>
        <w:spacing w:after="0" w:line="75" w:lineRule="exact"/>
        <w:rPr>
          <w:rFonts w:ascii="Arial" w:cs="Arial" w:eastAsia="Arial" w:hAnsi="Arial"/>
          <w:sz w:val="18"/>
          <w:szCs w:val="18"/>
          <w:color w:val="auto"/>
        </w:rPr>
      </w:pPr>
    </w:p>
    <w:p>
      <w:pPr>
        <w:ind w:left="2260" w:right="659" w:hanging="352"/>
        <w:spacing w:after="0" w:line="277" w:lineRule="auto"/>
        <w:tabs>
          <w:tab w:leader="none" w:pos="2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established the Center for Medicare and Medicaid Innovation within CMS to test innovative payment and service delivery models.</w:t>
      </w:r>
    </w:p>
    <w:p>
      <w:pPr>
        <w:spacing w:after="0" w:line="89" w:lineRule="exact"/>
        <w:rPr>
          <w:sz w:val="20"/>
          <w:szCs w:val="20"/>
          <w:color w:val="auto"/>
        </w:rPr>
      </w:pPr>
    </w:p>
    <w:p>
      <w:pPr>
        <w:ind w:left="1260" w:right="579" w:firstLine="648"/>
        <w:spacing w:after="0" w:line="237" w:lineRule="auto"/>
        <w:rPr>
          <w:sz w:val="20"/>
          <w:szCs w:val="20"/>
          <w:color w:val="auto"/>
        </w:rPr>
      </w:pPr>
      <w:r>
        <w:rPr>
          <w:rFonts w:ascii="Arial" w:cs="Arial" w:eastAsia="Arial" w:hAnsi="Arial"/>
          <w:sz w:val="18"/>
          <w:szCs w:val="18"/>
          <w:color w:val="auto"/>
        </w:rPr>
        <w:t>Since its enactment, there have been judicial and congressional challenges to numerous aspects of the Affordable Care Act. By way of example, the 2017 Tax Reform Act included a provision repealing the individual mandate, effective January 1, 2019. On December 14, 2018, a U.S. District Court judge in the Northern District of Texas ruled that the individual mandate portion of the Affordable Care Act is an essential and inseverable feature of the Affordable Care Act, and therefore because the mandate was repealed, the remaining provisions of the Affordable Care Act are invalid as well. On December 18, 2019, the U.S. Court of Appeals for the Fifth Circuit upheld the District Court ruling that the individual mandate was unconstitutional, but remanded the case back to the District Court to determine whether the remaining provisions of the Affordable Care Act are invalid as well. On March 2, 2020, the U.S. Supreme Court granted the petitions for writs of certiorari to review the case. On November 10, 2020, the U.S. Supreme Court</w:t>
      </w:r>
    </w:p>
    <w:p>
      <w:pPr>
        <w:sectPr>
          <w:pgSz w:w="11900" w:h="16838" w:orient="portrait"/>
          <w:cols w:equalWidth="0" w:num="1">
            <w:col w:w="9879"/>
          </w:cols>
          <w:pgMar w:left="580" w:top="132" w:right="1440" w:bottom="1440" w:gutter="0" w:footer="0" w:header="0"/>
        </w:sectPr>
      </w:pPr>
    </w:p>
    <w:p>
      <w:pPr>
        <w:spacing w:after="0" w:line="38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4" w:name="page65"/>
    <w:bookmarkEnd w:id="6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39"/>
        <w:spacing w:after="0" w:line="243" w:lineRule="auto"/>
        <w:rPr>
          <w:sz w:val="20"/>
          <w:szCs w:val="20"/>
          <w:color w:val="auto"/>
        </w:rPr>
      </w:pPr>
      <w:r>
        <w:rPr>
          <w:rFonts w:ascii="Arial" w:cs="Arial" w:eastAsia="Arial" w:hAnsi="Arial"/>
          <w:sz w:val="18"/>
          <w:szCs w:val="18"/>
          <w:color w:val="auto"/>
        </w:rPr>
        <w:t>heard oral arguments regarding the constitutionality of the individual mandate, although it is unclear when a decision will be made or how the Supreme Court will rule. In addition, there may be other efforts to challenge, repeal or replace the Affordable Care Act. We are continuing to monitor any changes to the Affordable Care Act that, in turn, may potentially impact our business in the future.</w:t>
      </w:r>
    </w:p>
    <w:p>
      <w:pPr>
        <w:spacing w:after="0" w:line="120" w:lineRule="exact"/>
        <w:rPr>
          <w:sz w:val="20"/>
          <w:szCs w:val="20"/>
          <w:color w:val="auto"/>
        </w:rPr>
      </w:pPr>
    </w:p>
    <w:p>
      <w:pPr>
        <w:ind w:left="1260" w:right="479" w:firstLine="648"/>
        <w:spacing w:after="0" w:line="253" w:lineRule="auto"/>
        <w:rPr>
          <w:sz w:val="20"/>
          <w:szCs w:val="20"/>
          <w:color w:val="auto"/>
        </w:rPr>
      </w:pPr>
      <w:r>
        <w:rPr>
          <w:rFonts w:ascii="Arial" w:cs="Arial" w:eastAsia="Arial" w:hAnsi="Arial"/>
          <w:sz w:val="17"/>
          <w:szCs w:val="17"/>
          <w:color w:val="auto"/>
        </w:rPr>
        <w:t>Other legislative changes have been proposed and adopted since the Affordable Care Act was enacted. These changes include aggregate reductions to Medicare payments to providers of 2% per fiscal year pursuant to the Budget Control Act of 2011 and subsequent laws, which began in 2013 and will remain in effect through 2030, with the exception of a temporary suspension from May 1, 2020 through</w:t>
      </w:r>
    </w:p>
    <w:p>
      <w:pPr>
        <w:spacing w:after="0" w:line="2" w:lineRule="exact"/>
        <w:rPr>
          <w:sz w:val="20"/>
          <w:szCs w:val="20"/>
          <w:color w:val="auto"/>
        </w:rPr>
      </w:pPr>
    </w:p>
    <w:p>
      <w:pPr>
        <w:ind w:left="1260" w:right="499"/>
        <w:spacing w:after="0" w:line="252" w:lineRule="auto"/>
        <w:rPr>
          <w:sz w:val="20"/>
          <w:szCs w:val="20"/>
          <w:color w:val="auto"/>
        </w:rPr>
      </w:pPr>
      <w:r>
        <w:rPr>
          <w:rFonts w:ascii="Arial" w:cs="Arial" w:eastAsia="Arial" w:hAnsi="Arial"/>
          <w:sz w:val="17"/>
          <w:szCs w:val="17"/>
          <w:color w:val="auto"/>
        </w:rPr>
        <w:t>March 31, 2021, unless additional congressional action is taken. In addition,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New laws may result in additional reductions in Medicare and other healthcare funding, which may materially adversely affect customer demand and affordability for our product candidates, if approved, and, accordingly, the results of our financial operations.</w:t>
      </w:r>
    </w:p>
    <w:p>
      <w:pPr>
        <w:spacing w:after="0" w:line="113" w:lineRule="exact"/>
        <w:rPr>
          <w:sz w:val="20"/>
          <w:szCs w:val="20"/>
          <w:color w:val="auto"/>
        </w:rPr>
      </w:pPr>
    </w:p>
    <w:p>
      <w:pPr>
        <w:ind w:left="1260" w:right="419" w:firstLine="648"/>
        <w:spacing w:after="0" w:line="266" w:lineRule="auto"/>
        <w:rPr>
          <w:sz w:val="20"/>
          <w:szCs w:val="20"/>
          <w:color w:val="auto"/>
        </w:rPr>
      </w:pPr>
      <w:r>
        <w:rPr>
          <w:rFonts w:ascii="Arial" w:cs="Arial" w:eastAsia="Arial" w:hAnsi="Arial"/>
          <w:sz w:val="17"/>
          <w:szCs w:val="17"/>
          <w:color w:val="auto"/>
        </w:rPr>
        <w:t>Also, there has been heightened governmental scrutiny recently over the manner in which pharmaceutical companies set prices for their marketed products, which has resulted in several congressional inquiries and proposed federal legislation, as well as state efforts, designed to, among other things, bring more transparency to product pricing, reduce the cost of prescription drugs under Medicare, review the relationship between pricing and manufacturer patient programs, and reform government program reimbursement methodologies for drug products. At the federal level,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Further, the Trump administration previously released a “blueprint” to lower prescription drug prices and out-of-pocket costs that contained proposals to increase drug manufacturer competition, increase the negotiating power of certain federal healthcare programs, incentivize manufacturers to lower the list price of their products, and reduce the out-of-pocket costs of drug products paid by consumers. The Department of Health and Human Services, or HHS, has solicited feedback on some of these measures and has implemented others under its existing authority. For example, in May 2019, CMS issued a final rule to allow Medicare Advantage plans the option to use step therapy for Part B drugs beginning January 1, 2020. This final rule codified CMS’s policy change that was effective January 1, 2019. We currently cannot predict whether the new Biden administration will continue to seek, revoke or amend such new legislative and/or administrative measures to control drug costs. At the state level, individual states in the United States have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These measures could reduce the ultimate demand for our products, once approved, or put pressure on our product pricing.</w:t>
      </w:r>
    </w:p>
    <w:p>
      <w:pPr>
        <w:spacing w:after="0" w:line="333" w:lineRule="exact"/>
        <w:rPr>
          <w:sz w:val="20"/>
          <w:szCs w:val="20"/>
          <w:color w:val="auto"/>
        </w:rPr>
      </w:pPr>
    </w:p>
    <w:p>
      <w:pPr>
        <w:ind w:left="1260" w:right="419" w:firstLine="648"/>
        <w:spacing w:after="0" w:line="253" w:lineRule="auto"/>
        <w:rPr>
          <w:sz w:val="20"/>
          <w:szCs w:val="20"/>
          <w:color w:val="auto"/>
        </w:rPr>
      </w:pPr>
      <w:r>
        <w:rPr>
          <w:rFonts w:ascii="Arial" w:cs="Arial" w:eastAsia="Arial" w:hAnsi="Arial"/>
          <w:sz w:val="18"/>
          <w:szCs w:val="18"/>
          <w:color w:val="auto"/>
        </w:rPr>
        <w:t>The policies of the FDA or similar regulatory authorities may change and additional government regulations may be enacted that could prevent, limit or delay regulatory approval of our product candidates. For example, in December 2016, the 21st Century Cures Act, or Cures Act, was signed into law. The Cures Act, among other things, is intended to modernize the regulation of drugs and biologics and spur innovation, but it has not yet been implemented and its ultimate implementation is unclear. If we or our collaborators are slow or unable to adapt to changes in existing requirements or the adoption of new requirements or policies, or if we or our collaborators are not able to maintain regulatory compliance, our product candidates may lose any regulatory approval that may have been obtained and we may not achieve or sustain profitability, which would adversely affect our business.</w:t>
      </w:r>
    </w:p>
    <w:p>
      <w:pPr>
        <w:spacing w:after="0" w:line="129" w:lineRule="exact"/>
        <w:rPr>
          <w:sz w:val="20"/>
          <w:szCs w:val="20"/>
          <w:color w:val="auto"/>
        </w:rPr>
      </w:pPr>
    </w:p>
    <w:p>
      <w:pPr>
        <w:ind w:left="1260" w:right="739" w:firstLine="648"/>
        <w:spacing w:after="0" w:line="308" w:lineRule="auto"/>
        <w:rPr>
          <w:sz w:val="20"/>
          <w:szCs w:val="20"/>
          <w:color w:val="auto"/>
        </w:rPr>
      </w:pPr>
      <w:r>
        <w:rPr>
          <w:rFonts w:ascii="Arial" w:cs="Arial" w:eastAsia="Arial" w:hAnsi="Arial"/>
          <w:sz w:val="17"/>
          <w:szCs w:val="17"/>
          <w:color w:val="auto"/>
        </w:rPr>
        <w:t>We cannot predict the likelihood, nature or extent of government regulation that may arise from future legislation or administrative action, either in the United States or abroad. For example, certain</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5" w:name="page66"/>
    <w:bookmarkEnd w:id="6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79"/>
        <w:spacing w:after="0" w:line="253" w:lineRule="auto"/>
        <w:rPr>
          <w:sz w:val="20"/>
          <w:szCs w:val="20"/>
          <w:color w:val="auto"/>
        </w:rPr>
      </w:pPr>
      <w:r>
        <w:rPr>
          <w:rFonts w:ascii="Arial" w:cs="Arial" w:eastAsia="Arial" w:hAnsi="Arial"/>
          <w:sz w:val="17"/>
          <w:szCs w:val="17"/>
          <w:color w:val="auto"/>
        </w:rPr>
        <w:t>policies of the Trump administration may impact our business and industry. Namely, the Trump administration has taken several executive actions, including the issuance of a number of executive orders, that could impose significant burdens on, or otherwise materially delay, FDA’s ability to engage in routine regulatory and oversight activities such as implementing statutes through rulemaking, issuance of guidance, and review and approval of marketing applications. It is currently not clear if the new Biden administration will, or will be able to, revoke, modify, or supersede any such Executive Orders signed by the Trump administration. If such Executive Orders remain in effect in the future, it is difficult to predict how these Executive Orders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13" w:lineRule="exact"/>
        <w:rPr>
          <w:sz w:val="20"/>
          <w:szCs w:val="20"/>
          <w:color w:val="auto"/>
        </w:rPr>
      </w:pPr>
    </w:p>
    <w:p>
      <w:pPr>
        <w:ind w:left="1260" w:right="459" w:firstLine="648"/>
        <w:spacing w:after="0" w:line="262" w:lineRule="auto"/>
        <w:rPr>
          <w:sz w:val="20"/>
          <w:szCs w:val="20"/>
          <w:color w:val="auto"/>
        </w:rPr>
      </w:pPr>
      <w:r>
        <w:rPr>
          <w:rFonts w:ascii="Arial" w:cs="Arial" w:eastAsia="Arial" w:hAnsi="Arial"/>
          <w:sz w:val="17"/>
          <w:szCs w:val="17"/>
          <w:color w:val="auto"/>
        </w:rPr>
        <w:t>We cannot predict whether future healthcare legislative or policy changes will be implemented at the federal or state level or in countries outside the United States in which we may do business, or the effect any future legislation or regulation will have on us, but we expect there will continue to be legislative and regulatory proposals at the federal and state levels directed at containing or lowering the cost of healthcare.</w:t>
      </w:r>
    </w:p>
    <w:p>
      <w:pPr>
        <w:spacing w:after="0" w:line="172" w:lineRule="exact"/>
        <w:rPr>
          <w:sz w:val="20"/>
          <w:szCs w:val="20"/>
          <w:color w:val="auto"/>
        </w:rPr>
      </w:pPr>
    </w:p>
    <w:p>
      <w:pPr>
        <w:jc w:val="both"/>
        <w:ind w:left="1260" w:right="579"/>
        <w:spacing w:after="0" w:line="248" w:lineRule="auto"/>
        <w:rPr>
          <w:sz w:val="20"/>
          <w:szCs w:val="20"/>
          <w:color w:val="auto"/>
        </w:rPr>
      </w:pPr>
      <w:r>
        <w:rPr>
          <w:rFonts w:ascii="Arial" w:cs="Arial" w:eastAsia="Arial" w:hAnsi="Arial"/>
          <w:sz w:val="18"/>
          <w:szCs w:val="18"/>
          <w:b w:val="1"/>
          <w:bCs w:val="1"/>
          <w:i w:val="1"/>
          <w:iCs w:val="1"/>
          <w:color w:val="auto"/>
        </w:rPr>
        <w:t>Cyberattacks or other failures in our or our third-party vendors’, contractors’ or consultants’ telecommunications or information technology systems could result in information theft, data corruption and significant disruption of our business operations.</w:t>
      </w:r>
    </w:p>
    <w:p>
      <w:pPr>
        <w:spacing w:after="0" w:line="114" w:lineRule="exact"/>
        <w:rPr>
          <w:sz w:val="20"/>
          <w:szCs w:val="20"/>
          <w:color w:val="auto"/>
        </w:rPr>
      </w:pPr>
    </w:p>
    <w:p>
      <w:pPr>
        <w:ind w:left="1260" w:right="419" w:firstLine="648"/>
        <w:spacing w:after="0" w:line="250" w:lineRule="auto"/>
        <w:rPr>
          <w:sz w:val="20"/>
          <w:szCs w:val="20"/>
          <w:color w:val="auto"/>
        </w:rPr>
      </w:pPr>
      <w:r>
        <w:rPr>
          <w:rFonts w:ascii="Arial" w:cs="Arial" w:eastAsia="Arial" w:hAnsi="Arial"/>
          <w:sz w:val="17"/>
          <w:szCs w:val="17"/>
          <w:color w:val="auto"/>
        </w:rPr>
        <w:t>We utilize information technology, or IT, systems and networks and cloud computing services to process, transmit and store electronic information in connection with our business activities. We manage and maintain our applications and data utilizing a combination of on-site systems, managed data centers and cloud-based data centers. We utilize external security and infrastructure vendors to manage our information technology systems and data centers. These applications and data encompass a wide variety of business-critical information, including research and development information, commercial information, and business and financial information. We face a number of risks relative to protecting this critical information, including loss of access risk, inappropriate use or disclosure, inappropriate modification, and the risk of our being unable to adequately monitor, audit and modify our controls over our critical information. This risk extends to the third-party vendors and subcontractors we use to manage this sensitive data. Despite the implementation of security measures, given the size and complexity of our internal IT systems and those of our third-party vendors, contractors and consultants, and the increasing amounts of confidential information that they maintain, such IT systems are potentially vulnerable to breakdown or other damage or interruption from service interruptions, system malfunction, natural disasters, terrorism, war, and telecommunication and electrical failures. Such IT systems are additionally vulnerable to security breaches from inadvertent or intentional actions by our employees, third-party vendors,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These threats pose a risk to the security of our systems and networks, the confidentiality and the availability and integrity of our data and these risks apply both to us, and to third parties on whose systems we rely for the conduct of our business.</w:t>
      </w:r>
    </w:p>
    <w:p>
      <w:pPr>
        <w:spacing w:after="0" w:line="110" w:lineRule="exact"/>
        <w:rPr>
          <w:sz w:val="20"/>
          <w:szCs w:val="20"/>
          <w:color w:val="auto"/>
        </w:rPr>
      </w:pPr>
    </w:p>
    <w:p>
      <w:pPr>
        <w:ind w:left="1260" w:right="419" w:firstLine="648"/>
        <w:spacing w:after="0" w:line="236" w:lineRule="auto"/>
        <w:rPr>
          <w:sz w:val="20"/>
          <w:szCs w:val="20"/>
          <w:color w:val="auto"/>
        </w:rPr>
      </w:pPr>
      <w:r>
        <w:rPr>
          <w:rFonts w:ascii="Arial" w:cs="Arial" w:eastAsia="Arial" w:hAnsi="Arial"/>
          <w:sz w:val="18"/>
          <w:szCs w:val="18"/>
          <w:color w:val="auto"/>
        </w:rPr>
        <w:t>Cyber threats are persistent and constantly evolving. Such threats have increased in frequency, scope and potential impact in recent years, which increase the difficulty of detecting and successfully defending against them.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There can be no assurance that we or our third-party service providers, contractors or consultants will be successful in preventing cyberattacks or successfully mitigating their effects. Similarly, there can be no assurance that such third-party service providers, contractors or consultants will be successful in protecting our clinical and other data that is stored on their systems. If the IT systems of our third -party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 Any cyberattack or destruction or loss of</w:t>
      </w:r>
    </w:p>
    <w:p>
      <w:pPr>
        <w:spacing w:after="0" w:line="38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6" w:name="page67"/>
    <w:bookmarkEnd w:id="6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79"/>
        <w:spacing w:after="0" w:line="254" w:lineRule="auto"/>
        <w:rPr>
          <w:sz w:val="20"/>
          <w:szCs w:val="20"/>
          <w:color w:val="auto"/>
        </w:rPr>
      </w:pPr>
      <w:r>
        <w:rPr>
          <w:rFonts w:ascii="Arial" w:cs="Arial" w:eastAsia="Arial" w:hAnsi="Arial"/>
          <w:sz w:val="17"/>
          <w:szCs w:val="17"/>
          <w:color w:val="auto"/>
        </w:rPr>
        <w:t>data could have a material adverse effect on our business, financial condition, results of operations, and prospects. For example, if such an event were to occur and cause interruptions in our operations, or those of our third -party vendors and other contractors and consultants, it could result in a material disruption or delay of the development of our product candidates. In addition, we may suffer reputational harm or face litigation or adverse regulatory action as a result of cyberattacks or other data security breaches and may incur significant additional expense to implement further data protection measures. As cyber threats continue to evolve, we may be required to incur material additional expenses in order to enhance our protective measures or to remediate any information security vulnerability.</w:t>
      </w:r>
    </w:p>
    <w:p>
      <w:pPr>
        <w:spacing w:after="0" w:line="113" w:lineRule="exact"/>
        <w:rPr>
          <w:sz w:val="20"/>
          <w:szCs w:val="20"/>
          <w:color w:val="auto"/>
        </w:rPr>
      </w:pPr>
    </w:p>
    <w:p>
      <w:pPr>
        <w:ind w:left="1260" w:right="459" w:firstLine="648"/>
        <w:spacing w:after="0" w:line="250" w:lineRule="auto"/>
        <w:rPr>
          <w:sz w:val="20"/>
          <w:szCs w:val="20"/>
          <w:color w:val="auto"/>
        </w:rPr>
      </w:pPr>
      <w:r>
        <w:rPr>
          <w:rFonts w:ascii="Arial" w:cs="Arial" w:eastAsia="Arial" w:hAnsi="Arial"/>
          <w:sz w:val="17"/>
          <w:szCs w:val="17"/>
          <w:color w:val="auto"/>
        </w:rPr>
        <w:t>We expect to expand our organization, and as a result, we may encounter difficulties in managing our growth, which could disrupt our operations. We expect to experience significant growth in the number of our employees and the scope of our operations, particularly in the areas of clinical development and regulatory affairs, as well as to support our public company operations. We are currently constructing a new facility, designed for the development of a cGMP production process on a large industrial scale for market supply. To manage these growth activities, we must continue to implement and improve our managerial, operational and financial systems, expand our facilities and continue to recruit and train additional qualified personnel. Our management may need to devote a significant amount of its attention to managing these growth activities. Moreover, our expected growth could require us to relocate to a different geographic area of the country. Due to our limited financial resources and the limited experience of our management team in managing a company with such anticipated growth, we may not be able to effectively manage the expansion or relocation of our operations, retain key employees, or identify, recruit and train additional qualified personnel. Our inability to manage the expansion or relocation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development and commercialization of our product candidates. Any of the foregoing could have a material adverse effect on our business, financial condition, results of operations, and prospects.</w:t>
      </w:r>
    </w:p>
    <w:p>
      <w:pPr>
        <w:spacing w:after="0" w:line="193" w:lineRule="exact"/>
        <w:rPr>
          <w:sz w:val="20"/>
          <w:szCs w:val="20"/>
          <w:color w:val="auto"/>
        </w:rPr>
      </w:pPr>
    </w:p>
    <w:p>
      <w:pPr>
        <w:ind w:left="1260" w:right="479"/>
        <w:spacing w:after="0" w:line="322" w:lineRule="auto"/>
        <w:rPr>
          <w:sz w:val="20"/>
          <w:szCs w:val="20"/>
          <w:color w:val="auto"/>
        </w:rPr>
      </w:pPr>
      <w:r>
        <w:rPr>
          <w:rFonts w:ascii="Arial" w:cs="Arial" w:eastAsia="Arial" w:hAnsi="Arial"/>
          <w:sz w:val="15"/>
          <w:szCs w:val="15"/>
          <w:b w:val="1"/>
          <w:bCs w:val="1"/>
          <w:i w:val="1"/>
          <w:iCs w:val="1"/>
          <w:color w:val="auto"/>
        </w:rPr>
        <w:t>We are subject to stringent privacy laws, information security laws, regulations, policies and contractual obligations related to data privacy and security and changes in such laws, regulations, policies and contractual obligations could adversely affect our business, financial condition, results of operations, and prospects.</w:t>
      </w:r>
    </w:p>
    <w:p>
      <w:pPr>
        <w:spacing w:after="0" w:line="62" w:lineRule="exact"/>
        <w:rPr>
          <w:sz w:val="20"/>
          <w:szCs w:val="20"/>
          <w:color w:val="auto"/>
        </w:rPr>
      </w:pPr>
    </w:p>
    <w:p>
      <w:pPr>
        <w:ind w:left="1260" w:right="419" w:firstLine="648"/>
        <w:spacing w:after="0" w:line="237" w:lineRule="auto"/>
        <w:rPr>
          <w:sz w:val="20"/>
          <w:szCs w:val="20"/>
          <w:color w:val="auto"/>
        </w:rPr>
      </w:pPr>
      <w:r>
        <w:rPr>
          <w:rFonts w:ascii="Arial" w:cs="Arial" w:eastAsia="Arial" w:hAnsi="Arial"/>
          <w:sz w:val="18"/>
          <w:szCs w:val="18"/>
          <w:color w:val="auto"/>
        </w:rPr>
        <w:t>We are subject to data privacy and protection laws and regulations that apply to the collection, transmission, storage and use of personally identifying information, which among other things, impose certain requirements relating to the privacy, security and transmission of personal information. The legislative and regulatory landscape for privacy and data protection continues to evolve in jurisdictions worldwide, and there has been an increasing focus on privacy and data protection issues with the potential to affect our business. Failure to comply with any of these laws and regulations could result in enforcement action against us, including fines, imprisonment of company officials and public censure, claims for damages by affected individuals, damage to our reputation and loss of goodwill, any of which could have a material adverse effect on our business, financial condition, results of operations, and prospects. Additionally, if we are unable to properly protect the privacy and security of personal information, including protected health information, we could be found to have breached our contracts.</w:t>
      </w:r>
    </w:p>
    <w:p>
      <w:pPr>
        <w:spacing w:after="0" w:line="114" w:lineRule="exact"/>
        <w:rPr>
          <w:sz w:val="20"/>
          <w:szCs w:val="20"/>
          <w:color w:val="auto"/>
        </w:rPr>
      </w:pPr>
    </w:p>
    <w:p>
      <w:pPr>
        <w:ind w:left="1260" w:right="439" w:firstLine="648"/>
        <w:spacing w:after="0" w:line="237" w:lineRule="auto"/>
        <w:rPr>
          <w:sz w:val="20"/>
          <w:szCs w:val="20"/>
          <w:color w:val="auto"/>
        </w:rPr>
      </w:pPr>
      <w:r>
        <w:rPr>
          <w:rFonts w:ascii="Arial" w:cs="Arial" w:eastAsia="Arial" w:hAnsi="Arial"/>
          <w:sz w:val="18"/>
          <w:szCs w:val="18"/>
          <w:color w:val="auto"/>
        </w:rPr>
        <w:t>There are numerous U.S. federal and state laws and regulations related to the privacy and security of personal information. In particular, HIPAA, as amended by the Health Information Technology for Economic and Clinical Health Act of 2009, or HITECH, and their respective implementing regulations,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If we fail to comply with applicable privacy laws, including applicable HIPAA privacy and security standards, we could face civil and criminal</w:t>
      </w:r>
    </w:p>
    <w:p>
      <w:pPr>
        <w:spacing w:after="0" w:line="38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7" w:name="page68"/>
    <w:bookmarkEnd w:id="6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59"/>
        <w:spacing w:after="0" w:line="236" w:lineRule="auto"/>
        <w:rPr>
          <w:sz w:val="20"/>
          <w:szCs w:val="20"/>
          <w:color w:val="auto"/>
        </w:rPr>
      </w:pPr>
      <w:r>
        <w:rPr>
          <w:rFonts w:ascii="Arial" w:cs="Arial" w:eastAsia="Arial" w:hAnsi="Arial"/>
          <w:sz w:val="18"/>
          <w:szCs w:val="18"/>
          <w:color w:val="auto"/>
        </w:rPr>
        <w:t>penalties. The HHS has the discretion to impose penalties without attempting to first resolve violations. HHS enforcement activity can result in financial liability and reputational harm, and responses to such enforcement activity can consume significant internal resources. Even when HIPAA does not apply, failing to take appropriate steps to keep consumers’ personal information secure can constitute unfair acts or practices in or affecting commerce and be construed as a violation of Section 5(a) of the Federal Trade Commission Act, or the FTCA, 15 U.S.C § 45(a). The Federal Trade Commission, or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and the FTC’s guidance for appropriately securing consumers’ personal information is similar to what is required by the HIPAA Security Rule.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131" w:lineRule="exact"/>
        <w:rPr>
          <w:sz w:val="20"/>
          <w:szCs w:val="20"/>
          <w:color w:val="auto"/>
        </w:rPr>
      </w:pPr>
    </w:p>
    <w:p>
      <w:pPr>
        <w:ind w:left="1260" w:right="439" w:firstLine="648"/>
        <w:spacing w:after="0" w:line="237" w:lineRule="auto"/>
        <w:rPr>
          <w:sz w:val="20"/>
          <w:szCs w:val="20"/>
          <w:color w:val="auto"/>
        </w:rPr>
      </w:pPr>
      <w:r>
        <w:rPr>
          <w:rFonts w:ascii="Arial" w:cs="Arial" w:eastAsia="Arial" w:hAnsi="Arial"/>
          <w:sz w:val="18"/>
          <w:szCs w:val="18"/>
          <w:color w:val="auto"/>
        </w:rPr>
        <w:t>In addition, many states in which we operate have laws that protect the privacy and security of personal information. For example, the California Consumer Privacy Act of 2018, or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Additionally, California voters approved a new privacy law, the California Privacy Rights Act, or CPRA, in the November 3, 2020 election. Effective starting on January 1, 2023, the CPRA will significantly modify the CCPA, including by expanding consumers’ rights with respect to certain sensitive personal information. The CPRA also creates a new state agency that will be vested with authority to implement and enforce the CCPA and the CPRA. State laws are changing rapidly and there is discussion in Congress of a new federal data protection and privacy law to which we would become subject if it is enacted.</w:t>
      </w:r>
    </w:p>
    <w:p>
      <w:pPr>
        <w:spacing w:after="0" w:line="122" w:lineRule="exact"/>
        <w:rPr>
          <w:sz w:val="20"/>
          <w:szCs w:val="20"/>
          <w:color w:val="auto"/>
        </w:rPr>
      </w:pPr>
    </w:p>
    <w:p>
      <w:pPr>
        <w:ind w:left="1260" w:right="419" w:firstLine="648"/>
        <w:spacing w:after="0" w:line="250" w:lineRule="auto"/>
        <w:rPr>
          <w:sz w:val="20"/>
          <w:szCs w:val="20"/>
          <w:color w:val="auto"/>
        </w:rPr>
      </w:pPr>
      <w:r>
        <w:rPr>
          <w:rFonts w:ascii="Arial" w:cs="Arial" w:eastAsia="Arial" w:hAnsi="Arial"/>
          <w:sz w:val="17"/>
          <w:szCs w:val="17"/>
          <w:color w:val="auto"/>
        </w:rPr>
        <w:t>Internationally, laws, regulations and standards in many jurisdictions apply broadly to the collection, use, retention, security, disclosure, transfer and other processing of personal information. For example, in the European Union, the collection and use of personal data is governed by the provisions of the General Data Protection Regulation, or the GDPR, in addition to other applicable laws and regulations. The GDPR came into effect in May 2018, repealing and replacing the European Union Data Protection Directive, and imposing revised data privacy and security requirements on companies in relation to the processing of personal data of European Union and United Kingdom data subjects. The GDPR, together with national legislation, regulations and guidelines of the European Union Member States and the United Kingdom governing the processing of personal data, impose strict obligations with respect to, and restrictions on, the collection, use, retention, protection, disclosure, transfer and processing of personal data. The GDPR imposes strict rules on the transfer of personal data to countries outside the European Union, including the United States. For example, in 2016, the European Union and United States agreed to a transfer framework for data transferred from the European Union to the United States, called the Privacy Shield, but the Privacy Shield was invalidated in July 2020 by the Court of Justice of the European Union. The standard contractual clauses issued by the European Commission, or the EC, for the transfer of personal data may be similarly invalidated by the Court of Justice of the European Union. It remains to be seen whether these standard contractual clauses will remain available and whether additional means for lawful data transfers will become available.The GDPR authorizes fines for certain violations of up to 4% of the total global annual turnover of the preceding financial year or €20 million, whichever is greater. Such fines are in addition to any civil litigation claims by data subjects. Separately, Brexit could also lead to further legislative and regulatory changes and increase our compliance costs. As of January 1, 2021, and the expiry of transitional arrangements agreed to between the United Kingdom and the European Union, data processing in the United Kingdom is governed by a United Kingdom version of the GDPR (combining the GDPR and the Data Protection Act 2018), exposing us to two parallel regimes, each of which potentially authorizes similar fines and other potentially divergent enforcement actions for certain violations. Pursuant to the Trade and Cooperation</w:t>
      </w:r>
    </w:p>
    <w:p>
      <w:pPr>
        <w:sectPr>
          <w:pgSz w:w="11900" w:h="16838" w:orient="portrait"/>
          <w:cols w:equalWidth="0" w:num="1">
            <w:col w:w="9879"/>
          </w:cols>
          <w:pgMar w:left="580" w:top="132"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8" w:name="page69"/>
    <w:bookmarkEnd w:id="6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39"/>
        <w:spacing w:after="0" w:line="252" w:lineRule="auto"/>
        <w:rPr>
          <w:sz w:val="20"/>
          <w:szCs w:val="20"/>
          <w:color w:val="auto"/>
        </w:rPr>
      </w:pPr>
      <w:r>
        <w:rPr>
          <w:rFonts w:ascii="Arial" w:cs="Arial" w:eastAsia="Arial" w:hAnsi="Arial"/>
          <w:sz w:val="17"/>
          <w:szCs w:val="17"/>
          <w:color w:val="auto"/>
        </w:rPr>
        <w:t>Agreement, which went into effect on January 1, 2021, the United Kingdom and the European Union agreed to a specified period during which the United Kingdom will be treated like a European Union member state in relation to transfers of personal data to the United Kingdom for four months from January 1, 2021. This period may be extended by two further months. Unless the European Commission makes an adequacy finding in respect of the United Kingdom before the expiration of such specified period, the United Kingdom will become an inadequate third country under the GDPR and transfers of data from the European Economic Area to the United Kingdom will require a transfer mechanism, such as the standard contractual clauses. Furthermore, following the expiration of the specified period, there will be increasing scope for divergence in application, interpretation and enforcement of the data protection law as between the United Kingdom and the European Union. Other jurisdictions outside the European Union are similarly introducing or enhancing privacy and data security laws, rules and regulations, which could increase our compliance costs and the risks associated with noncompliance. We cannot guarantee that we are, or will be, in compliance with all applicable international regulations as they are enforced now or as they evolve.</w:t>
      </w:r>
    </w:p>
    <w:p>
      <w:pPr>
        <w:spacing w:after="0" w:line="113" w:lineRule="exact"/>
        <w:rPr>
          <w:sz w:val="20"/>
          <w:szCs w:val="20"/>
          <w:color w:val="auto"/>
        </w:rPr>
      </w:pPr>
    </w:p>
    <w:p>
      <w:pPr>
        <w:ind w:left="1260" w:right="539" w:firstLine="648"/>
        <w:spacing w:after="0" w:line="253" w:lineRule="auto"/>
        <w:rPr>
          <w:sz w:val="20"/>
          <w:szCs w:val="20"/>
          <w:color w:val="auto"/>
        </w:rPr>
      </w:pPr>
      <w:r>
        <w:rPr>
          <w:rFonts w:ascii="Arial" w:cs="Arial" w:eastAsia="Arial" w:hAnsi="Arial"/>
          <w:sz w:val="17"/>
          <w:szCs w:val="17"/>
          <w:color w:val="auto"/>
        </w:rPr>
        <w:t>It is possible that these laws may be interpreted and applied in a manner that is inconsistent with our practices and our efforts to comply with the evolving data protection rules may be unsuccessful. We must devote significant resources to understanding and complying with this changing landscape. Failure to comply with federal, state and international laws regarding privacy and security of personal information could expose us to penalties under such laws, orders requiring that we change our practices, claims for damages or other liabilities, regulatory investigations and enforcement action, litigation and significant costs for remediation, any of which could adversely affect our business. Even if we are not determined to have violated these laws, government investigations into these issues typically require the expenditure of significant resources and generate negative publicity, which have a material adverse effect on our business, financial condition, results of operations, and prospects.</w:t>
      </w:r>
    </w:p>
    <w:p>
      <w:pPr>
        <w:spacing w:after="0" w:line="180" w:lineRule="exact"/>
        <w:rPr>
          <w:sz w:val="20"/>
          <w:szCs w:val="20"/>
          <w:color w:val="auto"/>
        </w:rPr>
      </w:pPr>
    </w:p>
    <w:p>
      <w:pPr>
        <w:ind w:left="1260" w:right="659"/>
        <w:spacing w:after="0" w:line="261"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103" w:lineRule="exact"/>
        <w:rPr>
          <w:sz w:val="20"/>
          <w:szCs w:val="20"/>
          <w:color w:val="auto"/>
        </w:rPr>
      </w:pPr>
    </w:p>
    <w:p>
      <w:pPr>
        <w:ind w:left="1260" w:right="499" w:firstLine="648"/>
        <w:spacing w:after="0" w:line="239" w:lineRule="auto"/>
        <w:rPr>
          <w:sz w:val="20"/>
          <w:szCs w:val="20"/>
          <w:color w:val="auto"/>
        </w:rPr>
      </w:pPr>
      <w:r>
        <w:rPr>
          <w:rFonts w:ascii="Arial" w:cs="Arial" w:eastAsia="Arial" w:hAnsi="Arial"/>
          <w:sz w:val="18"/>
          <w:szCs w:val="18"/>
          <w:color w:val="auto"/>
        </w:rPr>
        <w:t>The biotechnology and pharmaceutical industries are characterized by rapidly advancing technologies, intense competition and a strong emphasis on proprietary products. We face and will continue to face competition from third parties that use mRNA, gene editing or gene therapy development platforms and from third parties focused on other therapeutic modalities, such as small molecules, antibodies, biologics and nucleic acid-based therapies. The competition is likely to come from multiple sources, including large and specialty pharmaceutical and biotechnology companies, academic research institutions, government agencies and public and private research institutions.</w:t>
      </w:r>
    </w:p>
    <w:p>
      <w:pPr>
        <w:spacing w:after="0" w:line="110" w:lineRule="exact"/>
        <w:rPr>
          <w:sz w:val="20"/>
          <w:szCs w:val="20"/>
          <w:color w:val="auto"/>
        </w:rPr>
      </w:pPr>
    </w:p>
    <w:p>
      <w:pPr>
        <w:ind w:left="1260" w:right="419" w:firstLine="648"/>
        <w:spacing w:after="0" w:line="252" w:lineRule="auto"/>
        <w:rPr>
          <w:sz w:val="20"/>
          <w:szCs w:val="20"/>
          <w:color w:val="auto"/>
        </w:rPr>
      </w:pPr>
      <w:r>
        <w:rPr>
          <w:rFonts w:ascii="Arial" w:cs="Arial" w:eastAsia="Arial" w:hAnsi="Arial"/>
          <w:sz w:val="18"/>
          <w:szCs w:val="18"/>
          <w:color w:val="auto"/>
        </w:rPr>
        <w:t>Many of our potential competitors, alone or with their strategic partners, have substantially greater financial, technical and other resources, such as larger research and development, clinical, marketing and manufacturing organizations. Mergers and acquisitions in the biotechnology and pharmaceutical industries may result in even greater concentration of resources among a smaller number of competitors. Our commercial opportunity could be reduced or eliminated if competitors develop and commercialize products that are safer, more effective, have fewer or less severe side effects, are more convenient or are less expensive than any products that we may develop. Our competitors also may obtain FDA or other regulatory approvals for their products faster or earlier than we may obtain approval for ours, which could result in our competitors establishing a strong market position before we are able to enter the market. For example, some of our competitors have already received approval from the FDA and other regulatory agencies for their mRNA based COVID-19 vaccines. Additionally, technologies developed by our competitors may render our product candidates uneconomical or obsolete, and we may not be successful in marketing our product candidates against competitors’ products. In addition, the availability of our competitors’ products could limit the demand and the prices we are able to charge for any products that we may develop and commercialize.</w:t>
      </w:r>
    </w:p>
    <w:p>
      <w:pPr>
        <w:spacing w:after="0" w:line="196" w:lineRule="exact"/>
        <w:rPr>
          <w:sz w:val="20"/>
          <w:szCs w:val="20"/>
          <w:color w:val="auto"/>
        </w:rPr>
      </w:pPr>
    </w:p>
    <w:p>
      <w:pPr>
        <w:ind w:left="1260" w:right="499"/>
        <w:spacing w:after="0" w:line="277" w:lineRule="auto"/>
        <w:rPr>
          <w:sz w:val="20"/>
          <w:szCs w:val="20"/>
          <w:color w:val="auto"/>
        </w:rPr>
      </w:pPr>
      <w:r>
        <w:rPr>
          <w:rFonts w:ascii="Arial" w:cs="Arial" w:eastAsia="Arial" w:hAnsi="Arial"/>
          <w:sz w:val="18"/>
          <w:szCs w:val="18"/>
          <w:b w:val="1"/>
          <w:bCs w:val="1"/>
          <w:i w:val="1"/>
          <w:iCs w:val="1"/>
          <w:color w:val="auto"/>
        </w:rPr>
        <w:t>We depend heavily on our executive officers and managing directors, and the loss of their services would materially harm our business.</w:t>
      </w:r>
    </w:p>
    <w:p>
      <w:pPr>
        <w:spacing w:after="0" w:line="103" w:lineRule="exact"/>
        <w:rPr>
          <w:sz w:val="20"/>
          <w:szCs w:val="20"/>
          <w:color w:val="auto"/>
        </w:rPr>
      </w:pPr>
    </w:p>
    <w:p>
      <w:pPr>
        <w:ind w:left="1260" w:right="419" w:firstLine="648"/>
        <w:spacing w:after="0" w:line="286" w:lineRule="auto"/>
        <w:rPr>
          <w:sz w:val="20"/>
          <w:szCs w:val="20"/>
          <w:color w:val="auto"/>
        </w:rPr>
      </w:pPr>
      <w:r>
        <w:rPr>
          <w:rFonts w:ascii="Arial" w:cs="Arial" w:eastAsia="Arial" w:hAnsi="Arial"/>
          <w:sz w:val="17"/>
          <w:szCs w:val="17"/>
          <w:color w:val="auto"/>
        </w:rPr>
        <w:t>Our success depends, and will likely continue to depend, upon our ability to retain the services of our current executive officers, managing directors, principal consultants and other service providers, and our ability to hire new highly qualified personnel. We are highly dependent on the management, development,</w:t>
      </w: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9" w:name="page70"/>
    <w:bookmarkEnd w:id="6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79"/>
        <w:spacing w:after="0"/>
        <w:rPr>
          <w:sz w:val="20"/>
          <w:szCs w:val="20"/>
          <w:color w:val="auto"/>
        </w:rPr>
      </w:pPr>
      <w:r>
        <w:rPr>
          <w:rFonts w:ascii="Arial" w:cs="Arial" w:eastAsia="Arial" w:hAnsi="Arial"/>
          <w:sz w:val="18"/>
          <w:szCs w:val="18"/>
          <w:color w:val="auto"/>
        </w:rPr>
        <w:t>clinical, financial and business development expertise of our executive officers, managing directors, principal consultants and other service providers. In addition, we have established relationships with universities and research institutions which have historically provided, and continue to provide, us with access to research laboratories, clinical trials, facilities and patients. Our ability to compete in the biotechnology and pharmaceuticals industries depends upon our ability to attract and retain highly qualified managerial, scientific and medical personnel.</w:t>
      </w:r>
    </w:p>
    <w:p>
      <w:pPr>
        <w:spacing w:after="0" w:line="122" w:lineRule="exact"/>
        <w:rPr>
          <w:sz w:val="20"/>
          <w:szCs w:val="20"/>
          <w:color w:val="auto"/>
        </w:rPr>
      </w:pPr>
    </w:p>
    <w:p>
      <w:pPr>
        <w:ind w:left="1260" w:right="619" w:firstLine="648"/>
        <w:spacing w:after="0" w:line="239" w:lineRule="auto"/>
        <w:rPr>
          <w:sz w:val="20"/>
          <w:szCs w:val="20"/>
          <w:color w:val="auto"/>
        </w:rPr>
      </w:pPr>
      <w:r>
        <w:rPr>
          <w:rFonts w:ascii="Arial" w:cs="Arial" w:eastAsia="Arial" w:hAnsi="Arial"/>
          <w:sz w:val="18"/>
          <w:szCs w:val="18"/>
          <w:color w:val="auto"/>
        </w:rPr>
        <w:t>In most cases, our personnel may only terminate their employment upon first providing notice. A limited number of agreements provide for at-will termination. If we lose one or more of our executive officers or other key employees, our ability to implement our business strategy successfully could be seriously harmed. Furthermore, replacing executive officers or other key employees may be difficult and may take an extended period of time because of the limited number of individuals in our industry with the breadth of skills and experience required to develop, gain marketing approval of and commercialize products successfully.</w:t>
      </w:r>
    </w:p>
    <w:p>
      <w:pPr>
        <w:spacing w:after="0" w:line="123" w:lineRule="exact"/>
        <w:rPr>
          <w:sz w:val="20"/>
          <w:szCs w:val="20"/>
          <w:color w:val="auto"/>
        </w:rPr>
      </w:pPr>
    </w:p>
    <w:p>
      <w:pPr>
        <w:ind w:left="1260" w:right="679" w:firstLine="648"/>
        <w:spacing w:after="0" w:line="243" w:lineRule="auto"/>
        <w:rPr>
          <w:sz w:val="20"/>
          <w:szCs w:val="20"/>
          <w:color w:val="auto"/>
        </w:rPr>
      </w:pPr>
      <w:r>
        <w:rPr>
          <w:rFonts w:ascii="Arial" w:cs="Arial" w:eastAsia="Arial" w:hAnsi="Arial"/>
          <w:sz w:val="18"/>
          <w:szCs w:val="18"/>
          <w:color w:val="auto"/>
        </w:rPr>
        <w:t>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188" w:lineRule="exact"/>
        <w:rPr>
          <w:sz w:val="20"/>
          <w:szCs w:val="20"/>
          <w:color w:val="auto"/>
        </w:rPr>
      </w:pPr>
    </w:p>
    <w:p>
      <w:pPr>
        <w:ind w:left="1260" w:right="919"/>
        <w:spacing w:after="0" w:line="322" w:lineRule="auto"/>
        <w:rPr>
          <w:sz w:val="20"/>
          <w:szCs w:val="20"/>
          <w:color w:val="auto"/>
        </w:rPr>
      </w:pPr>
      <w:r>
        <w:rPr>
          <w:rFonts w:ascii="Arial" w:cs="Arial" w:eastAsia="Arial" w:hAnsi="Arial"/>
          <w:sz w:val="15"/>
          <w:szCs w:val="15"/>
          <w:b w:val="1"/>
          <w:bCs w:val="1"/>
          <w:i w:val="1"/>
          <w:iCs w:val="1"/>
          <w:color w:val="auto"/>
        </w:rPr>
        <w:t>Our employees, independent contractors, consultants, collaborators and contract research organizations may engage in misconduct or other improper activities, including noncompliance with regulatory standards and requirements, which could cause significant liability for us and harm our reputation.</w:t>
      </w:r>
    </w:p>
    <w:p>
      <w:pPr>
        <w:spacing w:after="0" w:line="48" w:lineRule="exact"/>
        <w:rPr>
          <w:sz w:val="20"/>
          <w:szCs w:val="20"/>
          <w:color w:val="auto"/>
        </w:rPr>
      </w:pPr>
    </w:p>
    <w:p>
      <w:pPr>
        <w:ind w:left="1260" w:right="419" w:firstLine="648"/>
        <w:spacing w:after="0" w:line="250" w:lineRule="auto"/>
        <w:rPr>
          <w:sz w:val="20"/>
          <w:szCs w:val="20"/>
          <w:color w:val="auto"/>
        </w:rPr>
      </w:pPr>
      <w:r>
        <w:rPr>
          <w:rFonts w:ascii="Arial" w:cs="Arial" w:eastAsia="Arial" w:hAnsi="Arial"/>
          <w:sz w:val="17"/>
          <w:szCs w:val="17"/>
          <w:color w:val="auto"/>
        </w:rPr>
        <w:t>We are exposed to the risk that our employees, independent contractors, consultants, collaborators and contract research organizations may engage in fraudulent conduct or other illegal activity. Misconduct by those parties could include intentional, reckless or negligent conduct or disclosure of unauthorized activities to us that violates: (i) FDA regulations or similar regulations of comparable non-U.S. regulatory authorities, including those laws requiring the reporting of true, complete and accurate information to such authorities, (ii) manufacturing and clinical trial conduct standards, (iii) federal and state healthcare fraud and abuse laws and regulations and similar laws and regulations established and enforced by comparable non-U.S. regulatory authorities and (iv) laws that require the reporting of financial information or data accurately. Activities subject to these laws also involve the improper use of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have a material adverse effect on our ability to operate our business and our results of operations.</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As a result of our geographically diverse operations, we are more susceptible to certain risks.</w:t>
      </w:r>
    </w:p>
    <w:p>
      <w:pPr>
        <w:spacing w:after="0" w:line="158" w:lineRule="exact"/>
        <w:rPr>
          <w:sz w:val="20"/>
          <w:szCs w:val="20"/>
          <w:color w:val="auto"/>
        </w:rPr>
      </w:pPr>
    </w:p>
    <w:p>
      <w:pPr>
        <w:ind w:left="1260" w:right="539" w:firstLine="648"/>
        <w:spacing w:after="0" w:line="241" w:lineRule="auto"/>
        <w:rPr>
          <w:sz w:val="20"/>
          <w:szCs w:val="20"/>
          <w:color w:val="auto"/>
        </w:rPr>
      </w:pPr>
      <w:r>
        <w:rPr>
          <w:rFonts w:ascii="Arial" w:cs="Arial" w:eastAsia="Arial" w:hAnsi="Arial"/>
          <w:sz w:val="18"/>
          <w:szCs w:val="18"/>
          <w:color w:val="auto"/>
        </w:rPr>
        <w:t>We have offices and operations in three cities and in two countries. If we are unable to manage the risks of our global operations, including fluctuations in foreign exchange and inflation rates, international hostilities, natural disasters, security breaches, failure to maintain compliance with our clients’ control requirements and multiple legal and regulatory systems, our results of operations and ability to grow could be materially adversely affected.</w:t>
      </w:r>
    </w:p>
    <w:p>
      <w:pPr>
        <w:spacing w:after="0" w:line="189" w:lineRule="exact"/>
        <w:rPr>
          <w:sz w:val="20"/>
          <w:szCs w:val="20"/>
          <w:color w:val="auto"/>
        </w:rPr>
      </w:pPr>
    </w:p>
    <w:p>
      <w:pPr>
        <w:ind w:left="1260" w:right="619"/>
        <w:spacing w:after="0" w:line="261" w:lineRule="auto"/>
        <w:rPr>
          <w:sz w:val="20"/>
          <w:szCs w:val="20"/>
          <w:color w:val="auto"/>
        </w:rPr>
      </w:pPr>
      <w:r>
        <w:rPr>
          <w:rFonts w:ascii="Arial" w:cs="Arial" w:eastAsia="Arial" w:hAnsi="Arial"/>
          <w:sz w:val="18"/>
          <w:szCs w:val="18"/>
          <w:b w:val="1"/>
          <w:bCs w:val="1"/>
          <w:i w:val="1"/>
          <w:iCs w:val="1"/>
          <w:color w:val="auto"/>
        </w:rPr>
        <w:t>Changes in our level of taxes, and audits, investigations and tax proceedings, could have a material adverse effect on our results of operations and financial condition.</w:t>
      </w:r>
    </w:p>
    <w:p>
      <w:pPr>
        <w:spacing w:after="0" w:line="103" w:lineRule="exact"/>
        <w:rPr>
          <w:sz w:val="20"/>
          <w:szCs w:val="20"/>
          <w:color w:val="auto"/>
        </w:rPr>
      </w:pPr>
    </w:p>
    <w:p>
      <w:pPr>
        <w:ind w:left="1260" w:right="779" w:firstLine="648"/>
        <w:spacing w:after="0" w:line="291" w:lineRule="auto"/>
        <w:rPr>
          <w:sz w:val="20"/>
          <w:szCs w:val="20"/>
          <w:color w:val="auto"/>
        </w:rPr>
      </w:pPr>
      <w:r>
        <w:rPr>
          <w:rFonts w:ascii="Arial" w:cs="Arial" w:eastAsia="Arial" w:hAnsi="Arial"/>
          <w:sz w:val="17"/>
          <w:szCs w:val="17"/>
          <w:color w:val="auto"/>
        </w:rPr>
        <w:t>Although limited in terms of magnitude due to ongoing losses incurred so far, we are subject to income taxes in Germany and the United States. We calculate and provide for income taxes in each tax</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0" w:name="page71"/>
    <w:bookmarkEnd w:id="7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39"/>
        <w:spacing w:after="0" w:line="268" w:lineRule="auto"/>
        <w:rPr>
          <w:sz w:val="20"/>
          <w:szCs w:val="20"/>
          <w:color w:val="auto"/>
        </w:rPr>
      </w:pPr>
      <w:r>
        <w:rPr>
          <w:rFonts w:ascii="Arial" w:cs="Arial" w:eastAsia="Arial" w:hAnsi="Arial"/>
          <w:sz w:val="17"/>
          <w:szCs w:val="17"/>
          <w:color w:val="auto"/>
        </w:rPr>
        <w:t>jurisdiction in which we operate. Tax accounting often involves complex matters and judgment is required in determining our worldwide provision for income taxes and other tax liabilities. We are subject to ongoing tax audits in Germany. In the future, tax authorities may disagree with our judgments or may take increasingly aggressive positions with respect to the judgments we make. We regularly assess the likely outcomes of these audits in order to determine the appropriateness of our tax liabilities. However, our judgments might not be sustained as a result of these audits, and the amounts ultimately paid could be different from the amounts previously recorded. In addition, our effective tax rate in the future could be adversely affected by changes in the mix of earnings in countries with differing statutory tax rates, changes in the valuation of deferred tax assets and liabilities and changes in tax laws. Tax rates in the jurisdictions in which we operate may change as a result of macroeconomic or other factors outside of our control. Increases in the tax rate in any of the jurisdictions in which we operate could have a negative impact on our profitability. In addition, changes in tax laws, treaties or regulations, or their interpretation or enforcement, may be unpredictable, particularly in less developed markets, and could become more stringent, which could materially adversely affect our tax position. Any of these occurrences could have a material adverse effect on our results of operations and financial condition.</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Changes in U.S. tax law could adversely affect our business and financial condition.</w:t>
      </w:r>
    </w:p>
    <w:p>
      <w:pPr>
        <w:spacing w:after="0" w:line="158" w:lineRule="exact"/>
        <w:rPr>
          <w:sz w:val="20"/>
          <w:szCs w:val="20"/>
          <w:color w:val="auto"/>
        </w:rPr>
      </w:pPr>
    </w:p>
    <w:p>
      <w:pPr>
        <w:ind w:left="1260" w:right="459" w:firstLine="648"/>
        <w:spacing w:after="0" w:line="252" w:lineRule="auto"/>
        <w:rPr>
          <w:sz w:val="20"/>
          <w:szCs w:val="20"/>
          <w:color w:val="auto"/>
        </w:rPr>
      </w:pPr>
      <w:r>
        <w:rPr>
          <w:rFonts w:ascii="Arial" w:cs="Arial" w:eastAsia="Arial" w:hAnsi="Arial"/>
          <w:sz w:val="18"/>
          <w:szCs w:val="18"/>
          <w:color w:val="auto"/>
        </w:rPr>
        <w:t>On December 22, 2017, President Trump signed into law the “Tax Cuts and Jobs Act,” or the TCJA, which significantly amends the Internal Revenue Code of 1986. Subject to the discussion of the Families First Coronavirus Response Act, or FFCR Act, and the CARES Act below, the TCJA, among other things, reduces the corporate tax rate from a top marginal rate of 35% to a flat rate of 21%, limits the tax deduction for interest expense to 30% of adjusted taxable income, eliminates net operating loss carrybacks, imposes a one-time tax on offshore earnings at reduced rates regardless of whether they are repatriated, allows immediate deductions for certain new investments instead of deductions for depreciation expense over time, and modifies or repeals many business deductions and credits, including a reduction of the business tax credit for certain clinical testing expenses incurred in the testing of certain drugs for rare diseases or conditions generally referred to as “orphan drugs.” We continue to examine the impact these changes may have on our business. Notwithstanding the reduction in the corporate income tax rate, the overall impact of the TCJA is uncertain and our business and financial condition could be adversely affected.</w:t>
      </w:r>
    </w:p>
    <w:p>
      <w:pPr>
        <w:spacing w:after="0" w:line="131" w:lineRule="exact"/>
        <w:rPr>
          <w:sz w:val="20"/>
          <w:szCs w:val="20"/>
          <w:color w:val="auto"/>
        </w:rPr>
      </w:pPr>
    </w:p>
    <w:p>
      <w:pPr>
        <w:ind w:left="1260" w:right="479" w:firstLine="648"/>
        <w:spacing w:after="0" w:line="252" w:lineRule="auto"/>
        <w:rPr>
          <w:sz w:val="20"/>
          <w:szCs w:val="20"/>
          <w:color w:val="auto"/>
        </w:rPr>
      </w:pPr>
      <w:r>
        <w:rPr>
          <w:rFonts w:ascii="Arial" w:cs="Arial" w:eastAsia="Arial" w:hAnsi="Arial"/>
          <w:sz w:val="18"/>
          <w:szCs w:val="18"/>
          <w:color w:val="auto"/>
        </w:rPr>
        <w:t>As part of Congress’s response to the COVID-19 pandemic, the FFCR Act was enacted on March 18, 2020, and the CARES Act was enacted on March 27, 2020. Both contain numerous tax provisions. In particular, the CARES Act retroactively and temporarily (for taxable years beginning before January 1, 2021) suspends application of the 80%-of-income limitation on the use of NOLs, which was enacted as part of the TCJA. It also provides that NOLs arising in any taxable year beginning after December 31, 2017, and before January 1, 2021 are generally eligible to be carried back up to five years. The CARES Act also temporarily (for taxable years beginning in 2019 or 2020) relaxes the limitation of the tax deductibility for net interest expense by increasing the tax deduction cap from 30% to a 50% cap of adjusted taxable income. Regulatory guidance under the TCJA, the FFCR Act and the CARES Act is and continues to be forthcoming, and such guidance could ultimately increase or lessen impact of these laws on our business and financial condition. In addition, it is uncertain if and to what extent various states will conform to the TCJA, the FFCR Act or the CARES Act. Moreover, it is possible that Congress will enact additional legislation in connection with the COVID-19 pandemic, which could have an impact on our company.</w:t>
      </w:r>
    </w:p>
    <w:p>
      <w:pPr>
        <w:spacing w:after="0" w:line="116" w:lineRule="exact"/>
        <w:rPr>
          <w:sz w:val="20"/>
          <w:szCs w:val="20"/>
          <w:color w:val="auto"/>
        </w:rPr>
      </w:pPr>
    </w:p>
    <w:p>
      <w:pPr>
        <w:jc w:val="both"/>
        <w:ind w:left="1260" w:right="579" w:firstLine="648"/>
        <w:spacing w:after="0" w:line="263" w:lineRule="auto"/>
        <w:rPr>
          <w:sz w:val="20"/>
          <w:szCs w:val="20"/>
          <w:color w:val="auto"/>
        </w:rPr>
      </w:pPr>
      <w:r>
        <w:rPr>
          <w:rFonts w:ascii="Arial" w:cs="Arial" w:eastAsia="Arial" w:hAnsi="Arial"/>
          <w:sz w:val="18"/>
          <w:szCs w:val="18"/>
          <w:color w:val="auto"/>
        </w:rPr>
        <w:t>We urge our shareholders, including purchasers of common shares in this offering, to consult with their legal and tax advisers with respect to the TCJA, the FFCR Act and the CARES Act and the potential tax consequences of investing in our common shares.</w:t>
      </w:r>
    </w:p>
    <w:p>
      <w:pPr>
        <w:spacing w:after="0" w:line="184" w:lineRule="exact"/>
        <w:rPr>
          <w:sz w:val="20"/>
          <w:szCs w:val="20"/>
          <w:color w:val="auto"/>
        </w:rPr>
      </w:pPr>
    </w:p>
    <w:p>
      <w:pPr>
        <w:ind w:left="1260" w:right="419"/>
        <w:spacing w:after="0" w:line="342" w:lineRule="auto"/>
        <w:rPr>
          <w:sz w:val="20"/>
          <w:szCs w:val="20"/>
          <w:color w:val="auto"/>
        </w:rPr>
      </w:pPr>
      <w:r>
        <w:rPr>
          <w:rFonts w:ascii="Arial" w:cs="Arial" w:eastAsia="Arial" w:hAnsi="Arial"/>
          <w:sz w:val="16"/>
          <w:szCs w:val="16"/>
          <w:b w:val="1"/>
          <w:bCs w:val="1"/>
          <w:i w:val="1"/>
          <w:iCs w:val="1"/>
          <w:color w:val="auto"/>
        </w:rPr>
        <w:t>Uninsured losses arising from third-party claims brought against us could result in payment of substantial damages, which would decrease our cash reserves and could harm our profit and cash flow.</w:t>
      </w:r>
    </w:p>
    <w:p>
      <w:pPr>
        <w:spacing w:after="0" w:line="56" w:lineRule="exact"/>
        <w:rPr>
          <w:sz w:val="20"/>
          <w:szCs w:val="20"/>
          <w:color w:val="auto"/>
        </w:rPr>
      </w:pPr>
    </w:p>
    <w:p>
      <w:pPr>
        <w:ind w:left="1260" w:right="439" w:firstLine="648"/>
        <w:spacing w:after="0" w:line="259" w:lineRule="auto"/>
        <w:rPr>
          <w:sz w:val="20"/>
          <w:szCs w:val="20"/>
          <w:color w:val="auto"/>
        </w:rPr>
      </w:pPr>
      <w:r>
        <w:rPr>
          <w:rFonts w:ascii="Arial" w:cs="Arial" w:eastAsia="Arial" w:hAnsi="Arial"/>
          <w:sz w:val="18"/>
          <w:szCs w:val="18"/>
          <w:color w:val="auto"/>
        </w:rPr>
        <w:t>Our products are used in applications where the failure to use our products properly or their malfunction could result in serious bodily injury or death. We may not have adequate insurance to cover the payment of any potential claim related to such injuries or deaths. Insurance coverage may not continue to be available to us or, if available, may be at a significantly higher cost.</w:t>
      </w:r>
    </w:p>
    <w:p>
      <w:pPr>
        <w:sectPr>
          <w:pgSz w:w="11900" w:h="16838" w:orient="portrait"/>
          <w:cols w:equalWidth="0" w:num="1">
            <w:col w:w="9879"/>
          </w:cols>
          <w:pgMar w:left="580" w:top="132"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1" w:name="page72"/>
    <w:bookmarkEnd w:id="7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19"/>
        <w:spacing w:after="0" w:line="291" w:lineRule="auto"/>
        <w:rPr>
          <w:sz w:val="20"/>
          <w:szCs w:val="20"/>
          <w:color w:val="auto"/>
        </w:rPr>
      </w:pPr>
      <w:r>
        <w:rPr>
          <w:rFonts w:ascii="Arial" w:cs="Arial" w:eastAsia="Arial" w:hAnsi="Arial"/>
          <w:sz w:val="17"/>
          <w:szCs w:val="17"/>
          <w:b w:val="1"/>
          <w:bCs w:val="1"/>
          <w:i w:val="1"/>
          <w:iCs w:val="1"/>
          <w:color w:val="auto"/>
        </w:rPr>
        <w:t>We are exposed to potential product liability and professional indemnity risks that are inherent in the research, development, manufacturing, marketing and use of pharmaceutical products.</w:t>
      </w:r>
    </w:p>
    <w:p>
      <w:pPr>
        <w:spacing w:after="0" w:line="79" w:lineRule="exact"/>
        <w:rPr>
          <w:sz w:val="20"/>
          <w:szCs w:val="20"/>
          <w:color w:val="auto"/>
        </w:rPr>
      </w:pPr>
    </w:p>
    <w:p>
      <w:pPr>
        <w:ind w:left="1260" w:right="619" w:firstLine="648"/>
        <w:spacing w:after="0"/>
        <w:rPr>
          <w:sz w:val="20"/>
          <w:szCs w:val="20"/>
          <w:color w:val="auto"/>
        </w:rPr>
      </w:pPr>
      <w:r>
        <w:rPr>
          <w:rFonts w:ascii="Arial" w:cs="Arial" w:eastAsia="Arial" w:hAnsi="Arial"/>
          <w:sz w:val="18"/>
          <w:szCs w:val="18"/>
          <w:color w:val="auto"/>
        </w:rPr>
        <w:t>The use of our investigational medicinal products in clinical trials and the sale of any approved products in the future may expose us to liability claims. These claims might be made by patients who use the product, health care providers, pharmaceutical companies or others selling such products. Any claims against us, regardless of their merit, could be difficult and costly to defend and could materially adversely affect the market for our product candidates or any prospects for commercialization of our product candidates.</w:t>
      </w:r>
    </w:p>
    <w:p>
      <w:pPr>
        <w:spacing w:after="0" w:line="122" w:lineRule="exact"/>
        <w:rPr>
          <w:sz w:val="20"/>
          <w:szCs w:val="20"/>
          <w:color w:val="auto"/>
        </w:rPr>
      </w:pPr>
    </w:p>
    <w:p>
      <w:pPr>
        <w:ind w:left="1260" w:right="439" w:firstLine="648"/>
        <w:spacing w:after="0"/>
        <w:rPr>
          <w:sz w:val="20"/>
          <w:szCs w:val="20"/>
          <w:color w:val="auto"/>
        </w:rPr>
      </w:pPr>
      <w:r>
        <w:rPr>
          <w:rFonts w:ascii="Arial" w:cs="Arial" w:eastAsia="Arial" w:hAnsi="Arial"/>
          <w:sz w:val="18"/>
          <w:szCs w:val="18"/>
          <w:color w:val="auto"/>
        </w:rPr>
        <w:t>Although the clinical trial process is designed to identify and assess potential side effects, it is always possible that a product,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w:t>
      </w:r>
    </w:p>
    <w:p>
      <w:pPr>
        <w:spacing w:after="0" w:line="108" w:lineRule="exact"/>
        <w:rPr>
          <w:sz w:val="20"/>
          <w:szCs w:val="20"/>
          <w:color w:val="auto"/>
        </w:rPr>
      </w:pPr>
    </w:p>
    <w:p>
      <w:pPr>
        <w:ind w:left="1260" w:right="519" w:firstLine="648"/>
        <w:spacing w:after="0" w:line="253" w:lineRule="auto"/>
        <w:rPr>
          <w:sz w:val="20"/>
          <w:szCs w:val="20"/>
          <w:color w:val="auto"/>
        </w:rPr>
      </w:pPr>
      <w:r>
        <w:rPr>
          <w:rFonts w:ascii="Arial" w:cs="Arial" w:eastAsia="Arial" w:hAnsi="Arial"/>
          <w:sz w:val="17"/>
          <w:szCs w:val="17"/>
          <w:color w:val="auto"/>
        </w:rPr>
        <w:t>To cover such liability claims, we purchase clinical trial insurances in the conduct of each of our clinical trials. It is possible that our liabilities could exceed our insurance coverage or that our insurance will not cover all situations in which a claim against us could be made. We also intend to expand our insurance coverage to include the sale of commercial products if we receive marketing approval for any of our proprietary products.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Should any of the events described above occur, this could have a material adverse effect on our business, financial condition and results of operations, including, but not limited to:</w:t>
      </w:r>
    </w:p>
    <w:p>
      <w:pPr>
        <w:spacing w:after="0" w:line="72" w:lineRule="exact"/>
        <w:rPr>
          <w:sz w:val="20"/>
          <w:szCs w:val="20"/>
          <w:color w:val="auto"/>
        </w:rPr>
      </w:pPr>
    </w:p>
    <w:p>
      <w:pPr>
        <w:ind w:left="2260" w:hanging="352"/>
        <w:spacing w:after="0"/>
        <w:tabs>
          <w:tab w:leader="none" w:pos="2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decreased demand for our future product candidates;</w:t>
      </w:r>
    </w:p>
    <w:p>
      <w:pPr>
        <w:spacing w:after="0" w:line="103" w:lineRule="exact"/>
        <w:rPr>
          <w:rFonts w:ascii="Arial" w:cs="Arial" w:eastAsia="Arial" w:hAnsi="Arial"/>
          <w:sz w:val="18"/>
          <w:szCs w:val="18"/>
          <w:color w:val="auto"/>
        </w:rPr>
      </w:pPr>
    </w:p>
    <w:p>
      <w:pPr>
        <w:ind w:left="2260" w:hanging="352"/>
        <w:spacing w:after="0"/>
        <w:tabs>
          <w:tab w:leader="none" w:pos="2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adverse publicity and injury to our reputation;</w:t>
      </w:r>
    </w:p>
    <w:p>
      <w:pPr>
        <w:spacing w:after="0" w:line="103" w:lineRule="exact"/>
        <w:rPr>
          <w:rFonts w:ascii="Arial" w:cs="Arial" w:eastAsia="Arial" w:hAnsi="Arial"/>
          <w:sz w:val="18"/>
          <w:szCs w:val="18"/>
          <w:color w:val="auto"/>
        </w:rPr>
      </w:pPr>
    </w:p>
    <w:p>
      <w:pPr>
        <w:ind w:left="2260" w:hanging="352"/>
        <w:spacing w:after="0"/>
        <w:tabs>
          <w:tab w:leader="none" w:pos="2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03" w:lineRule="exact"/>
        <w:rPr>
          <w:rFonts w:ascii="Arial" w:cs="Arial" w:eastAsia="Arial" w:hAnsi="Arial"/>
          <w:sz w:val="18"/>
          <w:szCs w:val="18"/>
          <w:color w:val="auto"/>
        </w:rPr>
      </w:pPr>
    </w:p>
    <w:p>
      <w:pPr>
        <w:ind w:left="2260" w:hanging="352"/>
        <w:spacing w:after="0"/>
        <w:tabs>
          <w:tab w:leader="none" w:pos="2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90" w:lineRule="exact"/>
        <w:rPr>
          <w:rFonts w:ascii="Arial" w:cs="Arial" w:eastAsia="Arial" w:hAnsi="Arial"/>
          <w:sz w:val="18"/>
          <w:szCs w:val="18"/>
          <w:color w:val="auto"/>
        </w:rPr>
      </w:pPr>
    </w:p>
    <w:p>
      <w:pPr>
        <w:ind w:left="2260" w:hanging="352"/>
        <w:spacing w:after="0"/>
        <w:tabs>
          <w:tab w:leader="none" w:pos="2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03" w:lineRule="exact"/>
        <w:rPr>
          <w:rFonts w:ascii="Arial" w:cs="Arial" w:eastAsia="Arial" w:hAnsi="Arial"/>
          <w:sz w:val="18"/>
          <w:szCs w:val="18"/>
          <w:color w:val="auto"/>
        </w:rPr>
      </w:pPr>
    </w:p>
    <w:p>
      <w:pPr>
        <w:ind w:left="2260" w:hanging="352"/>
        <w:spacing w:after="0"/>
        <w:tabs>
          <w:tab w:leader="none" w:pos="2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03" w:lineRule="exact"/>
        <w:rPr>
          <w:rFonts w:ascii="Arial" w:cs="Arial" w:eastAsia="Arial" w:hAnsi="Arial"/>
          <w:sz w:val="18"/>
          <w:szCs w:val="18"/>
          <w:color w:val="auto"/>
        </w:rPr>
      </w:pPr>
    </w:p>
    <w:p>
      <w:pPr>
        <w:ind w:left="2260" w:hanging="352"/>
        <w:spacing w:after="0"/>
        <w:tabs>
          <w:tab w:leader="none" w:pos="2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compensation in response to a liability claim;</w:t>
      </w:r>
    </w:p>
    <w:p>
      <w:pPr>
        <w:spacing w:after="0" w:line="103" w:lineRule="exact"/>
        <w:rPr>
          <w:rFonts w:ascii="Arial" w:cs="Arial" w:eastAsia="Arial" w:hAnsi="Arial"/>
          <w:sz w:val="18"/>
          <w:szCs w:val="18"/>
          <w:color w:val="auto"/>
        </w:rPr>
      </w:pPr>
    </w:p>
    <w:p>
      <w:pPr>
        <w:ind w:left="2260" w:hanging="352"/>
        <w:spacing w:after="0"/>
        <w:tabs>
          <w:tab w:leader="none" w:pos="2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03" w:lineRule="exact"/>
        <w:rPr>
          <w:rFonts w:ascii="Arial" w:cs="Arial" w:eastAsia="Arial" w:hAnsi="Arial"/>
          <w:sz w:val="18"/>
          <w:szCs w:val="18"/>
          <w:color w:val="auto"/>
        </w:rPr>
      </w:pPr>
    </w:p>
    <w:p>
      <w:pPr>
        <w:ind w:left="2260" w:hanging="352"/>
        <w:spacing w:after="0"/>
        <w:tabs>
          <w:tab w:leader="none" w:pos="2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03" w:lineRule="exact"/>
        <w:rPr>
          <w:rFonts w:ascii="Arial" w:cs="Arial" w:eastAsia="Arial" w:hAnsi="Arial"/>
          <w:sz w:val="18"/>
          <w:szCs w:val="18"/>
          <w:color w:val="auto"/>
        </w:rPr>
      </w:pPr>
    </w:p>
    <w:p>
      <w:pPr>
        <w:ind w:left="2260" w:hanging="352"/>
        <w:spacing w:after="0"/>
        <w:tabs>
          <w:tab w:leader="none" w:pos="2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 and</w:t>
      </w:r>
    </w:p>
    <w:p>
      <w:pPr>
        <w:spacing w:after="0" w:line="90" w:lineRule="exact"/>
        <w:rPr>
          <w:rFonts w:ascii="Arial" w:cs="Arial" w:eastAsia="Arial" w:hAnsi="Arial"/>
          <w:sz w:val="18"/>
          <w:szCs w:val="18"/>
          <w:color w:val="auto"/>
        </w:rPr>
      </w:pPr>
    </w:p>
    <w:p>
      <w:pPr>
        <w:ind w:left="2260" w:hanging="352"/>
        <w:spacing w:after="0"/>
        <w:tabs>
          <w:tab w:leader="none" w:pos="2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inability to commercialize our products or product candidates.</w:t>
      </w:r>
    </w:p>
    <w:p>
      <w:pPr>
        <w:spacing w:after="0" w:line="158" w:lineRule="exact"/>
        <w:rPr>
          <w:sz w:val="20"/>
          <w:szCs w:val="20"/>
          <w:color w:val="auto"/>
        </w:rPr>
      </w:pPr>
    </w:p>
    <w:p>
      <w:pPr>
        <w:ind w:left="1260" w:right="579" w:firstLine="648"/>
        <w:spacing w:after="0"/>
        <w:rPr>
          <w:sz w:val="20"/>
          <w:szCs w:val="20"/>
          <w:color w:val="auto"/>
        </w:rPr>
      </w:pPr>
      <w:r>
        <w:rPr>
          <w:rFonts w:ascii="Arial" w:cs="Arial" w:eastAsia="Arial" w:hAnsi="Arial"/>
          <w:sz w:val="18"/>
          <w:szCs w:val="18"/>
          <w:color w:val="auto"/>
        </w:rPr>
        <w:t>We could be adversely affected if we are subject to negative publicity. We could also be adversely affected if any of our products or any similar products distributed by other companies prove to be, or are asserted to be, harmful to patients. Any adverse publicity associated with illness or other adverse effects resulting from patients’ use or misuse of our products or any similar products distributed by other companies could have a material adverse impact on our business, financial condition, results of operations or prospects.</w:t>
      </w:r>
    </w:p>
    <w:p>
      <w:pPr>
        <w:spacing w:after="0" w:line="189" w:lineRule="exact"/>
        <w:rPr>
          <w:sz w:val="20"/>
          <w:szCs w:val="20"/>
          <w:color w:val="auto"/>
        </w:rPr>
      </w:pPr>
    </w:p>
    <w:p>
      <w:pPr>
        <w:ind w:left="1260" w:right="459"/>
        <w:spacing w:after="0" w:line="257" w:lineRule="auto"/>
        <w:rPr>
          <w:sz w:val="20"/>
          <w:szCs w:val="20"/>
          <w:color w:val="auto"/>
        </w:rPr>
      </w:pPr>
      <w:r>
        <w:rPr>
          <w:rFonts w:ascii="Arial" w:cs="Arial" w:eastAsia="Arial" w:hAnsi="Arial"/>
          <w:sz w:val="17"/>
          <w:szCs w:val="17"/>
          <w:b w:val="1"/>
          <w:bCs w:val="1"/>
          <w:i w:val="1"/>
          <w:iCs w:val="1"/>
          <w:color w:val="auto"/>
        </w:rPr>
        <w:t>Some of our product candidates are classified as gene therapies by the FDA and the EMA, and the FDA has indicated that products similar to our product candidates will be reviewed within its Center for Biologics Evaluation and Research, or CBER. Even though our mRNA product candidates are designed to have a different mechanism of action from gene therapies, the association of our product candidates with gene therapies could result in increased regulatory burdens, impair the reputation of our product candidates, or negatively impact our platform or our business.</w:t>
      </w:r>
    </w:p>
    <w:p>
      <w:pPr>
        <w:spacing w:after="0" w:line="108" w:lineRule="exact"/>
        <w:rPr>
          <w:sz w:val="20"/>
          <w:szCs w:val="20"/>
          <w:color w:val="auto"/>
        </w:rPr>
      </w:pPr>
    </w:p>
    <w:p>
      <w:pPr>
        <w:ind w:left="1260" w:right="539" w:firstLine="648"/>
        <w:spacing w:after="0" w:line="248" w:lineRule="auto"/>
        <w:rPr>
          <w:sz w:val="20"/>
          <w:szCs w:val="20"/>
          <w:color w:val="auto"/>
        </w:rPr>
      </w:pPr>
      <w:r>
        <w:rPr>
          <w:rFonts w:ascii="Arial" w:cs="Arial" w:eastAsia="Arial" w:hAnsi="Arial"/>
          <w:sz w:val="18"/>
          <w:szCs w:val="18"/>
          <w:color w:val="auto"/>
        </w:rPr>
        <w:t>There have been few approvals of gene therapy products in the United States and other jurisdictions, and there have been well-reported significant adverse events associated with their testing and use. Gene</w:t>
      </w:r>
    </w:p>
    <w:p>
      <w:pPr>
        <w:sectPr>
          <w:pgSz w:w="11900" w:h="16838" w:orient="portrait"/>
          <w:cols w:equalWidth="0" w:num="1">
            <w:col w:w="9879"/>
          </w:cols>
          <w:pgMar w:left="580" w:top="132"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2" w:name="page73"/>
    <w:bookmarkEnd w:id="7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79"/>
        <w:spacing w:after="0" w:line="238" w:lineRule="auto"/>
        <w:rPr>
          <w:sz w:val="20"/>
          <w:szCs w:val="20"/>
          <w:color w:val="auto"/>
        </w:rPr>
      </w:pPr>
      <w:r>
        <w:rPr>
          <w:rFonts w:ascii="Arial" w:cs="Arial" w:eastAsia="Arial" w:hAnsi="Arial"/>
          <w:sz w:val="18"/>
          <w:szCs w:val="18"/>
          <w:color w:val="auto"/>
        </w:rPr>
        <w:t>therapy products have the effect of introducing new DNA and potentially irreversibly changing the DNA in a cell. In contrast, mRNA is highly unlikely to localize to the nucleus, integrate into cell DNA, or otherwise make any permanent changes to cell DNA. Consequently, we expect that our product candidates will have a different potential side effect profile from gene therapies because they lack risks associated with altering cell DNA irreversibly. Further, we may avail ourselves of ways of mitigating side effects in developing our product candidates to address safety concerns that are not available to all gene therapies, such as lowering the dose of our product candidates during repeat dosing or stopping treatment to potentially ameliorate undesirable side effects.</w:t>
      </w:r>
    </w:p>
    <w:p>
      <w:pPr>
        <w:spacing w:after="0" w:line="126" w:lineRule="exact"/>
        <w:rPr>
          <w:sz w:val="20"/>
          <w:szCs w:val="20"/>
          <w:color w:val="auto"/>
        </w:rPr>
      </w:pPr>
    </w:p>
    <w:p>
      <w:pPr>
        <w:ind w:left="1260" w:right="439" w:firstLine="648"/>
        <w:spacing w:after="0" w:line="251" w:lineRule="auto"/>
        <w:rPr>
          <w:sz w:val="20"/>
          <w:szCs w:val="20"/>
          <w:color w:val="auto"/>
        </w:rPr>
      </w:pPr>
      <w:r>
        <w:rPr>
          <w:rFonts w:ascii="Arial" w:cs="Arial" w:eastAsia="Arial" w:hAnsi="Arial"/>
          <w:sz w:val="17"/>
          <w:szCs w:val="17"/>
          <w:color w:val="auto"/>
        </w:rPr>
        <w:t>Regulatory requirements governing gene and cell therapy products have evolved and may continue to change in the future, and the implications for mRNA-based medicines is unknown. For example, the FDA has established the Office of Tissues and Advanced Therapies within CBER to consolidate the review of gene therapy and related products, and convenes the Cellular, Tissue and Gene Therapies Advisory Committee to advise CBER on its review. In the European Union, mRNA has been characterized as a Gene Therapy Medicinal Product. In certain countries, mRNA therapies have not yet been classified or any such classification is not known to us. Specifically, in Japan, the Pharmaceuticals and Medical Devices Agency has not taken a position on the regulatory classification. Notwithstanding the differences between our mRNA product candidates and gene therapies, the classification of some of our mRNA product candidates as gene therapies in the United States, the European Union and potentially other counties could adversely impact our ability to develop our product candidates, and could negatively impact our platform and our business. For instance, a clinical hold on gene therapy products across the field due to risks associated with altering cell DNA irreversibly may apply to our mRNA product candidates irrespective of the mechanistic differences between gene therapies and mRNA.</w:t>
      </w:r>
    </w:p>
    <w:p>
      <w:pPr>
        <w:spacing w:after="0" w:line="121" w:lineRule="exact"/>
        <w:rPr>
          <w:sz w:val="20"/>
          <w:szCs w:val="20"/>
          <w:color w:val="auto"/>
        </w:rPr>
      </w:pPr>
    </w:p>
    <w:p>
      <w:pPr>
        <w:ind w:left="1260" w:right="419" w:firstLine="648"/>
        <w:spacing w:after="0" w:line="237" w:lineRule="auto"/>
        <w:rPr>
          <w:sz w:val="20"/>
          <w:szCs w:val="20"/>
          <w:color w:val="auto"/>
        </w:rPr>
      </w:pPr>
      <w:r>
        <w:rPr>
          <w:rFonts w:ascii="Arial" w:cs="Arial" w:eastAsia="Arial" w:hAnsi="Arial"/>
          <w:sz w:val="18"/>
          <w:szCs w:val="18"/>
          <w:color w:val="auto"/>
        </w:rPr>
        <w:t>Adverse events reported with respect to gene therapies or genome editing therapies could adversely impact one or more of our programs. Although our mRNA product candidates are designed not to make any permanent changes to cell DNA, regulatory agencies or others could believe that adverse effects of gene therapy products caused by introducing new DNA and irreversibly changing the DNA in a cell could also be a risk for our mRNA investigational therapies, and as a result may delay one or more of our trials or impose additional testing for long-term side effects. Any new requirements and guidelines promulgated by regulatory review agencies may have a negative effect on our business by lengthening the regulatory review process, requiring us to perform additional or larger studies, or increasing our development costs, any of which could lead to changes in regulatory positions and interpretations, delay or prevent advancement or approval and commercialization of our product candidates or lead to significant post-approval studies, limitations or restrictions. As we advance our product candidates, we will be required to consult with these regulatory agencies and advisory committees and comply with applicable requirements and guidelines. If we fail to do so, we may be required to delay or discontinue development of some or all of our product candidates.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Common Shares and the Offering</w:t>
      </w:r>
    </w:p>
    <w:p>
      <w:pPr>
        <w:spacing w:after="0" w:line="229" w:lineRule="exact"/>
        <w:rPr>
          <w:sz w:val="20"/>
          <w:szCs w:val="20"/>
          <w:color w:val="auto"/>
        </w:rPr>
      </w:pPr>
    </w:p>
    <w:p>
      <w:pPr>
        <w:ind w:left="1260" w:right="759"/>
        <w:spacing w:after="0" w:line="248" w:lineRule="auto"/>
        <w:rPr>
          <w:sz w:val="20"/>
          <w:szCs w:val="20"/>
          <w:color w:val="auto"/>
        </w:rPr>
      </w:pPr>
      <w:r>
        <w:rPr>
          <w:rFonts w:ascii="Arial" w:cs="Arial" w:eastAsia="Arial" w:hAnsi="Arial"/>
          <w:sz w:val="18"/>
          <w:szCs w:val="18"/>
          <w:b w:val="1"/>
          <w:bCs w:val="1"/>
          <w:i w:val="1"/>
          <w:iCs w:val="1"/>
          <w:color w:val="auto"/>
        </w:rPr>
        <w:t>An active trading market for our common shares may not be sustainable. If an active trading market is not maintained, investors may not be able to resell their shares at or above the offering price and our ability to raise capital in the future may be impaired.</w:t>
      </w:r>
    </w:p>
    <w:p>
      <w:pPr>
        <w:spacing w:after="0" w:line="101" w:lineRule="exact"/>
        <w:rPr>
          <w:sz w:val="20"/>
          <w:szCs w:val="20"/>
          <w:color w:val="auto"/>
        </w:rPr>
      </w:pPr>
    </w:p>
    <w:p>
      <w:pPr>
        <w:ind w:left="1260" w:right="419" w:firstLine="648"/>
        <w:spacing w:after="0" w:line="255" w:lineRule="auto"/>
        <w:rPr>
          <w:sz w:val="20"/>
          <w:szCs w:val="20"/>
          <w:color w:val="auto"/>
        </w:rPr>
      </w:pPr>
      <w:r>
        <w:rPr>
          <w:rFonts w:ascii="Arial" w:cs="Arial" w:eastAsia="Arial" w:hAnsi="Arial"/>
          <w:sz w:val="17"/>
          <w:szCs w:val="17"/>
          <w:color w:val="auto"/>
        </w:rPr>
        <w:t>Although our common shares are listed and trade on Nasdaq, an active trading market for our shares may not be maintained following this offering. If an active market for our common shares is not maintained, it may be difficult for you to sell shares you purchase in this offering without depressing the market price for the shares or at all. An inactive trading market may also impair our ability to raise capital to continue to fund operations by selling shares and may impair our ability to acquire other companies or technologies by using our shares as consideration. In addition to the risks described above, the market price of our common shares may be influenced by many factors, some of which are beyond our control, including:</w:t>
      </w:r>
    </w:p>
    <w:p>
      <w:pPr>
        <w:spacing w:after="0" w:line="72" w:lineRule="exact"/>
        <w:rPr>
          <w:sz w:val="20"/>
          <w:szCs w:val="20"/>
          <w:color w:val="auto"/>
        </w:rPr>
      </w:pPr>
    </w:p>
    <w:p>
      <w:pPr>
        <w:ind w:left="2260" w:right="619" w:hanging="352"/>
        <w:spacing w:after="0" w:line="277" w:lineRule="auto"/>
        <w:tabs>
          <w:tab w:leader="none" w:pos="2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failure of financial analysts to continue to cover our common shares after this offering or changes in financial estimates by analysts;</w:t>
      </w:r>
    </w:p>
    <w:p>
      <w:pPr>
        <w:spacing w:after="0" w:line="62" w:lineRule="exact"/>
        <w:rPr>
          <w:rFonts w:ascii="Arial" w:cs="Arial" w:eastAsia="Arial" w:hAnsi="Arial"/>
          <w:sz w:val="18"/>
          <w:szCs w:val="18"/>
          <w:color w:val="auto"/>
        </w:rPr>
      </w:pPr>
    </w:p>
    <w:p>
      <w:pPr>
        <w:ind w:left="2260" w:hanging="352"/>
        <w:spacing w:after="0"/>
        <w:tabs>
          <w:tab w:leader="none" w:pos="2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actual or anticipated variations in our operating results;</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3" w:name="page74"/>
    <w:bookmarkEnd w:id="7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60" w:right="479" w:hanging="352"/>
        <w:spacing w:after="0" w:line="263" w:lineRule="auto"/>
        <w:tabs>
          <w:tab w:leader="none" w:pos="2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financial estimates by financial analysts, or any failure by us to meet or exceed any of these estimates, or changes in the recommendations of any financial analysts that elect to follow our common shares or the shares of our competitors;</w:t>
      </w:r>
    </w:p>
    <w:p>
      <w:pPr>
        <w:spacing w:after="0" w:line="75" w:lineRule="exact"/>
        <w:rPr>
          <w:rFonts w:ascii="Arial" w:cs="Arial" w:eastAsia="Arial" w:hAnsi="Arial"/>
          <w:sz w:val="18"/>
          <w:szCs w:val="18"/>
          <w:color w:val="auto"/>
        </w:rPr>
      </w:pPr>
    </w:p>
    <w:p>
      <w:pPr>
        <w:ind w:left="2260" w:hanging="352"/>
        <w:spacing w:after="0"/>
        <w:tabs>
          <w:tab w:leader="none" w:pos="2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or acquisitions;</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future sales of our shares; and</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investor perceptions of us and the industries in which we operate.</w:t>
      </w:r>
    </w:p>
    <w:p>
      <w:pPr>
        <w:spacing w:after="0" w:line="158" w:lineRule="exact"/>
        <w:rPr>
          <w:sz w:val="20"/>
          <w:szCs w:val="20"/>
          <w:color w:val="auto"/>
        </w:rPr>
      </w:pPr>
    </w:p>
    <w:p>
      <w:pPr>
        <w:ind w:left="1260" w:right="419" w:firstLine="648"/>
        <w:spacing w:after="0" w:line="270" w:lineRule="auto"/>
        <w:rPr>
          <w:sz w:val="20"/>
          <w:szCs w:val="20"/>
          <w:color w:val="auto"/>
        </w:rPr>
      </w:pPr>
      <w:r>
        <w:rPr>
          <w:rFonts w:ascii="Arial" w:cs="Arial" w:eastAsia="Arial" w:hAnsi="Arial"/>
          <w:sz w:val="17"/>
          <w:szCs w:val="17"/>
          <w:color w:val="auto"/>
        </w:rPr>
        <w:t>These and other factors may cause the market price and demand for our common stock to fluctuate substantially, which may limit or prevent investors from readily selling their shares of common stock and may otherwise negatively affect the liquidity of our common stock. In addition, the stock market in general has from time to time experienced extreme price and volume fluctuations, including in recent months, that have often been unrelated or disproportionate to the operating performance of particular companies affected. These broad market and industry factors may materially harm the market price of our common shares, regardless of our operating performance. In the past, following periods of volatility in the market price of certain companies’ securities, securities class action litigation has been instituted against these companies. This litigation, if instituted against us, could adversely affect our financial condition or results of operations.</w:t>
      </w:r>
    </w:p>
    <w:p>
      <w:pPr>
        <w:spacing w:after="0" w:line="181" w:lineRule="exact"/>
        <w:rPr>
          <w:sz w:val="20"/>
          <w:szCs w:val="20"/>
          <w:color w:val="auto"/>
        </w:rPr>
      </w:pPr>
    </w:p>
    <w:p>
      <w:pPr>
        <w:ind w:left="1260" w:right="759"/>
        <w:spacing w:after="0" w:line="277" w:lineRule="auto"/>
        <w:rPr>
          <w:sz w:val="20"/>
          <w:szCs w:val="20"/>
          <w:color w:val="auto"/>
        </w:rPr>
      </w:pPr>
      <w:r>
        <w:rPr>
          <w:rFonts w:ascii="Arial" w:cs="Arial" w:eastAsia="Arial" w:hAnsi="Arial"/>
          <w:sz w:val="18"/>
          <w:szCs w:val="18"/>
          <w:b w:val="1"/>
          <w:bCs w:val="1"/>
          <w:i w:val="1"/>
          <w:iCs w:val="1"/>
          <w:color w:val="auto"/>
        </w:rPr>
        <w:t>Sales of substantial amounts of our common shares in the public market, or the perception that these sales may occur, could cause the market price of our common shares to decline.</w:t>
      </w:r>
    </w:p>
    <w:p>
      <w:pPr>
        <w:spacing w:after="0" w:line="89" w:lineRule="exact"/>
        <w:rPr>
          <w:sz w:val="20"/>
          <w:szCs w:val="20"/>
          <w:color w:val="auto"/>
        </w:rPr>
      </w:pPr>
    </w:p>
    <w:p>
      <w:pPr>
        <w:ind w:left="1260" w:right="439" w:firstLine="648"/>
        <w:spacing w:after="0" w:line="252" w:lineRule="auto"/>
        <w:rPr>
          <w:sz w:val="20"/>
          <w:szCs w:val="20"/>
          <w:color w:val="auto"/>
        </w:rPr>
      </w:pPr>
      <w:r>
        <w:rPr>
          <w:rFonts w:ascii="Arial" w:cs="Arial" w:eastAsia="Arial" w:hAnsi="Arial"/>
          <w:sz w:val="18"/>
          <w:szCs w:val="18"/>
          <w:color w:val="auto"/>
        </w:rPr>
        <w:t>Sales of substantial amounts of our common shares in the public market, or the perception that these sales may occur, could cause the market price of our common shares to decline. This could also impair our ability to raise additional capital through the sale of our equity securities. Under our articles of association, we are authorized to issue up to 386,250,000 common shares, of which 186,163,480 common shares will be outstanding following this offering. We have agreed with the underwriters, subject to certain exceptions, not to offer, sell, or dispose of any shares of our share capital or securities convertible into or exchangeable or exercisable for any shares of our share capital during the 60-day period following the date of this prospectus. Our managing directors and our supervisory directors, agreed to substantially similar lock-up provisions, subject to certain exceptions. Following the expiration of the lock-up period, our existing shareholders may determine to sell their common shares, subject to certain restrictions. See “Description of Share Capital and Articles of Association.” We cannot predict the size of future issuances of our shares or the effect, if any, that future sales and issuances of shares would have on the market price of our common shares.</w:t>
      </w:r>
    </w:p>
    <w:p>
      <w:pPr>
        <w:spacing w:after="0" w:line="199" w:lineRule="exact"/>
        <w:rPr>
          <w:sz w:val="20"/>
          <w:szCs w:val="20"/>
          <w:color w:val="auto"/>
        </w:rPr>
      </w:pPr>
    </w:p>
    <w:p>
      <w:pPr>
        <w:ind w:left="1260" w:right="439"/>
        <w:spacing w:after="0" w:line="263"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This could cause the market price of our common shares to drop significantly, even if our business is doing well.</w:t>
      </w:r>
    </w:p>
    <w:p>
      <w:pPr>
        <w:spacing w:after="0" w:line="116" w:lineRule="exact"/>
        <w:rPr>
          <w:sz w:val="20"/>
          <w:szCs w:val="20"/>
          <w:color w:val="auto"/>
        </w:rPr>
      </w:pPr>
    </w:p>
    <w:p>
      <w:pPr>
        <w:ind w:left="1260" w:right="419" w:firstLine="648"/>
        <w:spacing w:after="0" w:line="285" w:lineRule="auto"/>
        <w:rPr>
          <w:sz w:val="20"/>
          <w:szCs w:val="20"/>
          <w:color w:val="auto"/>
        </w:rPr>
      </w:pPr>
      <w:r>
        <w:rPr>
          <w:rFonts w:ascii="Arial" w:cs="Arial" w:eastAsia="Arial" w:hAnsi="Arial"/>
          <w:sz w:val="16"/>
          <w:szCs w:val="16"/>
          <w:color w:val="auto"/>
        </w:rPr>
        <w:t>Sales of a substantial number of our common shares in the public market could occur at any time. These sales, or the perception in the market that the holders of a large number of shares intend to sell shares, could reduce the market price of our common shares. Immediately after this offering, we will have 186,163,480 outstanding common shares based on the number of shares outstanding as of December 31, 2020. Subject to certain exceptions described in the section titled “Underwriting,” each member of the management board and supervisory board in this offering will be restricted from selling or transferring common shares during the 60-day period following the date of this prospectus under lock-up agreements executed in connection with this offering described in “Underwriting.” In addition, all other shareholders that executed lock-up agreements in connection with our IPO, will remain subject to the restrictions in such lock-up agreements until February 9, 2021. Subject to certain contractual limitations contained in the Shareholders’ Agreement, applicable to KfW, dievini Hopp BioTech holding GmbH &amp; Co. KG, DH-LT Investments GmbH and Mr. Dietmar Hopp, all of these shares will, however, be able to be resold after the expiration of the relevant lock-up period, as well as pursuant to customary exceptions thereto or upon the waiver of the relevant lock-up agreement. We have registered common shares that we may issue under our equity compensation plans. Such shares can be freely sold in the public market upon issuance, subject to the lock-up agreements. As restrictions on resale end, the market price of our common shares could decline if</w:t>
      </w:r>
    </w:p>
    <w:p>
      <w:pPr>
        <w:spacing w:after="0" w:line="200" w:lineRule="exact"/>
        <w:rPr>
          <w:sz w:val="20"/>
          <w:szCs w:val="20"/>
          <w:color w:val="auto"/>
        </w:r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4" w:name="page75"/>
    <w:bookmarkEnd w:id="7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519"/>
        <w:spacing w:after="0" w:line="248" w:lineRule="auto"/>
        <w:rPr>
          <w:sz w:val="20"/>
          <w:szCs w:val="20"/>
          <w:color w:val="auto"/>
        </w:rPr>
      </w:pPr>
      <w:r>
        <w:rPr>
          <w:rFonts w:ascii="Arial" w:cs="Arial" w:eastAsia="Arial" w:hAnsi="Arial"/>
          <w:sz w:val="18"/>
          <w:szCs w:val="18"/>
          <w:color w:val="auto"/>
        </w:rPr>
        <w:t>the holders of currently restricted shares sell them or are perceived by the market as intending to sell them. See also “Risk Factors — Concentration of ownership by our principal shareholders may conflict with your interest and may prevent you from influencing significant corporate decisions.”</w:t>
      </w:r>
    </w:p>
    <w:p>
      <w:pPr>
        <w:spacing w:after="0" w:line="182" w:lineRule="exact"/>
        <w:rPr>
          <w:sz w:val="20"/>
          <w:szCs w:val="20"/>
          <w:color w:val="auto"/>
        </w:rPr>
      </w:pPr>
    </w:p>
    <w:p>
      <w:pPr>
        <w:ind w:left="1260" w:right="659"/>
        <w:spacing w:after="0" w:line="248" w:lineRule="auto"/>
        <w:rPr>
          <w:sz w:val="20"/>
          <w:szCs w:val="20"/>
          <w:color w:val="auto"/>
        </w:rPr>
      </w:pPr>
      <w:r>
        <w:rPr>
          <w:rFonts w:ascii="Arial" w:cs="Arial" w:eastAsia="Arial" w:hAnsi="Arial"/>
          <w:sz w:val="18"/>
          <w:szCs w:val="18"/>
          <w:b w:val="1"/>
          <w:bCs w:val="1"/>
          <w:i w:val="1"/>
          <w:iCs w:val="1"/>
          <w:color w:val="auto"/>
        </w:rPr>
        <w:t>The trading price of our common shares may be highly volatile, which could result in substantial losses for purchasers of our common shares in this offering, and a decline in our share price and invite securities litigation against our company or our management.</w:t>
      </w:r>
    </w:p>
    <w:p>
      <w:pPr>
        <w:spacing w:after="0" w:line="114" w:lineRule="exact"/>
        <w:rPr>
          <w:sz w:val="20"/>
          <w:szCs w:val="20"/>
          <w:color w:val="auto"/>
        </w:rPr>
      </w:pPr>
    </w:p>
    <w:p>
      <w:pPr>
        <w:ind w:left="1260" w:right="459" w:firstLine="648"/>
        <w:spacing w:after="0"/>
        <w:rPr>
          <w:sz w:val="20"/>
          <w:szCs w:val="20"/>
          <w:color w:val="auto"/>
        </w:rPr>
      </w:pPr>
      <w:r>
        <w:rPr>
          <w:rFonts w:ascii="Arial" w:cs="Arial" w:eastAsia="Arial" w:hAnsi="Arial"/>
          <w:sz w:val="18"/>
          <w:szCs w:val="18"/>
          <w:color w:val="auto"/>
        </w:rPr>
        <w:t>Our share price is likely to continue to be highly volatile. The stock market in general and the market for smaller pharmaceutical and biotechnology companies in particular have experienced extreme volatility that has often been unrelated to the operating performance of particular companies. As a result of this volatility, you may not be able to sell your common shares at or above the public offering price and you may lose some or all of your investment. The market price for our common shares may be influenced by many factors, including:</w:t>
      </w:r>
    </w:p>
    <w:p>
      <w:pPr>
        <w:spacing w:after="0" w:line="81" w:lineRule="exact"/>
        <w:rPr>
          <w:sz w:val="20"/>
          <w:szCs w:val="20"/>
          <w:color w:val="auto"/>
        </w:rPr>
      </w:pPr>
    </w:p>
    <w:p>
      <w:pPr>
        <w:ind w:left="2260" w:right="639" w:hanging="352"/>
        <w:spacing w:after="0" w:line="277" w:lineRule="auto"/>
        <w:tabs>
          <w:tab w:leader="none" w:pos="2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results of our ongoing, planned or any future preclinical studies, clinical trials or clinical development programs;</w:t>
      </w:r>
    </w:p>
    <w:p>
      <w:pPr>
        <w:spacing w:after="0" w:line="48" w:lineRule="exact"/>
        <w:rPr>
          <w:rFonts w:ascii="Arial" w:cs="Arial" w:eastAsia="Arial" w:hAnsi="Arial"/>
          <w:sz w:val="18"/>
          <w:szCs w:val="18"/>
          <w:color w:val="auto"/>
        </w:rPr>
      </w:pPr>
    </w:p>
    <w:p>
      <w:pPr>
        <w:ind w:left="2260" w:right="439" w:hanging="352"/>
        <w:spacing w:after="0" w:line="308" w:lineRule="auto"/>
        <w:tabs>
          <w:tab w:leader="none" w:pos="22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timing, enrollment and results of clinical trials of our product candidates or any future clinical trials we may conduct, or changes in the development status of our product candidates;</w:t>
      </w:r>
    </w:p>
    <w:p>
      <w:pPr>
        <w:spacing w:after="0" w:line="38" w:lineRule="exact"/>
        <w:rPr>
          <w:rFonts w:ascii="Arial" w:cs="Arial" w:eastAsia="Arial" w:hAnsi="Arial"/>
          <w:sz w:val="17"/>
          <w:szCs w:val="17"/>
          <w:color w:val="auto"/>
        </w:rPr>
      </w:pPr>
    </w:p>
    <w:p>
      <w:pPr>
        <w:ind w:left="2260" w:hanging="352"/>
        <w:spacing w:after="0"/>
        <w:tabs>
          <w:tab w:leader="none" w:pos="2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adverse results or delays in preclinical studies and clinical trials;</w:t>
      </w:r>
    </w:p>
    <w:p>
      <w:pPr>
        <w:spacing w:after="0" w:line="117" w:lineRule="exact"/>
        <w:rPr>
          <w:rFonts w:ascii="Arial" w:cs="Arial" w:eastAsia="Arial" w:hAnsi="Arial"/>
          <w:sz w:val="18"/>
          <w:szCs w:val="18"/>
          <w:color w:val="auto"/>
        </w:rPr>
      </w:pPr>
    </w:p>
    <w:p>
      <w:pPr>
        <w:ind w:left="2260" w:right="799" w:hanging="352"/>
        <w:spacing w:after="0" w:line="277" w:lineRule="auto"/>
        <w:tabs>
          <w:tab w:leader="none" w:pos="2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or our competitors’ products and product candidates;</w:t>
      </w:r>
    </w:p>
    <w:p>
      <w:pPr>
        <w:spacing w:after="0" w:line="62" w:lineRule="exact"/>
        <w:rPr>
          <w:rFonts w:ascii="Arial" w:cs="Arial" w:eastAsia="Arial" w:hAnsi="Arial"/>
          <w:sz w:val="18"/>
          <w:szCs w:val="18"/>
          <w:color w:val="auto"/>
        </w:rPr>
      </w:pPr>
    </w:p>
    <w:p>
      <w:pPr>
        <w:ind w:left="2260" w:hanging="352"/>
        <w:spacing w:after="0"/>
        <w:tabs>
          <w:tab w:leader="none" w:pos="2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103" w:lineRule="exact"/>
        <w:rPr>
          <w:rFonts w:ascii="Arial" w:cs="Arial" w:eastAsia="Arial" w:hAnsi="Arial"/>
          <w:sz w:val="18"/>
          <w:szCs w:val="18"/>
          <w:color w:val="auto"/>
        </w:rPr>
      </w:pPr>
    </w:p>
    <w:p>
      <w:pPr>
        <w:ind w:left="2260" w:right="419" w:hanging="352"/>
        <w:spacing w:after="0" w:line="259" w:lineRule="auto"/>
        <w:tabs>
          <w:tab w:leader="none" w:pos="2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delay in our development or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78" w:lineRule="exact"/>
        <w:rPr>
          <w:rFonts w:ascii="Arial" w:cs="Arial" w:eastAsia="Arial" w:hAnsi="Arial"/>
          <w:sz w:val="18"/>
          <w:szCs w:val="18"/>
          <w:color w:val="auto"/>
        </w:rPr>
      </w:pPr>
    </w:p>
    <w:p>
      <w:pPr>
        <w:ind w:left="2260" w:right="799" w:hanging="352"/>
        <w:spacing w:after="0" w:line="277" w:lineRule="auto"/>
        <w:tabs>
          <w:tab w:leader="none" w:pos="2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collaborations or capital commitments;</w:t>
      </w:r>
    </w:p>
    <w:p>
      <w:pPr>
        <w:spacing w:after="0" w:line="62" w:lineRule="exact"/>
        <w:rPr>
          <w:rFonts w:ascii="Arial" w:cs="Arial" w:eastAsia="Arial" w:hAnsi="Arial"/>
          <w:sz w:val="18"/>
          <w:szCs w:val="18"/>
          <w:color w:val="auto"/>
        </w:rPr>
      </w:pPr>
    </w:p>
    <w:p>
      <w:pPr>
        <w:ind w:left="2260" w:hanging="352"/>
        <w:spacing w:after="0"/>
        <w:tabs>
          <w:tab w:leader="none" w:pos="2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development programs;</w:t>
      </w:r>
    </w:p>
    <w:p>
      <w:pPr>
        <w:spacing w:after="0" w:line="103" w:lineRule="exact"/>
        <w:rPr>
          <w:rFonts w:ascii="Arial" w:cs="Arial" w:eastAsia="Arial" w:hAnsi="Arial"/>
          <w:sz w:val="18"/>
          <w:szCs w:val="18"/>
          <w:color w:val="auto"/>
        </w:rPr>
      </w:pPr>
    </w:p>
    <w:p>
      <w:pPr>
        <w:ind w:left="2260" w:hanging="352"/>
        <w:spacing w:after="0"/>
        <w:tabs>
          <w:tab w:leader="none" w:pos="2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our product candidates;</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failure to commercialize our product candidates;</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results of clinical trials of product candidates of our competitors;</w:t>
      </w:r>
    </w:p>
    <w:p>
      <w:pPr>
        <w:spacing w:after="0" w:line="103" w:lineRule="exact"/>
        <w:rPr>
          <w:rFonts w:ascii="Arial" w:cs="Arial" w:eastAsia="Arial" w:hAnsi="Arial"/>
          <w:sz w:val="18"/>
          <w:szCs w:val="18"/>
          <w:color w:val="auto"/>
        </w:rPr>
      </w:pPr>
    </w:p>
    <w:p>
      <w:pPr>
        <w:ind w:left="2260" w:hanging="352"/>
        <w:spacing w:after="0"/>
        <w:tabs>
          <w:tab w:leader="none" w:pos="2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2260" w:right="659" w:hanging="352"/>
        <w:spacing w:after="0" w:line="277" w:lineRule="auto"/>
        <w:tabs>
          <w:tab w:leader="none" w:pos="2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62" w:lineRule="exact"/>
        <w:rPr>
          <w:rFonts w:ascii="Arial" w:cs="Arial" w:eastAsia="Arial" w:hAnsi="Arial"/>
          <w:sz w:val="18"/>
          <w:szCs w:val="18"/>
          <w:color w:val="auto"/>
        </w:rPr>
      </w:pPr>
    </w:p>
    <w:p>
      <w:pPr>
        <w:ind w:left="2260" w:hanging="352"/>
        <w:spacing w:after="0"/>
        <w:tabs>
          <w:tab w:leader="none" w:pos="2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recruitment or departure of key scientific or management personnel;</w:t>
      </w:r>
    </w:p>
    <w:p>
      <w:pPr>
        <w:spacing w:after="0" w:line="117" w:lineRule="exact"/>
        <w:rPr>
          <w:rFonts w:ascii="Arial" w:cs="Arial" w:eastAsia="Arial" w:hAnsi="Arial"/>
          <w:sz w:val="18"/>
          <w:szCs w:val="18"/>
          <w:color w:val="auto"/>
        </w:rPr>
      </w:pPr>
    </w:p>
    <w:p>
      <w:pPr>
        <w:ind w:left="2260" w:right="1159" w:hanging="352"/>
        <w:spacing w:after="0" w:line="277" w:lineRule="auto"/>
        <w:tabs>
          <w:tab w:leader="none" w:pos="2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48" w:lineRule="exact"/>
        <w:rPr>
          <w:rFonts w:ascii="Arial" w:cs="Arial" w:eastAsia="Arial" w:hAnsi="Arial"/>
          <w:sz w:val="18"/>
          <w:szCs w:val="18"/>
          <w:color w:val="auto"/>
        </w:rPr>
      </w:pPr>
    </w:p>
    <w:p>
      <w:pPr>
        <w:ind w:left="2260" w:hanging="352"/>
        <w:spacing w:after="0"/>
        <w:tabs>
          <w:tab w:leader="none" w:pos="2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successful manufacturing of our products;</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or development timelines;</w:t>
      </w:r>
    </w:p>
    <w:p>
      <w:pPr>
        <w:spacing w:after="0" w:line="103" w:lineRule="exact"/>
        <w:rPr>
          <w:rFonts w:ascii="Arial" w:cs="Arial" w:eastAsia="Arial" w:hAnsi="Arial"/>
          <w:sz w:val="18"/>
          <w:szCs w:val="18"/>
          <w:color w:val="auto"/>
        </w:rPr>
      </w:pPr>
    </w:p>
    <w:p>
      <w:pPr>
        <w:ind w:left="2260" w:hanging="352"/>
        <w:spacing w:after="0"/>
        <w:tabs>
          <w:tab w:leader="none" w:pos="2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trading volume of our common shares;</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sales of our common shares by us, our insiders or other shareholders;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5" w:name="page76"/>
    <w:bookmarkEnd w:id="7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60" w:hanging="352"/>
        <w:spacing w:after="0"/>
        <w:tabs>
          <w:tab w:leader="none" w:pos="22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variations in our financial results or those of companies that are perceived to be similar to us;</w:t>
      </w:r>
    </w:p>
    <w:p>
      <w:pPr>
        <w:spacing w:after="0" w:line="128" w:lineRule="exact"/>
        <w:rPr>
          <w:rFonts w:ascii="Arial" w:cs="Arial" w:eastAsia="Arial" w:hAnsi="Arial"/>
          <w:sz w:val="17"/>
          <w:szCs w:val="17"/>
          <w:color w:val="auto"/>
        </w:rPr>
      </w:pPr>
    </w:p>
    <w:p>
      <w:pPr>
        <w:ind w:left="2260" w:hanging="352"/>
        <w:spacing w:after="0"/>
        <w:tabs>
          <w:tab w:leader="none" w:pos="2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accounting practices or the ineffectiveness of our internal controls;</w:t>
      </w:r>
    </w:p>
    <w:p>
      <w:pPr>
        <w:spacing w:after="0" w:line="117" w:lineRule="exact"/>
        <w:rPr>
          <w:rFonts w:ascii="Arial" w:cs="Arial" w:eastAsia="Arial" w:hAnsi="Arial"/>
          <w:sz w:val="18"/>
          <w:szCs w:val="18"/>
          <w:color w:val="auto"/>
        </w:rPr>
      </w:pPr>
    </w:p>
    <w:p>
      <w:pPr>
        <w:ind w:left="2260" w:right="579" w:hanging="352"/>
        <w:spacing w:after="0" w:line="277" w:lineRule="auto"/>
        <w:tabs>
          <w:tab w:leader="none" w:pos="2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shares, or the withdrawal of research coverage by securities analysts;</w:t>
      </w:r>
    </w:p>
    <w:p>
      <w:pPr>
        <w:spacing w:after="0" w:line="62" w:lineRule="exact"/>
        <w:rPr>
          <w:rFonts w:ascii="Arial" w:cs="Arial" w:eastAsia="Arial" w:hAnsi="Arial"/>
          <w:sz w:val="18"/>
          <w:szCs w:val="18"/>
          <w:color w:val="auto"/>
        </w:rPr>
      </w:pPr>
    </w:p>
    <w:p>
      <w:pPr>
        <w:ind w:left="2260" w:hanging="352"/>
        <w:spacing w:after="0"/>
        <w:tabs>
          <w:tab w:leader="none" w:pos="2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significant lawsuits, including patent or shareholder litigation;</w:t>
      </w:r>
    </w:p>
    <w:p>
      <w:pPr>
        <w:spacing w:after="0" w:line="103" w:lineRule="exact"/>
        <w:rPr>
          <w:rFonts w:ascii="Arial" w:cs="Arial" w:eastAsia="Arial" w:hAnsi="Arial"/>
          <w:sz w:val="18"/>
          <w:szCs w:val="18"/>
          <w:color w:val="auto"/>
        </w:rPr>
      </w:pPr>
    </w:p>
    <w:p>
      <w:pPr>
        <w:ind w:left="2260" w:hanging="352"/>
        <w:spacing w:after="0"/>
        <w:tabs>
          <w:tab w:leader="none" w:pos="2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specifically;</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58" w:lineRule="exact"/>
        <w:rPr>
          <w:sz w:val="20"/>
          <w:szCs w:val="20"/>
          <w:color w:val="auto"/>
        </w:rPr>
      </w:pPr>
    </w:p>
    <w:p>
      <w:pPr>
        <w:ind w:left="1260" w:right="619" w:firstLine="648"/>
        <w:spacing w:after="0" w:line="259" w:lineRule="auto"/>
        <w:rPr>
          <w:sz w:val="20"/>
          <w:szCs w:val="20"/>
          <w:color w:val="auto"/>
        </w:rPr>
      </w:pPr>
      <w:r>
        <w:rPr>
          <w:rFonts w:ascii="Arial" w:cs="Arial" w:eastAsia="Arial" w:hAnsi="Arial"/>
          <w:sz w:val="17"/>
          <w:szCs w:val="17"/>
          <w:color w:val="auto"/>
        </w:rPr>
        <w:t>In the past, securities class action litigation has often been brought against a company and its management following a decline in the market price of its securities. This risk is especially relevant for biopharmaceutical companies, which have experienced significant share price volatility in recent years. Such litigation, if instituted against us, could cause us or members of our management to incur substantial costs and divert management’s attention and resources from our business.</w:t>
      </w:r>
    </w:p>
    <w:p>
      <w:pPr>
        <w:spacing w:after="0" w:line="93" w:lineRule="exact"/>
        <w:rPr>
          <w:sz w:val="20"/>
          <w:szCs w:val="20"/>
          <w:color w:val="auto"/>
        </w:rPr>
      </w:pPr>
    </w:p>
    <w:p>
      <w:pPr>
        <w:ind w:left="1260" w:right="439" w:firstLine="648"/>
        <w:spacing w:after="0" w:line="262" w:lineRule="auto"/>
        <w:rPr>
          <w:sz w:val="20"/>
          <w:szCs w:val="20"/>
          <w:color w:val="auto"/>
        </w:rPr>
      </w:pPr>
      <w:r>
        <w:rPr>
          <w:rFonts w:ascii="Arial" w:cs="Arial" w:eastAsia="Arial" w:hAnsi="Arial"/>
          <w:sz w:val="17"/>
          <w:szCs w:val="17"/>
          <w:color w:val="auto"/>
        </w:rPr>
        <w:t>In addition, the trading prices for common stock of other biopharmaceutical companies have been highly volatile as a result of the COVID-19 pandemic. The COVID-19 outbreak continues to rapidly evolve. The extent to which the outbreak may impact our business, preclinical studies and clinical trials will depend on future developments, which are highly uncertain and cannot be predicted with confidence.</w:t>
      </w:r>
    </w:p>
    <w:p>
      <w:pPr>
        <w:spacing w:after="0" w:line="172" w:lineRule="exact"/>
        <w:rPr>
          <w:sz w:val="20"/>
          <w:szCs w:val="20"/>
          <w:color w:val="auto"/>
        </w:rPr>
      </w:pPr>
    </w:p>
    <w:p>
      <w:pPr>
        <w:ind w:left="1260" w:right="399"/>
        <w:spacing w:after="0" w:line="362" w:lineRule="auto"/>
        <w:rPr>
          <w:sz w:val="20"/>
          <w:szCs w:val="20"/>
          <w:color w:val="auto"/>
        </w:rPr>
      </w:pPr>
      <w:r>
        <w:rPr>
          <w:rFonts w:ascii="Arial" w:cs="Arial" w:eastAsia="Arial" w:hAnsi="Arial"/>
          <w:sz w:val="15"/>
          <w:szCs w:val="15"/>
          <w:b w:val="1"/>
          <w:bCs w:val="1"/>
          <w:i w:val="1"/>
          <w:iCs w:val="1"/>
          <w:color w:val="auto"/>
        </w:rPr>
        <w:t>We have broad discretion in the use of the net proceeds received by us from this offering and may invest or spend the proceeds in ways with which you do not agree and in ways that may not yield a return on your investment.</w:t>
      </w:r>
    </w:p>
    <w:p>
      <w:pPr>
        <w:spacing w:after="0" w:line="33" w:lineRule="exact"/>
        <w:rPr>
          <w:sz w:val="20"/>
          <w:szCs w:val="20"/>
          <w:color w:val="auto"/>
        </w:rPr>
      </w:pPr>
    </w:p>
    <w:p>
      <w:pPr>
        <w:ind w:left="1260" w:right="419" w:firstLine="648"/>
        <w:spacing w:after="0" w:line="252" w:lineRule="auto"/>
        <w:rPr>
          <w:sz w:val="20"/>
          <w:szCs w:val="20"/>
          <w:color w:val="auto"/>
        </w:rPr>
      </w:pPr>
      <w:r>
        <w:rPr>
          <w:rFonts w:ascii="Arial" w:cs="Arial" w:eastAsia="Arial" w:hAnsi="Arial"/>
          <w:sz w:val="17"/>
          <w:szCs w:val="17"/>
          <w:color w:val="auto"/>
        </w:rPr>
        <w:t>Although we currently intend to use the net proceeds received by us from this offering in the manner described in the section titled “Use of Proceeds” in this prospectus, our management has broad discretion in the application of the net proceeds from this offering and could spend the proceeds in ways that do not improve our results of operations or enhance the value of our common shares. For example, we intend to use the net proceeds received by us from this offering, together with cash and cash equivalents on hand, to pursue the approval of our product candidates for a number of indications, some of which may never reach approval, as well as for general corporate purposes. You will not have the opportunity to influence our decisions on how to use our net proceeds from this offering. The failure by our management to apply these funds effectively could result in financial losses that could harm our business, cause the price of our common shares to decline and delay the development of our product candidates. Pending their use, we may invest the net proceeds from this offering in a manner that does not produce income or that loses value.</w:t>
      </w:r>
    </w:p>
    <w:p>
      <w:pPr>
        <w:spacing w:after="0" w:line="186" w:lineRule="exact"/>
        <w:rPr>
          <w:sz w:val="20"/>
          <w:szCs w:val="20"/>
          <w:color w:val="auto"/>
        </w:rPr>
      </w:pPr>
    </w:p>
    <w:p>
      <w:pPr>
        <w:ind w:left="1260" w:right="799"/>
        <w:spacing w:after="0" w:line="261" w:lineRule="auto"/>
        <w:rPr>
          <w:sz w:val="20"/>
          <w:szCs w:val="20"/>
          <w:color w:val="auto"/>
        </w:rPr>
      </w:pPr>
      <w:r>
        <w:rPr>
          <w:rFonts w:ascii="Arial" w:cs="Arial" w:eastAsia="Arial" w:hAnsi="Arial"/>
          <w:sz w:val="18"/>
          <w:szCs w:val="18"/>
          <w:b w:val="1"/>
          <w:bCs w:val="1"/>
          <w:i w:val="1"/>
          <w:iCs w:val="1"/>
          <w:color w:val="auto"/>
        </w:rPr>
        <w:t>Concentration of ownership by our principal shareholders may conflict with your interest and may prevent you from influencing significant corporate decisions.</w:t>
      </w:r>
    </w:p>
    <w:p>
      <w:pPr>
        <w:spacing w:after="0" w:line="103" w:lineRule="exact"/>
        <w:rPr>
          <w:sz w:val="20"/>
          <w:szCs w:val="20"/>
          <w:color w:val="auto"/>
        </w:rPr>
      </w:pPr>
    </w:p>
    <w:p>
      <w:pPr>
        <w:ind w:left="1260" w:right="479" w:firstLine="648"/>
        <w:spacing w:after="0" w:line="239" w:lineRule="auto"/>
        <w:rPr>
          <w:sz w:val="20"/>
          <w:szCs w:val="20"/>
          <w:color w:val="auto"/>
        </w:rPr>
      </w:pPr>
      <w:r>
        <w:rPr>
          <w:rFonts w:ascii="Arial" w:cs="Arial" w:eastAsia="Arial" w:hAnsi="Arial"/>
          <w:sz w:val="18"/>
          <w:szCs w:val="18"/>
          <w:color w:val="auto"/>
        </w:rPr>
        <w:t>Upon the completion of this offering, our principal shareholders dievini Hopp BioTech holding GmbH &amp; Co. KG, Walldorf, or dievini, will beneficially own approximately 42.85% of our common shares, KfW will beneficially own approximately 16.05% of our common shares, assuming the number of shares offered by us, as set forth on the cover page of this prospectus, remains the same (or 42.68% and 15.98%, respectively, if the underwriters exercise in full their option to purchase additional shares) at an assumed public offering price of $102.69 per common share, which was the last reported sale price of our common shares on The Nasdaq Global Market on January 22, 2021.</w:t>
      </w:r>
    </w:p>
    <w:p>
      <w:pPr>
        <w:spacing w:after="0" w:line="110" w:lineRule="exact"/>
        <w:rPr>
          <w:sz w:val="20"/>
          <w:szCs w:val="20"/>
          <w:color w:val="auto"/>
        </w:rPr>
      </w:pPr>
    </w:p>
    <w:p>
      <w:pPr>
        <w:ind w:left="1260" w:right="439" w:firstLine="648"/>
        <w:spacing w:after="0" w:line="239" w:lineRule="auto"/>
        <w:rPr>
          <w:sz w:val="20"/>
          <w:szCs w:val="20"/>
          <w:color w:val="auto"/>
        </w:rPr>
      </w:pPr>
      <w:r>
        <w:rPr>
          <w:rFonts w:ascii="Arial" w:cs="Arial" w:eastAsia="Arial" w:hAnsi="Arial"/>
          <w:sz w:val="18"/>
          <w:szCs w:val="18"/>
          <w:color w:val="auto"/>
        </w:rPr>
        <w:t>In addition, dievini (or its legal successor or permitted assigns under the KfW dievini Shareholders’ Agreement) has the right under our articles of association to make a binding nomination for the following number of supervisory directors until dievini (or its legal successors or permitted assigns under the KfW dievini Shareholders’ Agreement) and its affiliates as defined by our articles of association and ultimate beneficiaries as defined by our articles of association (individually or collectively) ceases to own at least 10% of our issued share capital or an earlier change of control over dievini (or its legal successor or permitted</w:t>
      </w:r>
    </w:p>
    <w:p>
      <w:pPr>
        <w:spacing w:after="0" w:line="38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6" w:name="page77"/>
    <w:bookmarkEnd w:id="7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61" w:lineRule="auto"/>
        <w:rPr>
          <w:sz w:val="20"/>
          <w:szCs w:val="20"/>
          <w:color w:val="auto"/>
        </w:rPr>
      </w:pPr>
      <w:r>
        <w:rPr>
          <w:rFonts w:ascii="Arial" w:cs="Arial" w:eastAsia="Arial" w:hAnsi="Arial"/>
          <w:sz w:val="18"/>
          <w:szCs w:val="18"/>
          <w:color w:val="auto"/>
        </w:rPr>
        <w:t>assigns under the KfW dievini Shareholders’ Agreement) as defined by our articles of association, which period we refer to as the initial nomination period for dievini:</w:t>
      </w:r>
    </w:p>
    <w:p>
      <w:pPr>
        <w:spacing w:after="0" w:line="63" w:lineRule="exact"/>
        <w:rPr>
          <w:sz w:val="20"/>
          <w:szCs w:val="20"/>
          <w:color w:val="auto"/>
        </w:rPr>
      </w:pPr>
    </w:p>
    <w:p>
      <w:pPr>
        <w:ind w:left="2260" w:right="499" w:hanging="352"/>
        <w:spacing w:after="0" w:line="259" w:lineRule="auto"/>
        <w:tabs>
          <w:tab w:leader="none" w:pos="2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four (4) supervisory directors for as long as dievini (or its legal successor or permitted assigns under the KfW dievini Shareholders’ Agreement) and its affiliates (as defined by our articles of association) and ultimate beneficiaries (as defined by our articles of association) (individually or collectively) owns at least 70% of our issued share capital;</w:t>
      </w:r>
    </w:p>
    <w:p>
      <w:pPr>
        <w:spacing w:after="0" w:line="78" w:lineRule="exact"/>
        <w:rPr>
          <w:rFonts w:ascii="Arial" w:cs="Arial" w:eastAsia="Arial" w:hAnsi="Arial"/>
          <w:sz w:val="18"/>
          <w:szCs w:val="18"/>
          <w:color w:val="auto"/>
        </w:rPr>
      </w:pPr>
    </w:p>
    <w:p>
      <w:pPr>
        <w:ind w:left="2260" w:right="439" w:hanging="352"/>
        <w:spacing w:after="0" w:line="279" w:lineRule="auto"/>
        <w:tabs>
          <w:tab w:leader="none" w:pos="22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three (3) supervisory directors for as long as dievini (or its legal successor or permitted assigns under the KfW dievini Shareholders’ Agreement) and its affiliates (as defined by our articles of association) and ultimate beneficiaries (as defined by our articles of association) (individually or collectively) owns at least 50% (but less than 70%) of our issued share capital;</w:t>
      </w:r>
    </w:p>
    <w:p>
      <w:pPr>
        <w:spacing w:after="0" w:line="63" w:lineRule="exact"/>
        <w:rPr>
          <w:rFonts w:ascii="Arial" w:cs="Arial" w:eastAsia="Arial" w:hAnsi="Arial"/>
          <w:sz w:val="17"/>
          <w:szCs w:val="17"/>
          <w:color w:val="auto"/>
        </w:rPr>
      </w:pPr>
    </w:p>
    <w:p>
      <w:pPr>
        <w:ind w:left="2260" w:right="539" w:hanging="352"/>
        <w:spacing w:after="0" w:line="271" w:lineRule="auto"/>
        <w:tabs>
          <w:tab w:leader="none" w:pos="22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two (2) supervisory directors for as long as dievini (or its legal successor or permitted assigns under the KfW dievini Shareholders’ Agreement) and its affiliates (as defined by our articles of association) and ultimate beneficiaries (as defined by our articles of association)</w:t>
      </w:r>
    </w:p>
    <w:p>
      <w:pPr>
        <w:ind w:left="2260" w:right="439"/>
        <w:spacing w:after="0" w:line="260" w:lineRule="auto"/>
        <w:rPr>
          <w:rFonts w:ascii="Arial" w:cs="Arial" w:eastAsia="Arial" w:hAnsi="Arial"/>
          <w:sz w:val="17"/>
          <w:szCs w:val="17"/>
          <w:color w:val="auto"/>
        </w:rPr>
      </w:pPr>
      <w:r>
        <w:rPr>
          <w:rFonts w:ascii="Arial" w:cs="Arial" w:eastAsia="Arial" w:hAnsi="Arial"/>
          <w:sz w:val="18"/>
          <w:szCs w:val="18"/>
          <w:color w:val="auto"/>
        </w:rPr>
        <w:t>(individually or collectively) owns at least 30% (but less than 50%) of our issued share capital; and</w:t>
      </w:r>
    </w:p>
    <w:p>
      <w:pPr>
        <w:spacing w:after="0" w:line="77" w:lineRule="exact"/>
        <w:rPr>
          <w:rFonts w:ascii="Arial" w:cs="Arial" w:eastAsia="Arial" w:hAnsi="Arial"/>
          <w:sz w:val="17"/>
          <w:szCs w:val="17"/>
          <w:color w:val="auto"/>
        </w:rPr>
      </w:pPr>
    </w:p>
    <w:p>
      <w:pPr>
        <w:jc w:val="both"/>
        <w:ind w:left="2260" w:right="599" w:hanging="352"/>
        <w:spacing w:after="0" w:line="271" w:lineRule="auto"/>
        <w:tabs>
          <w:tab w:leader="none" w:pos="22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one (1) supervisory director for as long as dievini (or its legal successor or permitted assigns under the KfW dievini Shareholders’ Agreement) and its affiliates (as defined by our articles of association) and ultimate beneficiaries (as defined by our articles of association)</w:t>
      </w:r>
    </w:p>
    <w:p>
      <w:pPr>
        <w:ind w:left="2260"/>
        <w:spacing w:after="0"/>
        <w:rPr>
          <w:rFonts w:ascii="Arial" w:cs="Arial" w:eastAsia="Arial" w:hAnsi="Arial"/>
          <w:sz w:val="17"/>
          <w:szCs w:val="17"/>
          <w:color w:val="auto"/>
        </w:rPr>
      </w:pPr>
      <w:r>
        <w:rPr>
          <w:rFonts w:ascii="Arial" w:cs="Arial" w:eastAsia="Arial" w:hAnsi="Arial"/>
          <w:sz w:val="17"/>
          <w:szCs w:val="17"/>
          <w:color w:val="auto"/>
        </w:rPr>
        <w:t>(individually or collectively) owns at least 10% (but less than 30%) of our issued share capital.</w:t>
      </w:r>
    </w:p>
    <w:p>
      <w:pPr>
        <w:spacing w:after="0" w:line="141" w:lineRule="exact"/>
        <w:rPr>
          <w:sz w:val="20"/>
          <w:szCs w:val="20"/>
          <w:color w:val="auto"/>
        </w:rPr>
      </w:pPr>
    </w:p>
    <w:p>
      <w:pPr>
        <w:ind w:left="1260" w:right="419" w:firstLine="648"/>
        <w:spacing w:after="0" w:line="237" w:lineRule="auto"/>
        <w:rPr>
          <w:sz w:val="20"/>
          <w:szCs w:val="20"/>
          <w:color w:val="auto"/>
        </w:rPr>
      </w:pPr>
      <w:r>
        <w:rPr>
          <w:rFonts w:ascii="Arial" w:cs="Arial" w:eastAsia="Arial" w:hAnsi="Arial"/>
          <w:sz w:val="18"/>
          <w:szCs w:val="18"/>
          <w:color w:val="auto"/>
        </w:rPr>
        <w:t>Dievini and Mr. Dietmar Hopp may be able to significantly influence all matters requiring shareholder approval. Even when dievini ceases to own common shares representing a majority of the total voting power, for so long as dievini continues to own a significant percentage of our common shares, dievini will still be able to significantly influence the composition of our supervisory board and the approval of actions requiring shareholder approval. Accordingly, for such period of time, dievini will continue to have significant influence with respect to our management, business plans and policies, including the appointment and removal of our managing directors, decisions on whether to raise future capital and amending our organizational documents, which govern the rights attached to our common shares. In particular, for so long as dievini continues to own a significant percentage of common shares, it will be able to cause or prevent a change of control of us or a change in the composition of our supervisory board and could preclude any unsolicited acquisition of us.</w:t>
      </w:r>
    </w:p>
    <w:p>
      <w:pPr>
        <w:spacing w:after="0" w:line="128" w:lineRule="exact"/>
        <w:rPr>
          <w:sz w:val="20"/>
          <w:szCs w:val="20"/>
          <w:color w:val="auto"/>
        </w:rPr>
      </w:pPr>
    </w:p>
    <w:p>
      <w:pPr>
        <w:ind w:left="1260" w:right="519" w:firstLine="648"/>
        <w:spacing w:after="0" w:line="269" w:lineRule="auto"/>
        <w:rPr>
          <w:sz w:val="20"/>
          <w:szCs w:val="20"/>
          <w:color w:val="auto"/>
        </w:rPr>
      </w:pPr>
      <w:r>
        <w:rPr>
          <w:rFonts w:ascii="Arial" w:cs="Arial" w:eastAsia="Arial" w:hAnsi="Arial"/>
          <w:sz w:val="17"/>
          <w:szCs w:val="17"/>
          <w:color w:val="auto"/>
        </w:rPr>
        <w:t>In addition, KfW (or its legal successor or permitted assigns under the KfW dievini Shareholders’ Agreement) has the right, and has exercised the right under our articles of association, the KfW dievini Shareholders’ Agreement and the ISA to make a binding nomination for one (1) supervisory director until KfW or any KfW affiliates as defined by our articles of association (individually or together with any other KfW affiliate) ceases to own at least 10% of our issued share capital, which period we refer to as the initial nomination period for KfW. Certain decisions require, and cannot be taken without, a resolution of our supervisory board that the KfW nominee, and a dievini nominee, have approved. These relate in particular to the location within the European Union of certain of our activities. The KfW dievini Shareholders’ Agreement includes provisions relating to voting together and in a coordinated fashion on certain specified matters as further described under “Related Party Transactions.”</w:t>
      </w:r>
    </w:p>
    <w:p>
      <w:pPr>
        <w:spacing w:after="0" w:line="118" w:lineRule="exact"/>
        <w:rPr>
          <w:sz w:val="20"/>
          <w:szCs w:val="20"/>
          <w:color w:val="auto"/>
        </w:rPr>
      </w:pPr>
    </w:p>
    <w:p>
      <w:pPr>
        <w:ind w:left="1260" w:right="479" w:firstLine="648"/>
        <w:spacing w:after="0" w:line="275" w:lineRule="auto"/>
        <w:rPr>
          <w:sz w:val="20"/>
          <w:szCs w:val="20"/>
          <w:color w:val="auto"/>
        </w:rPr>
      </w:pPr>
      <w:r>
        <w:rPr>
          <w:rFonts w:ascii="Arial" w:cs="Arial" w:eastAsia="Arial" w:hAnsi="Arial"/>
          <w:sz w:val="17"/>
          <w:szCs w:val="17"/>
          <w:color w:val="auto"/>
        </w:rPr>
        <w:t>The concentration of ownership and these nomination rights could deprive you of an opportunity to receive a premium for your common shares as part of a sale of us and ultimately might affect the market price of our common shares. In addition, the concentration of voting power and these nomination rights could delay or prevent an acquisition of our company on terms that other shareholders may desire or result in the management of our company in ways with which other shareholders disagree.</w:t>
      </w:r>
    </w:p>
    <w:p>
      <w:pPr>
        <w:spacing w:after="0" w:line="176" w:lineRule="exact"/>
        <w:rPr>
          <w:sz w:val="20"/>
          <w:szCs w:val="20"/>
          <w:color w:val="auto"/>
        </w:rPr>
      </w:pPr>
    </w:p>
    <w:p>
      <w:pPr>
        <w:ind w:left="1260" w:right="559"/>
        <w:spacing w:after="0" w:line="259" w:lineRule="auto"/>
        <w:rPr>
          <w:sz w:val="20"/>
          <w:szCs w:val="20"/>
          <w:color w:val="auto"/>
        </w:rPr>
      </w:pPr>
      <w:r>
        <w:rPr>
          <w:rFonts w:ascii="Arial" w:cs="Arial" w:eastAsia="Arial" w:hAnsi="Arial"/>
          <w:sz w:val="18"/>
          <w:szCs w:val="18"/>
          <w:b w:val="1"/>
          <w:bCs w:val="1"/>
          <w:i w:val="1"/>
          <w:iCs w:val="1"/>
          <w:color w:val="auto"/>
        </w:rPr>
        <w:t>We may be required to redeem for cash all, or to facilitate the purchase by a third party of all, the shares of us held by the Bill &amp; Melinda Gates Foundation as per the date of the ISA if we default under the Global Access Agreement, which could have an adverse impact on us and limit our ability to make distributions to our shareholders.</w:t>
      </w:r>
    </w:p>
    <w:p>
      <w:pPr>
        <w:spacing w:after="0" w:line="106" w:lineRule="exact"/>
        <w:rPr>
          <w:sz w:val="20"/>
          <w:szCs w:val="20"/>
          <w:color w:val="auto"/>
        </w:rPr>
      </w:pPr>
    </w:p>
    <w:p>
      <w:pPr>
        <w:ind w:left="1260" w:right="959" w:firstLine="648"/>
        <w:spacing w:after="0" w:line="308" w:lineRule="auto"/>
        <w:rPr>
          <w:sz w:val="20"/>
          <w:szCs w:val="20"/>
          <w:color w:val="auto"/>
        </w:rPr>
      </w:pPr>
      <w:r>
        <w:rPr>
          <w:rFonts w:ascii="Arial" w:cs="Arial" w:eastAsia="Arial" w:hAnsi="Arial"/>
          <w:sz w:val="17"/>
          <w:szCs w:val="17"/>
          <w:color w:val="auto"/>
        </w:rPr>
        <w:t>We entered into a Global Access Agreement with our shareholder, the Bill &amp; Melinda Gates Foundation, in February 2015 pursuant to which we are required to take certain actions to support the</w:t>
      </w:r>
    </w:p>
    <w:p>
      <w:pPr>
        <w:sectPr>
          <w:pgSz w:w="11900" w:h="16838" w:orient="portrait"/>
          <w:cols w:equalWidth="0" w:num="1">
            <w:col w:w="9879"/>
          </w:cols>
          <w:pgMar w:left="580" w:top="131" w:right="1440" w:bottom="1440" w:gutter="0" w:footer="0" w:header="0"/>
        </w:sectPr>
      </w:pPr>
    </w:p>
    <w:p>
      <w:pPr>
        <w:spacing w:after="0" w:line="33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7" w:name="page78"/>
    <w:bookmarkEnd w:id="7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19"/>
        <w:spacing w:after="0" w:line="251" w:lineRule="auto"/>
        <w:rPr>
          <w:sz w:val="20"/>
          <w:szCs w:val="20"/>
          <w:color w:val="auto"/>
        </w:rPr>
      </w:pPr>
      <w:r>
        <w:rPr>
          <w:rFonts w:ascii="Arial" w:cs="Arial" w:eastAsia="Arial" w:hAnsi="Arial"/>
          <w:sz w:val="17"/>
          <w:szCs w:val="17"/>
          <w:color w:val="auto"/>
        </w:rPr>
        <w:t>Bill &amp; Melinda Gates Foundation’s mission. In the event that we commit a material breach of the Global Access Agreement or certain provisions of the ISA, following a cure period, we may be required to redeem for cash all, or to facilitate the purchase by a third party of all, the shares of our company held by the Bill &amp; Melinda Gates Foundation as per the date of the ISA at certain terms that may not be favorable to us. If this occurs, cash used for this purpose may, adversely affect our liquidity, cause us to reduce expenditures in other areas of our business, or curtail our growth plans. If we do not have sufficient cash on hand to purchase the shares, we would have to seek financing alternatives in order to meet our obligations, and there is no certainty that financing would be available on reasonable terms or at all. For the period that we are unable to redeem the shares held by the Bill &amp; Melinda Gates Foundation or arrange for a third party to purchase such shares, we will generally not be allowed to pay dividends, redeem the shares of any other shareholder or otherwise make any other distribution to any of our shareholders in connection with their shares. Therefore, meeting this purchase obligation, if necessary, could have a material adverse effect on our business and financial results. For more information on the Bill &amp; Melinda Gates Foundation’s withdrawal rights, see “Related Party Transactions — Investment and Shareholders’ Agreement.”</w:t>
      </w:r>
    </w:p>
    <w:p>
      <w:pPr>
        <w:spacing w:after="0" w:line="189" w:lineRule="exact"/>
        <w:rPr>
          <w:sz w:val="20"/>
          <w:szCs w:val="20"/>
          <w:color w:val="auto"/>
        </w:rPr>
      </w:pPr>
    </w:p>
    <w:p>
      <w:pPr>
        <w:ind w:left="1260" w:right="459"/>
        <w:spacing w:after="0" w:line="261" w:lineRule="auto"/>
        <w:rPr>
          <w:sz w:val="20"/>
          <w:szCs w:val="20"/>
          <w:color w:val="auto"/>
        </w:rPr>
      </w:pPr>
      <w:r>
        <w:rPr>
          <w:rFonts w:ascii="Arial" w:cs="Arial" w:eastAsia="Arial" w:hAnsi="Arial"/>
          <w:sz w:val="18"/>
          <w:szCs w:val="18"/>
          <w:b w:val="1"/>
          <w:bCs w:val="1"/>
          <w:i w:val="1"/>
          <w:iCs w:val="1"/>
          <w:color w:val="auto"/>
        </w:rPr>
        <w:t>Transformation into a public company may continue to increase our costs and disrupt the regular operations of our business.</w:t>
      </w:r>
    </w:p>
    <w:p>
      <w:pPr>
        <w:spacing w:after="0" w:line="103" w:lineRule="exact"/>
        <w:rPr>
          <w:sz w:val="20"/>
          <w:szCs w:val="20"/>
          <w:color w:val="auto"/>
        </w:rPr>
      </w:pPr>
    </w:p>
    <w:p>
      <w:pPr>
        <w:ind w:left="1260" w:right="499" w:firstLine="648"/>
        <w:spacing w:after="0" w:line="243" w:lineRule="auto"/>
        <w:rPr>
          <w:sz w:val="20"/>
          <w:szCs w:val="20"/>
          <w:color w:val="auto"/>
        </w:rPr>
      </w:pPr>
      <w:r>
        <w:rPr>
          <w:rFonts w:ascii="Arial" w:cs="Arial" w:eastAsia="Arial" w:hAnsi="Arial"/>
          <w:sz w:val="18"/>
          <w:szCs w:val="18"/>
          <w:color w:val="auto"/>
        </w:rPr>
        <w:t>In August 2020, we completed our initial public offering. After the completion of our initial public offering we incurred and expect to continue to incur, including, but not limited to, costs and expenses for managing directors’ and supervisory directors’ fees, increased directors and officers insurance, investor relations, and various other costs of a public company.</w:t>
      </w:r>
    </w:p>
    <w:p>
      <w:pPr>
        <w:spacing w:after="0" w:line="120" w:lineRule="exact"/>
        <w:rPr>
          <w:sz w:val="20"/>
          <w:szCs w:val="20"/>
          <w:color w:val="auto"/>
        </w:rPr>
      </w:pPr>
    </w:p>
    <w:p>
      <w:pPr>
        <w:ind w:left="1260" w:right="419" w:firstLine="648"/>
        <w:spacing w:after="0" w:line="252" w:lineRule="auto"/>
        <w:rPr>
          <w:sz w:val="20"/>
          <w:szCs w:val="20"/>
          <w:color w:val="auto"/>
        </w:rPr>
      </w:pPr>
      <w:r>
        <w:rPr>
          <w:rFonts w:ascii="Arial" w:cs="Arial" w:eastAsia="Arial" w:hAnsi="Arial"/>
          <w:sz w:val="17"/>
          <w:szCs w:val="17"/>
          <w:color w:val="auto"/>
        </w:rPr>
        <w:t>We also anticipate that we will continue to incur increasing costs associated with corporate governance requirements, including requirements under the Sarbanes-Oxley Act of 2002, as amended, or the Sarbanes-Oxley Act, as well as rules implemented by the SEC and Nasdaq. We expect these rules and regulations to continue to increase our legal and financial compliance costs and make some management and corporate governance activities more time -consuming and costly, particularly after we are no longer an “emerging growth company.” These rules and regulations may make it more difficult and more expensive for us to obtain director and officer liability insurance, and we may be required to accept reduced policy limits and coverage or incur substantially higher costs to obtain the same or similar coverage. This could have an adverse impact on our ability to retain, recruit and bring on a qualified independent supervisory board. We expect that the additional costs we will incur as a public company, including costs associated with corporate governance requirements, will be considerable relative to our costs as a private company.</w:t>
      </w:r>
    </w:p>
    <w:p>
      <w:pPr>
        <w:spacing w:after="0" w:line="105" w:lineRule="exact"/>
        <w:rPr>
          <w:sz w:val="20"/>
          <w:szCs w:val="20"/>
          <w:color w:val="auto"/>
        </w:rPr>
      </w:pPr>
    </w:p>
    <w:p>
      <w:pPr>
        <w:ind w:left="1260" w:right="539" w:firstLine="648"/>
        <w:spacing w:after="0"/>
        <w:rPr>
          <w:sz w:val="20"/>
          <w:szCs w:val="20"/>
          <w:color w:val="auto"/>
        </w:rPr>
      </w:pPr>
      <w:r>
        <w:rPr>
          <w:rFonts w:ascii="Arial" w:cs="Arial" w:eastAsia="Arial" w:hAnsi="Arial"/>
          <w:sz w:val="18"/>
          <w:szCs w:val="18"/>
          <w:color w:val="auto"/>
        </w:rPr>
        <w:t>The additional demands associated with being a public company may disrupt regular operations of our business by diverting the attention of some of our senior management team away from revenue producing activities to management and administrative oversight, adversely affecting our ability to attract and complete business opportunities and increasing the difficulty in both retaining professionals and managing and growing our businesses. Any of these effects could harm our business, financial condition and results of operations.</w:t>
      </w:r>
    </w:p>
    <w:p>
      <w:pPr>
        <w:spacing w:after="0" w:line="122" w:lineRule="exact"/>
        <w:rPr>
          <w:sz w:val="20"/>
          <w:szCs w:val="20"/>
          <w:color w:val="auto"/>
        </w:rPr>
      </w:pPr>
    </w:p>
    <w:p>
      <w:pPr>
        <w:ind w:left="1260" w:right="479" w:firstLine="648"/>
        <w:spacing w:after="0" w:line="251" w:lineRule="auto"/>
        <w:rPr>
          <w:sz w:val="20"/>
          <w:szCs w:val="20"/>
          <w:color w:val="auto"/>
        </w:rPr>
      </w:pPr>
      <w:r>
        <w:rPr>
          <w:rFonts w:ascii="Arial" w:cs="Arial" w:eastAsia="Arial" w:hAnsi="Arial"/>
          <w:sz w:val="17"/>
          <w:szCs w:val="17"/>
          <w:color w:val="auto"/>
        </w:rPr>
        <w:t>For as long as we are an “emerging growth company” under the recently enacted JOBS Act, our independent registered public accounting firm will not be required to attest to the effectiveness of our internal control over financial reporting pursuant to Section 404 of the Sarbanes-Oxley Act. We could be an emerging growth company for up to five years. See “Prospectus Summary — Implications of Being an Emerging Growth Company.” Furthermore, after the date we are no longer an emerging growth company, our independent registered public accounting firm will only be required to attest to the effectiveness of our internal control over financial reporting depending on our market capitalization. Even if our management concludes that our internal controls over financial reporting are effective, our independent registered public accounting firm may issue a report that is qualified if it is not satisfied with our controls or the level at which our controls are documented, designed, operated or reviewed, or if it interprets the relevant requirements differently from us. In addition, in connection with the implementation of the necessary procedures and practices related to internal control over financial reporting, we may identify deficiencies that we may not be able to remediate in time to meet the deadline imposed by the Sarbanes-Oxley Act for compliance with the requirements of Section 404. Failure to comply with Section 404 could subject us to regulatory scrutiny and sanctions, impair our ability to raise capital, cause investors to lose confidence in the accuracy and completeness of our financial reports and negatively affect our share price.</w:t>
      </w: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8" w:name="page79"/>
    <w:bookmarkEnd w:id="7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579"/>
        <w:spacing w:after="0" w:line="248" w:lineRule="auto"/>
        <w:rPr>
          <w:sz w:val="20"/>
          <w:szCs w:val="20"/>
          <w:color w:val="auto"/>
        </w:rPr>
      </w:pPr>
      <w:r>
        <w:rPr>
          <w:rFonts w:ascii="Arial" w:cs="Arial" w:eastAsia="Arial" w:hAnsi="Arial"/>
          <w:sz w:val="18"/>
          <w:szCs w:val="18"/>
          <w:b w:val="1"/>
          <w:bCs w:val="1"/>
          <w:i w:val="1"/>
          <w:iCs w:val="1"/>
          <w:color w:val="auto"/>
        </w:rPr>
        <w:t>We are a foreign private issuer and, as a result, we are not subject to U.S. proxy rules and are subject to Exchange Act reporting obligations that, to some extent, are more lenient and less frequent than those of a U.S. domestic public company.</w:t>
      </w:r>
    </w:p>
    <w:p>
      <w:pPr>
        <w:spacing w:after="0" w:line="114" w:lineRule="exact"/>
        <w:rPr>
          <w:sz w:val="20"/>
          <w:szCs w:val="20"/>
          <w:color w:val="auto"/>
        </w:rPr>
      </w:pPr>
    </w:p>
    <w:p>
      <w:pPr>
        <w:ind w:left="1260" w:right="439" w:firstLine="648"/>
        <w:spacing w:after="0" w:line="251" w:lineRule="auto"/>
        <w:rPr>
          <w:sz w:val="20"/>
          <w:szCs w:val="20"/>
          <w:color w:val="auto"/>
        </w:rPr>
      </w:pPr>
      <w:r>
        <w:rPr>
          <w:rFonts w:ascii="Arial" w:cs="Arial" w:eastAsia="Arial" w:hAnsi="Arial"/>
          <w:sz w:val="17"/>
          <w:szCs w:val="17"/>
          <w:color w:val="auto"/>
        </w:rPr>
        <w:t>We report under the Securities Exchange Act of 1934, as amended, or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share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fiscal year, while U.S. domestic issuers that 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87" w:lineRule="exact"/>
        <w:rPr>
          <w:sz w:val="20"/>
          <w:szCs w:val="20"/>
          <w:color w:val="auto"/>
        </w:rPr>
      </w:pPr>
    </w:p>
    <w:p>
      <w:pPr>
        <w:ind w:left="1260" w:right="919"/>
        <w:spacing w:after="0" w:line="362" w:lineRule="auto"/>
        <w:rPr>
          <w:sz w:val="20"/>
          <w:szCs w:val="20"/>
          <w:color w:val="auto"/>
        </w:rPr>
      </w:pPr>
      <w:r>
        <w:rPr>
          <w:rFonts w:ascii="Arial" w:cs="Arial" w:eastAsia="Arial" w:hAnsi="Arial"/>
          <w:sz w:val="15"/>
          <w:szCs w:val="15"/>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33" w:lineRule="exact"/>
        <w:rPr>
          <w:sz w:val="20"/>
          <w:szCs w:val="20"/>
          <w:color w:val="auto"/>
        </w:rPr>
      </w:pPr>
    </w:p>
    <w:p>
      <w:pPr>
        <w:ind w:left="1260" w:right="459" w:firstLine="648"/>
        <w:spacing w:after="0" w:line="251" w:lineRule="auto"/>
        <w:rPr>
          <w:sz w:val="20"/>
          <w:szCs w:val="20"/>
          <w:color w:val="auto"/>
        </w:rPr>
      </w:pPr>
      <w:r>
        <w:rPr>
          <w:rFonts w:ascii="Arial" w:cs="Arial" w:eastAsia="Arial" w:hAnsi="Arial"/>
          <w:sz w:val="17"/>
          <w:szCs w:val="17"/>
          <w:color w:val="auto"/>
        </w:rPr>
        <w:t>We are a foreign private issuer and therefore we are not required to comply with all of the periodic disclosure and current reporting requirements of the Exchange Act applicable to U.S. domestic issuers. If in the future we are not a foreign private issuer as of the last day of the second fiscal quarter in any fiscal year, we would be required to comply with all of the periodic disclosure, current reporting requirements and proxy solicitation rules of the Exchange Act applicable to U.S. domestic issuers. In order to maintain our current status as a foreign private issuer, either (a) a majority of our common shares must be either directly or indirectly owned of record by non-residents of the United States or (b)(i) a majority of our managing directors, supervisory directors and executive officers may not be United States citizens or residents,</w:t>
      </w:r>
    </w:p>
    <w:p>
      <w:pPr>
        <w:spacing w:after="0" w:line="1" w:lineRule="exact"/>
        <w:rPr>
          <w:sz w:val="20"/>
          <w:szCs w:val="20"/>
          <w:color w:val="auto"/>
        </w:rPr>
      </w:pPr>
    </w:p>
    <w:p>
      <w:pPr>
        <w:ind w:left="1260" w:right="479"/>
        <w:spacing w:after="0" w:line="236" w:lineRule="auto"/>
        <w:tabs>
          <w:tab w:leader="none" w:pos="1543" w:val="left"/>
        </w:tabs>
        <w:numPr>
          <w:ilvl w:val="0"/>
          <w:numId w:val="56"/>
        </w:numPr>
        <w:rPr>
          <w:rFonts w:ascii="Arial" w:cs="Arial" w:eastAsia="Arial" w:hAnsi="Arial"/>
          <w:sz w:val="18"/>
          <w:szCs w:val="18"/>
          <w:color w:val="auto"/>
        </w:rPr>
      </w:pPr>
      <w:r>
        <w:rPr>
          <w:rFonts w:ascii="Arial" w:cs="Arial" w:eastAsia="Arial" w:hAnsi="Arial"/>
          <w:sz w:val="18"/>
          <w:szCs w:val="18"/>
          <w:color w:val="auto"/>
        </w:rPr>
        <w:t>more than 50% of our assets cannot be located in the United States and (iii) our business must be administered principally outside the United States. If we were to lose this status,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stock exchange rules. The regulatory and compliance costs to us if we are required to comply with the reporting requirements applicable to a U.S. domestic issuer may be significantly higher than the costs we would incur as a foreign private issuer. As a result, we expect that a loss of foreign private issuer status would increase our legal and financial compliance costs and would make some activities highly time consuming and costly. These rules and regulations could also make it more difficult for us to attract and retain qualified managing directors and supervisory directors.</w:t>
      </w:r>
    </w:p>
    <w:p>
      <w:pPr>
        <w:spacing w:after="0" w:line="189" w:lineRule="exact"/>
        <w:rPr>
          <w:sz w:val="20"/>
          <w:szCs w:val="20"/>
          <w:color w:val="auto"/>
        </w:rPr>
      </w:pPr>
    </w:p>
    <w:p>
      <w:pPr>
        <w:ind w:left="1260" w:right="559"/>
        <w:spacing w:after="0" w:line="324" w:lineRule="auto"/>
        <w:rPr>
          <w:sz w:val="20"/>
          <w:szCs w:val="20"/>
          <w:color w:val="auto"/>
        </w:rPr>
      </w:pPr>
      <w:r>
        <w:rPr>
          <w:rFonts w:ascii="Arial" w:cs="Arial" w:eastAsia="Arial" w:hAnsi="Arial"/>
          <w:sz w:val="16"/>
          <w:szCs w:val="16"/>
          <w:b w:val="1"/>
          <w:bCs w:val="1"/>
          <w:i w:val="1"/>
          <w:iCs w:val="1"/>
          <w:color w:val="auto"/>
        </w:rPr>
        <w:t>As a foreign private issuer and as permitted by the listing requirements of Nasdaq, we follow certain home country governance practices rather than the corporate governance requirements of Nasdaq.</w:t>
      </w:r>
    </w:p>
    <w:p>
      <w:pPr>
        <w:spacing w:after="0" w:line="43" w:lineRule="exact"/>
        <w:rPr>
          <w:sz w:val="20"/>
          <w:szCs w:val="20"/>
          <w:color w:val="auto"/>
        </w:rPr>
      </w:pPr>
    </w:p>
    <w:p>
      <w:pPr>
        <w:ind w:left="1260" w:right="459" w:firstLine="648"/>
        <w:spacing w:after="0" w:line="237" w:lineRule="auto"/>
        <w:rPr>
          <w:sz w:val="20"/>
          <w:szCs w:val="20"/>
          <w:color w:val="auto"/>
        </w:rPr>
      </w:pPr>
      <w:r>
        <w:rPr>
          <w:rFonts w:ascii="Arial" w:cs="Arial" w:eastAsia="Arial" w:hAnsi="Arial"/>
          <w:sz w:val="18"/>
          <w:szCs w:val="18"/>
          <w:color w:val="auto"/>
        </w:rPr>
        <w:t>We are a foreign private issuer. As a result, in accordance with the listing requirements of Nasdaq we rely on home country governance requirements and certain exemptions thereunder rather than relying on the corporate governance requirements of Nasdaq. In accordance with Dutch law and generally accepted business practices, our articles of association do not provide quorum requirements generally applicable to general meetings. To this extent, our practice varies from the requirement of Nasdaq Listing Rule 5620(c), which requires an issuer to provide in its bylaws for a generally applicable quorum, and that such quorum may not be less than one- third of the outstanding voting shares. Although we must provide shareholders with an agenda and other relevant documents for the general meeting, Dutch law does not have a regulatory regime for the solicitation of proxies and the solicitation of proxies is not a generally accepted business practice in the Netherlands, thus our practice varies from the requirement of Nasdaq Listing Rule 5620(b). As permitted by the listing requirements of Nasdaq, we have also opted out of the requirements of Nasdaq Listing</w:t>
      </w:r>
    </w:p>
    <w:p>
      <w:pPr>
        <w:spacing w:after="0" w:line="38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9" w:name="page80"/>
    <w:bookmarkEnd w:id="7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19"/>
        <w:spacing w:after="0" w:line="251" w:lineRule="auto"/>
        <w:rPr>
          <w:sz w:val="20"/>
          <w:szCs w:val="20"/>
          <w:color w:val="auto"/>
        </w:rPr>
      </w:pPr>
      <w:r>
        <w:rPr>
          <w:rFonts w:ascii="Arial" w:cs="Arial" w:eastAsia="Arial" w:hAnsi="Arial"/>
          <w:sz w:val="17"/>
          <w:szCs w:val="17"/>
          <w:color w:val="auto"/>
        </w:rPr>
        <w:t>Rule 5605(d), which requires, among other things, an issuer to have a compensation committee that consists entirely of independent directors, Nasdaq Listing Rule 5605(e), which requires independent director oversight of director nominations, and Nasdaq Listing Rule 5605(b)(1), which requires an issuer to have a majority of independent directors on its board. We also rely on the phase-in rules of the SEC and Nasdaq with respect to the independence of our audit committee. These rules require that a majority of our supervisory directors must be independent and all members of our audit committee must meet the independence standard for audit committee members within one year of the effectiveness of the registration statement of which this prospectus forms a part. In addition, we have opted out of shareholder approval requirements, as included in the Nasdaq Listing Rules, for the issuance of securities in connection with certain events such as the acquisition of shares or assets of another company, the establishment of or amendments to equity-based compensation plans for employees, a change of control of our company and certain private placements. To this extent, our practice varies from the requirements of Nasdaq Rule 5635, which generally requires an issuer to obtain shareholder approval for the issuance of securities in connection with such events. For an overview of our corporate governance principles, see “Description of Share Capital and Articles of Association.” Accordingly, you may not have the same protections afforded to shareholders of companies that are subject to these Nasdaq requirements.</w:t>
      </w:r>
    </w:p>
    <w:p>
      <w:pPr>
        <w:spacing w:after="0" w:line="185" w:lineRule="exact"/>
        <w:rPr>
          <w:sz w:val="20"/>
          <w:szCs w:val="20"/>
          <w:color w:val="auto"/>
        </w:rPr>
      </w:pPr>
    </w:p>
    <w:p>
      <w:pPr>
        <w:ind w:left="1260" w:right="479"/>
        <w:spacing w:after="0" w:line="276" w:lineRule="auto"/>
        <w:rPr>
          <w:sz w:val="20"/>
          <w:szCs w:val="20"/>
          <w:color w:val="auto"/>
        </w:rPr>
      </w:pPr>
      <w:r>
        <w:rPr>
          <w:rFonts w:ascii="Arial" w:cs="Arial" w:eastAsia="Arial" w:hAnsi="Arial"/>
          <w:sz w:val="16"/>
          <w:szCs w:val="16"/>
          <w:b w:val="1"/>
          <w:bCs w:val="1"/>
          <w:i w:val="1"/>
          <w:iCs w:val="1"/>
          <w:color w:val="auto"/>
        </w:rPr>
        <w:t>Although we do not believe that we were a “passive foreign investment company,” or a PFIC, for U.S. federal income tax purposes for our 2020 taxable year, no assurance can be given in this regard, as a determination of our PFIC status is a fact-intensive one, made after the end of the applicable taxable year, and our 2020 taxable year ended only recently. Moreover, we have not yet determined our expected PFIC status for the current taxable year or any future taxable year. A U.S. holder of common shares may suffer adverse U.S. federal income tax consequences if we are a PFIC for any taxable year.</w:t>
      </w:r>
    </w:p>
    <w:p>
      <w:pPr>
        <w:spacing w:after="0" w:line="94" w:lineRule="exact"/>
        <w:rPr>
          <w:sz w:val="20"/>
          <w:szCs w:val="20"/>
          <w:color w:val="auto"/>
        </w:rPr>
      </w:pPr>
    </w:p>
    <w:p>
      <w:pPr>
        <w:ind w:left="1260" w:right="419" w:firstLine="648"/>
        <w:spacing w:after="0" w:line="251" w:lineRule="auto"/>
        <w:rPr>
          <w:sz w:val="20"/>
          <w:szCs w:val="20"/>
          <w:color w:val="auto"/>
        </w:rPr>
      </w:pPr>
      <w:r>
        <w:rPr>
          <w:rFonts w:ascii="Arial" w:cs="Arial" w:eastAsia="Arial" w:hAnsi="Arial"/>
          <w:sz w:val="17"/>
          <w:szCs w:val="17"/>
          <w:color w:val="auto"/>
        </w:rPr>
        <w:t>Under the Internal Revenue Code of 1986, as amended, or the Code, we will generally be a PFIC for any taxable year in which, after the application of certain look-through rules with respect to subsidiaries, either (i) 75% or more of our gross income consists of “passive income,” or (ii) 50% or more of the average quarterly value of our assets consists of assets that produce, or are held for the production of, “passive income.” Passive income generally includes dividends, interest, certain non-active rents and royalties, and capital gains. The value of a non- U.S. corporation’s goodwill that is associated with activities that produce or are intended to produce active income is generally an active asset for purposes of the asset test unless, for U.S. federal income tax purposes, the non-U.S. corporation is a “controlled foreign corporation” (CFC) that is not publicly traded “for the taxable year.” If a non-U.S. corporation is a CFC that is not publicly traded for the taxable year, its PFIC status under the asset test is determined by using the U.S. tax basis of its assets rather than their fair market value and therefore the market value of its goodwill is generally disregarded. Generally, a non-U.S. corporation is a CFC if more than 50% of its shares’ voting power or value is owned, directly, indirectly or constructively, by “United States shareholders” (as defined in Section 951(b) of the Code) . Although it is not certain, we may be or may have been a CFC in the 2020 taxable year. However, under recently promulgated Treasury regulations, the fair market value of our assets (including goodwill) can be used for purposes of the asset test provided that (i) we are publicly traded on the majority of days during our taxable year or (ii) we would not be a CFC if certain constructive ownership rules were not applied. We believe, and the remainder of this discussion assumes, that we are eligible to use the fair market value of our assets for purposes of the asset test for our 2020 taxable year.</w:t>
      </w:r>
    </w:p>
    <w:p>
      <w:pPr>
        <w:spacing w:after="0" w:line="112" w:lineRule="exact"/>
        <w:rPr>
          <w:sz w:val="20"/>
          <w:szCs w:val="20"/>
          <w:color w:val="auto"/>
        </w:rPr>
      </w:pPr>
    </w:p>
    <w:p>
      <w:pPr>
        <w:ind w:left="1260" w:right="439" w:firstLine="648"/>
        <w:spacing w:after="0" w:line="253" w:lineRule="auto"/>
        <w:rPr>
          <w:sz w:val="20"/>
          <w:szCs w:val="20"/>
          <w:color w:val="auto"/>
        </w:rPr>
      </w:pPr>
      <w:r>
        <w:rPr>
          <w:rFonts w:ascii="Arial" w:cs="Arial" w:eastAsia="Arial" w:hAnsi="Arial"/>
          <w:sz w:val="17"/>
          <w:szCs w:val="17"/>
          <w:color w:val="auto"/>
        </w:rPr>
        <w:t>Based on the composition of our income and assets during 2020, we do not believe that we were a PFIC for our 2020 taxable year. However, PFIC status is a fact-intensive determination made on an annual basis after the end of each taxable year, and we have not yet determined our PFIC status for our 2020 taxable year or our expected PFIC status for the current taxable year or any future taxable year. Whether we will be a PFIC in 2021 or any future year is uncertain because, among other things, (i) we currently own, and will own after the closing of this offering, a substantial amount of passive assets, including cash, (ii) the valuation of our assets that generate non-passive income for PFIC purposes, including our intangible assets, is uncertain and may vary substantially over time, (iii) the treatment of grants as income for U.S. federal income tax purposes is unclear, and (iv) the composition of our income may vary substantially over time. Accordingly, there can be no assurance that we will not be a PFIC in 2021 or any future taxable year.</w:t>
      </w:r>
    </w:p>
    <w:p>
      <w:pPr>
        <w:spacing w:after="0" w:line="99" w:lineRule="exact"/>
        <w:rPr>
          <w:sz w:val="20"/>
          <w:szCs w:val="20"/>
          <w:color w:val="auto"/>
        </w:rPr>
      </w:pPr>
    </w:p>
    <w:p>
      <w:pPr>
        <w:ind w:left="1260" w:right="559" w:firstLine="648"/>
        <w:spacing w:after="0" w:line="291" w:lineRule="auto"/>
        <w:rPr>
          <w:sz w:val="20"/>
          <w:szCs w:val="20"/>
          <w:color w:val="auto"/>
        </w:rPr>
      </w:pPr>
      <w:r>
        <w:rPr>
          <w:rFonts w:ascii="Arial" w:cs="Arial" w:eastAsia="Arial" w:hAnsi="Arial"/>
          <w:sz w:val="17"/>
          <w:szCs w:val="17"/>
          <w:color w:val="auto"/>
        </w:rPr>
        <w:t>If we are a PFIC for any taxable year during which a U.S. investor holds common shares, we generally would continue to be treated as a PFIC with respect to that U.S. investor for all succeeding years</w:t>
      </w: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0" w:name="page81"/>
    <w:bookmarkEnd w:id="8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519"/>
        <w:spacing w:after="0" w:line="253" w:lineRule="auto"/>
        <w:rPr>
          <w:sz w:val="20"/>
          <w:szCs w:val="20"/>
          <w:color w:val="auto"/>
        </w:rPr>
      </w:pPr>
      <w:r>
        <w:rPr>
          <w:rFonts w:ascii="Arial" w:cs="Arial" w:eastAsia="Arial" w:hAnsi="Arial"/>
          <w:sz w:val="17"/>
          <w:szCs w:val="17"/>
          <w:color w:val="auto"/>
        </w:rPr>
        <w:t>during which the U.S. investor holds common shares, even if we ceased to meet the threshold requirements for PFIC status. Such a U.S. investor may be subject to adverse U.S. federal income tax consequences, including (i) the treatment of all or a portion of any gain on disposition as ordinary income, (ii) the application of a deferred interest charge on such gain and the receipt of certain dividends and</w:t>
      </w:r>
    </w:p>
    <w:p>
      <w:pPr>
        <w:spacing w:after="0" w:line="2" w:lineRule="exact"/>
        <w:rPr>
          <w:sz w:val="20"/>
          <w:szCs w:val="20"/>
          <w:color w:val="auto"/>
        </w:rPr>
      </w:pPr>
    </w:p>
    <w:p>
      <w:pPr>
        <w:ind w:left="1260" w:right="479"/>
        <w:spacing w:after="0" w:line="256" w:lineRule="auto"/>
        <w:tabs>
          <w:tab w:leader="none" w:pos="1596" w:val="left"/>
        </w:tabs>
        <w:numPr>
          <w:ilvl w:val="0"/>
          <w:numId w:val="57"/>
        </w:numPr>
        <w:rPr>
          <w:rFonts w:ascii="Arial" w:cs="Arial" w:eastAsia="Arial" w:hAnsi="Arial"/>
          <w:sz w:val="17"/>
          <w:szCs w:val="17"/>
          <w:color w:val="auto"/>
        </w:rPr>
      </w:pPr>
      <w:r>
        <w:rPr>
          <w:rFonts w:ascii="Arial" w:cs="Arial" w:eastAsia="Arial" w:hAnsi="Arial"/>
          <w:sz w:val="17"/>
          <w:szCs w:val="17"/>
          <w:color w:val="auto"/>
        </w:rPr>
        <w:t>compliance with certain reporting requirements. There is no assurance that we will provide information that will enable investors to make a qualified electing fund election, also known as a QEF Election, that could mitigate the adverse U.S. federal income tax consequences should we be classified as a PFIC. See “Taxation — Material U.S. Federal Income Tax Considerations to U.S. Holders.”</w:t>
      </w:r>
    </w:p>
    <w:p>
      <w:pPr>
        <w:spacing w:after="0" w:line="176" w:lineRule="exact"/>
        <w:rPr>
          <w:sz w:val="20"/>
          <w:szCs w:val="20"/>
          <w:color w:val="auto"/>
        </w:rPr>
      </w:pPr>
    </w:p>
    <w:p>
      <w:pPr>
        <w:ind w:left="1260" w:right="459"/>
        <w:spacing w:after="0" w:line="324" w:lineRule="auto"/>
        <w:rPr>
          <w:sz w:val="20"/>
          <w:szCs w:val="20"/>
          <w:color w:val="auto"/>
        </w:rPr>
      </w:pPr>
      <w:r>
        <w:rPr>
          <w:rFonts w:ascii="Arial" w:cs="Arial" w:eastAsia="Arial" w:hAnsi="Arial"/>
          <w:sz w:val="16"/>
          <w:szCs w:val="16"/>
          <w:b w:val="1"/>
          <w:bCs w:val="1"/>
          <w:i w:val="1"/>
          <w:iCs w:val="1"/>
          <w:color w:val="auto"/>
        </w:rPr>
        <w:t>We are an “emerging growth company” and we cannot be certain if the reduced disclosure requirements applicable to emerging growth companies will make our common shares less attractive to investors.</w:t>
      </w:r>
    </w:p>
    <w:p>
      <w:pPr>
        <w:spacing w:after="0" w:line="57" w:lineRule="exact"/>
        <w:rPr>
          <w:sz w:val="20"/>
          <w:szCs w:val="20"/>
          <w:color w:val="auto"/>
        </w:rPr>
      </w:pPr>
    </w:p>
    <w:p>
      <w:pPr>
        <w:ind w:left="1260" w:right="419" w:firstLine="648"/>
        <w:spacing w:after="0" w:line="252" w:lineRule="auto"/>
        <w:rPr>
          <w:sz w:val="20"/>
          <w:szCs w:val="20"/>
          <w:color w:val="auto"/>
        </w:rPr>
      </w:pPr>
      <w:r>
        <w:rPr>
          <w:rFonts w:ascii="Arial" w:cs="Arial" w:eastAsia="Arial" w:hAnsi="Arial"/>
          <w:sz w:val="17"/>
          <w:szCs w:val="17"/>
          <w:color w:val="auto"/>
        </w:rPr>
        <w:t>We are an “emerging growth company,” as defined in the JOBS Act, and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We cannot predict if investors will find our common shares less attractive because we will rely on these exemptions. We could be an emerging growth company for up to five years following the year in which we completed our initial public offering, although circumstances could cause us to lose that status earlier. We would cease to be an emerging growth company upon the earliest to occur of (i) the last day of the fiscal year in which we have more than $1.07 billion in annual revenue; (ii) the date we qualify as a “large accelerated filer” with at least $700 million of equity securities; (iii) the issuance, in any three-year period, by our company of more than $1.0 billion in non-convertible debt securities held by non-affiliates; and (iv) the last day of the fiscal year ending after the fifth anniversary of our initial public offering.</w:t>
      </w:r>
    </w:p>
    <w:p>
      <w:pPr>
        <w:spacing w:after="0" w:line="116" w:lineRule="exact"/>
        <w:rPr>
          <w:sz w:val="20"/>
          <w:szCs w:val="20"/>
          <w:color w:val="auto"/>
        </w:rPr>
      </w:pPr>
    </w:p>
    <w:p>
      <w:pPr>
        <w:ind w:left="1260" w:right="479" w:firstLine="648"/>
        <w:spacing w:after="0" w:line="254" w:lineRule="auto"/>
        <w:rPr>
          <w:sz w:val="20"/>
          <w:szCs w:val="20"/>
          <w:color w:val="auto"/>
        </w:rPr>
      </w:pPr>
      <w:r>
        <w:rPr>
          <w:rFonts w:ascii="Arial" w:cs="Arial" w:eastAsia="Arial" w:hAnsi="Arial"/>
          <w:sz w:val="17"/>
          <w:szCs w:val="17"/>
          <w:color w:val="auto"/>
        </w:rPr>
        <w:t>In addition, Section 107 of the JOBS Act provides that an emerging growth company can use the extended transition period provided in Section 7(a)(2)(B) of the Securities Act for complying with new or revised accounting standards. Given that we currently report and expect to continue to report under IFRS as issued by the IASB, we have irrevocably elected not to avail ourselves of this extended transition period and, as a result, we will adopt new or revised accounting standards on the relevant dates on which adoption of such standards is required by the IASB. Since IFRS makes no distinction between public and private companies for purposes of compliance with new or revised accounting standards, the requirements for our compliance as a private company and as a public company are the same.</w:t>
      </w:r>
    </w:p>
    <w:p>
      <w:pPr>
        <w:spacing w:after="0" w:line="100" w:lineRule="exact"/>
        <w:rPr>
          <w:sz w:val="20"/>
          <w:szCs w:val="20"/>
          <w:color w:val="auto"/>
        </w:rPr>
      </w:pPr>
    </w:p>
    <w:p>
      <w:pPr>
        <w:jc w:val="both"/>
        <w:ind w:left="1260" w:right="559" w:firstLine="648"/>
        <w:spacing w:after="0" w:line="270" w:lineRule="auto"/>
        <w:rPr>
          <w:sz w:val="20"/>
          <w:szCs w:val="20"/>
          <w:color w:val="auto"/>
        </w:rPr>
      </w:pPr>
      <w:r>
        <w:rPr>
          <w:rFonts w:ascii="Arial" w:cs="Arial" w:eastAsia="Arial" w:hAnsi="Arial"/>
          <w:sz w:val="17"/>
          <w:szCs w:val="17"/>
          <w:color w:val="auto"/>
        </w:rPr>
        <w:t>We cannot predict if investors will find our common shares less attractive because we may rely on these exemptions. If some investors find our common shares less attractive as a result, there may be a less active trading market for our common shares and our share price may be more volatile.</w:t>
      </w:r>
    </w:p>
    <w:p>
      <w:pPr>
        <w:spacing w:after="0" w:line="164" w:lineRule="exact"/>
        <w:rPr>
          <w:sz w:val="20"/>
          <w:szCs w:val="20"/>
          <w:color w:val="auto"/>
        </w:rPr>
      </w:pPr>
    </w:p>
    <w:p>
      <w:pPr>
        <w:ind w:left="1260" w:right="519"/>
        <w:spacing w:after="0" w:line="261" w:lineRule="auto"/>
        <w:rPr>
          <w:sz w:val="20"/>
          <w:szCs w:val="20"/>
          <w:color w:val="auto"/>
        </w:rPr>
      </w:pPr>
      <w:r>
        <w:rPr>
          <w:rFonts w:ascii="Arial" w:cs="Arial" w:eastAsia="Arial" w:hAnsi="Arial"/>
          <w:sz w:val="18"/>
          <w:szCs w:val="18"/>
          <w:b w:val="1"/>
          <w:bCs w:val="1"/>
          <w:i w:val="1"/>
          <w:iCs w:val="1"/>
          <w:color w:val="auto"/>
        </w:rPr>
        <w:t>Insiders will continue to have substantial control over us after this offering and could limit your ability to influence the outcome of key transactions, including a change of control.</w:t>
      </w:r>
    </w:p>
    <w:p>
      <w:pPr>
        <w:spacing w:after="0" w:line="103" w:lineRule="exact"/>
        <w:rPr>
          <w:sz w:val="20"/>
          <w:szCs w:val="20"/>
          <w:color w:val="auto"/>
        </w:rPr>
      </w:pPr>
    </w:p>
    <w:p>
      <w:pPr>
        <w:ind w:left="1260" w:right="459" w:firstLine="648"/>
        <w:spacing w:after="0" w:line="253" w:lineRule="auto"/>
        <w:rPr>
          <w:sz w:val="20"/>
          <w:szCs w:val="20"/>
          <w:color w:val="auto"/>
        </w:rPr>
      </w:pPr>
      <w:r>
        <w:rPr>
          <w:rFonts w:ascii="Arial" w:cs="Arial" w:eastAsia="Arial" w:hAnsi="Arial"/>
          <w:sz w:val="17"/>
          <w:szCs w:val="17"/>
          <w:color w:val="auto"/>
        </w:rPr>
        <w:t>Our principal shareholders, managing directors, supervisory directors and executive officers and entities affiliated with them will own approximately 67.93% of the outstanding common shares after the closing of this offering. As a result, these shareholders, if acting together, would be able to influence or control matters requiring approval by our general meeting, including the appointment of managing directors and supervisory directors, changes to our articles of association and approval of mergers or other extraordinary transactions. They may also have interests that differ from yours and may vote in a way with which you disagree and which may be adverse to your interests. The concentration of ownership may have the effect of delaying, preventing or deterring a change of control of our company, could deprive our shareholders of an opportunity to receive a premium for their common shares as part of a sale of our company and might ultimately affect the market price of our common shares.</w:t>
      </w:r>
    </w:p>
    <w:p>
      <w:pPr>
        <w:spacing w:after="0" w:line="180" w:lineRule="exact"/>
        <w:rPr>
          <w:sz w:val="20"/>
          <w:szCs w:val="20"/>
          <w:color w:val="auto"/>
        </w:rPr>
      </w:pPr>
    </w:p>
    <w:p>
      <w:pPr>
        <w:ind w:left="1260" w:right="519"/>
        <w:spacing w:after="0" w:line="261"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publish inaccurate or unfavorable research about our business, our share price and trading volume could decline.</w:t>
      </w:r>
    </w:p>
    <w:p>
      <w:pPr>
        <w:spacing w:after="0" w:line="103" w:lineRule="exact"/>
        <w:rPr>
          <w:sz w:val="20"/>
          <w:szCs w:val="20"/>
          <w:color w:val="auto"/>
        </w:rPr>
      </w:pPr>
    </w:p>
    <w:p>
      <w:pPr>
        <w:ind w:left="1260" w:right="859" w:firstLine="648"/>
        <w:spacing w:after="0" w:line="243" w:lineRule="auto"/>
        <w:rPr>
          <w:sz w:val="20"/>
          <w:szCs w:val="20"/>
          <w:color w:val="auto"/>
        </w:rPr>
      </w:pPr>
      <w:r>
        <w:rPr>
          <w:rFonts w:ascii="Arial" w:cs="Arial" w:eastAsia="Arial" w:hAnsi="Arial"/>
          <w:sz w:val="18"/>
          <w:szCs w:val="18"/>
          <w:color w:val="auto"/>
        </w:rPr>
        <w:t>The trading market for our common shares depends in part on the research and reports that securities or industry analysts publish about us or our business. If securities or industry analysts do not continue to cover our company, the trading price for our common shares would likely be negatively impacted.</w:t>
      </w: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1" w:name="page82"/>
    <w:bookmarkEnd w:id="8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559"/>
        <w:spacing w:after="0" w:line="243" w:lineRule="auto"/>
        <w:rPr>
          <w:sz w:val="20"/>
          <w:szCs w:val="20"/>
          <w:color w:val="auto"/>
        </w:rPr>
      </w:pPr>
      <w:r>
        <w:rPr>
          <w:rFonts w:ascii="Arial" w:cs="Arial" w:eastAsia="Arial" w:hAnsi="Arial"/>
          <w:sz w:val="18"/>
          <w:szCs w:val="18"/>
          <w:color w:val="auto"/>
        </w:rPr>
        <w:t>In addition, if one or more of the analysts who cover us downgrades our common shares or publishes inaccurate or unfavorable research about our business, our share price may decline. If one or more of these analysts ceases coverage of our company or fails to publish reports on us regularly, demand for our shares could decrease, which might cause our share price and trading volume to decline.</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do not anticipate paying any cash dividends in the foreseeable future.</w:t>
      </w:r>
    </w:p>
    <w:p>
      <w:pPr>
        <w:spacing w:after="0" w:line="158" w:lineRule="exact"/>
        <w:rPr>
          <w:sz w:val="20"/>
          <w:szCs w:val="20"/>
          <w:color w:val="auto"/>
        </w:rPr>
      </w:pPr>
    </w:p>
    <w:p>
      <w:pPr>
        <w:ind w:left="1260" w:right="559" w:firstLine="648"/>
        <w:spacing w:after="0" w:line="243" w:lineRule="auto"/>
        <w:rPr>
          <w:sz w:val="20"/>
          <w:szCs w:val="20"/>
          <w:color w:val="auto"/>
        </w:rPr>
      </w:pPr>
      <w:r>
        <w:rPr>
          <w:rFonts w:ascii="Arial" w:cs="Arial" w:eastAsia="Arial" w:hAnsi="Arial"/>
          <w:sz w:val="18"/>
          <w:szCs w:val="18"/>
          <w:color w:val="auto"/>
        </w:rPr>
        <w:t>We currently intend to retain our future earnings, if any, for the foreseeable future, to fund the development and growth of our business. We do not intend to pay any dividends to holders of our common shares. As a result, capital appreciation in the price of our common shares, if any, will be your only source of gain on an investment in our common shares.</w:t>
      </w:r>
    </w:p>
    <w:p>
      <w:pPr>
        <w:spacing w:after="0" w:line="188" w:lineRule="exact"/>
        <w:rPr>
          <w:sz w:val="20"/>
          <w:szCs w:val="20"/>
          <w:color w:val="auto"/>
        </w:rPr>
      </w:pPr>
    </w:p>
    <w:p>
      <w:pPr>
        <w:ind w:left="1260" w:right="799"/>
        <w:spacing w:after="0" w:line="261" w:lineRule="auto"/>
        <w:rPr>
          <w:sz w:val="20"/>
          <w:szCs w:val="20"/>
          <w:color w:val="auto"/>
        </w:rPr>
      </w:pPr>
      <w:r>
        <w:rPr>
          <w:rFonts w:ascii="Arial" w:cs="Arial" w:eastAsia="Arial" w:hAnsi="Arial"/>
          <w:sz w:val="18"/>
          <w:szCs w:val="18"/>
          <w:b w:val="1"/>
          <w:bCs w:val="1"/>
          <w:i w:val="1"/>
          <w:iCs w:val="1"/>
          <w:color w:val="auto"/>
        </w:rPr>
        <w:t>If we do pay dividends, we may need to withhold tax on such dividends payable to holders of our shares in both Germany and the Netherlands.</w:t>
      </w:r>
    </w:p>
    <w:p>
      <w:pPr>
        <w:spacing w:after="0" w:line="103" w:lineRule="exact"/>
        <w:rPr>
          <w:sz w:val="20"/>
          <w:szCs w:val="20"/>
          <w:color w:val="auto"/>
        </w:rPr>
      </w:pPr>
    </w:p>
    <w:p>
      <w:pPr>
        <w:ind w:left="1260" w:right="459" w:firstLine="648"/>
        <w:spacing w:after="0" w:line="248" w:lineRule="auto"/>
        <w:rPr>
          <w:sz w:val="20"/>
          <w:szCs w:val="20"/>
          <w:color w:val="auto"/>
        </w:rPr>
      </w:pPr>
      <w:r>
        <w:rPr>
          <w:rFonts w:ascii="Arial" w:cs="Arial" w:eastAsia="Arial" w:hAnsi="Arial"/>
          <w:sz w:val="18"/>
          <w:szCs w:val="18"/>
          <w:color w:val="auto"/>
        </w:rPr>
        <w:t>We do not intend to pay any dividends to holders of our common shares. See “Risk Factors — We do not anticipate paying any cash dividends in the foreseeable future.” However, if we do pay dividends, we may need to withhold tax on such dividends both in Germany and the Netherlands.</w:t>
      </w:r>
    </w:p>
    <w:p>
      <w:pPr>
        <w:spacing w:after="0" w:line="101" w:lineRule="exact"/>
        <w:rPr>
          <w:sz w:val="20"/>
          <w:szCs w:val="20"/>
          <w:color w:val="auto"/>
        </w:rPr>
      </w:pPr>
    </w:p>
    <w:p>
      <w:pPr>
        <w:ind w:left="1260" w:right="419" w:firstLine="648"/>
        <w:spacing w:after="0" w:line="251" w:lineRule="auto"/>
        <w:rPr>
          <w:sz w:val="20"/>
          <w:szCs w:val="20"/>
          <w:color w:val="auto"/>
        </w:rPr>
      </w:pPr>
      <w:r>
        <w:rPr>
          <w:rFonts w:ascii="Arial" w:cs="Arial" w:eastAsia="Arial" w:hAnsi="Arial"/>
          <w:sz w:val="17"/>
          <w:szCs w:val="17"/>
          <w:color w:val="auto"/>
        </w:rPr>
        <w:t>As an entity incorporated under Dutch law, any dividends distributed by us are subject to Dutch dividend withholding tax on the basis of Dutch domestic law. However, on the basis of the 2012 Convention between the Federal Republic of Germany and the Kingdom of the Netherlands for the avoidance of double taxation with respect to taxes on income, or the “double tax treaty between Germany and the Netherlands,” the Netherlands will be restricted in imposing these taxes if we are also a tax resident of Germany and our effective management is located in Germany, or the “withholding tax restriction”. See also “— We may become taxable in a jurisdiction other than Germany and this may increase the aggregate tax burden on us.” The withholding tax restriction does, however, not apply, and Dutch dividend withholding tax is still required to be withheld from dividends, if and when paid to Dutch resident holders of our common shares (and non-Dutch resident holders of our common shares that have a permanent establishment in the Netherlands to which their shareholding is attributable). As a result, upon a payment of dividends, we will be required to identify our shareholders in order to assess whether there are Dutch residents (or non-Dutch residents with a permanent establishment in the Netherlands to which the common shares are attributable) in respect of which Dutch dividend withholding tax has to be withheld. Such identification may not always be possible in practice. If the identity of our shareholders cannot be determined, withholding of both German and Dutch dividend withholding tax may occur upon a payment of dividends.</w:t>
      </w:r>
    </w:p>
    <w:p>
      <w:pPr>
        <w:spacing w:after="0" w:line="118" w:lineRule="exact"/>
        <w:rPr>
          <w:sz w:val="20"/>
          <w:szCs w:val="20"/>
          <w:color w:val="auto"/>
        </w:rPr>
      </w:pPr>
    </w:p>
    <w:p>
      <w:pPr>
        <w:ind w:left="1260" w:right="499" w:firstLine="648"/>
        <w:spacing w:after="0" w:line="253" w:lineRule="auto"/>
        <w:rPr>
          <w:sz w:val="20"/>
          <w:szCs w:val="20"/>
          <w:color w:val="auto"/>
        </w:rPr>
      </w:pPr>
      <w:r>
        <w:rPr>
          <w:rFonts w:ascii="Arial" w:cs="Arial" w:eastAsia="Arial" w:hAnsi="Arial"/>
          <w:sz w:val="17"/>
          <w:szCs w:val="17"/>
          <w:color w:val="auto"/>
        </w:rPr>
        <w:t>Furthermore, the withholding tax restriction referred to above is based on the current reservation made by Germany under the Multilateral Convention to Implement Tax Treaty Related Measures to Prevent Base Erosion and Profit Shifting, or the “MLI”, with respect to the tie-breaker provision included in Article 4(3) of the double tax treaty between Germany and the Netherlands, or the “MLI tie -breaker reservation”. If Germany changes its MLI tie-breaker reservation, we will not be entitled to any benefits of the double tax treaty between Germany and the Netherlands, including the withholding tax restriction, as long as Germany and the Netherlands do not reach an agreement on our tax residency for purposes of the double tax treaty between Germany and the Netherlands, and, as a result, any dividends distributed by us during the period no such agreement has been reached between Germany and the Netherlands, may be subject to dividend withholding tax both in Germany and the Netherlands.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other tax attributes may be limited.</w:t>
      </w:r>
    </w:p>
    <w:p>
      <w:pPr>
        <w:spacing w:after="0" w:line="158" w:lineRule="exact"/>
        <w:rPr>
          <w:sz w:val="20"/>
          <w:szCs w:val="20"/>
          <w:color w:val="auto"/>
        </w:rPr>
      </w:pPr>
    </w:p>
    <w:p>
      <w:pPr>
        <w:ind w:left="1260" w:right="579" w:firstLine="648"/>
        <w:spacing w:after="0" w:line="284" w:lineRule="auto"/>
        <w:rPr>
          <w:sz w:val="20"/>
          <w:szCs w:val="20"/>
          <w:color w:val="auto"/>
        </w:rPr>
      </w:pPr>
      <w:r>
        <w:rPr>
          <w:rFonts w:ascii="Arial" w:cs="Arial" w:eastAsia="Arial" w:hAnsi="Arial"/>
          <w:sz w:val="16"/>
          <w:szCs w:val="16"/>
          <w:color w:val="auto"/>
        </w:rPr>
        <w:t>Our ability to utilize our net operating losses, or NOLs, is currently limited, and may be limited further, under Section 8c of the German Corporation Income Tax Act (</w:t>
      </w:r>
      <w:r>
        <w:rPr>
          <w:rFonts w:ascii="Arial" w:cs="Arial" w:eastAsia="Arial" w:hAnsi="Arial"/>
          <w:sz w:val="16"/>
          <w:szCs w:val="16"/>
          <w:i w:val="1"/>
          <w:iCs w:val="1"/>
          <w:color w:val="auto"/>
        </w:rPr>
        <w:t>Korperschaftsteuergesetz</w:t>
      </w:r>
      <w:r>
        <w:rPr>
          <w:rFonts w:ascii="Arial" w:cs="Arial" w:eastAsia="Arial" w:hAnsi="Arial"/>
          <w:sz w:val="16"/>
          <w:szCs w:val="16"/>
          <w:color w:val="auto"/>
        </w:rPr>
        <w:t>, or KStG) and Section 10a of the German Trade Tax Act (</w:t>
      </w:r>
      <w:r>
        <w:rPr>
          <w:rFonts w:ascii="Arial" w:cs="Arial" w:eastAsia="Arial" w:hAnsi="Arial"/>
          <w:sz w:val="16"/>
          <w:szCs w:val="16"/>
          <w:i w:val="1"/>
          <w:iCs w:val="1"/>
          <w:color w:val="auto"/>
        </w:rPr>
        <w:t>Gewerbesteuergesetz</w:t>
      </w:r>
      <w:r>
        <w:rPr>
          <w:rFonts w:ascii="Arial" w:cs="Arial" w:eastAsia="Arial" w:hAnsi="Arial"/>
          <w:sz w:val="16"/>
          <w:szCs w:val="16"/>
          <w:color w:val="auto"/>
        </w:rPr>
        <w:t>, or GewStG). These limitations apply if a qualified ownership change, as defined by Section 8c KStG, occurs and no exemption is applicable.</w:t>
      </w:r>
    </w:p>
    <w:p>
      <w:pPr>
        <w:spacing w:after="0" w:line="74" w:lineRule="exact"/>
        <w:rPr>
          <w:sz w:val="20"/>
          <w:szCs w:val="20"/>
          <w:color w:val="auto"/>
        </w:rPr>
      </w:pPr>
    </w:p>
    <w:p>
      <w:pPr>
        <w:ind w:left="1260" w:right="439" w:firstLine="648"/>
        <w:spacing w:after="0" w:line="262" w:lineRule="auto"/>
        <w:rPr>
          <w:sz w:val="20"/>
          <w:szCs w:val="20"/>
          <w:color w:val="auto"/>
        </w:rPr>
      </w:pPr>
      <w:r>
        <w:rPr>
          <w:rFonts w:ascii="Arial" w:cs="Arial" w:eastAsia="Arial" w:hAnsi="Arial"/>
          <w:sz w:val="17"/>
          <w:szCs w:val="17"/>
          <w:color w:val="auto"/>
        </w:rPr>
        <w:t>Generally, a qualified ownership change occurs if more than 50% of the share capital or the voting rights are directly or indirectly transferred to a shareholder or a group of shareholders within a period of five years. A qualified ownership change may also occur in case of a transaction comparable to a transfer of shares or voting rights or in case of an increase in capital leading to a respective change in the shareholding.</w:t>
      </w: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2" w:name="page83"/>
    <w:bookmarkEnd w:id="8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 the case of such a qualified ownership change tax loss carryforwards expire in full. To the extent that the</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tax loss carryforwards do not exceed the built-in gains (</w:t>
      </w:r>
      <w:r>
        <w:rPr>
          <w:rFonts w:ascii="Arial" w:cs="Arial" w:eastAsia="Arial" w:hAnsi="Arial"/>
          <w:sz w:val="17"/>
          <w:szCs w:val="17"/>
          <w:i w:val="1"/>
          <w:iCs w:val="1"/>
          <w:color w:val="auto"/>
        </w:rPr>
        <w:t>stille Reserven</w:t>
      </w:r>
      <w:r>
        <w:rPr>
          <w:rFonts w:ascii="Arial" w:cs="Arial" w:eastAsia="Arial" w:hAnsi="Arial"/>
          <w:sz w:val="17"/>
          <w:szCs w:val="17"/>
          <w:color w:val="auto"/>
        </w:rPr>
        <w:t>) in the assets and liabilities taxable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 Germany, they may be further utilized despite a qualified ownership change. In case of a qualified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ownership change within a group, tax loss carryforwards will be preserved if certain conditions are satisfied.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 case of a qualified ownership change, tax loss carryforwards will be preserved (in the form of a</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fortfuhrungsgebundener Verlustvortrag</w:t>
      </w:r>
      <w:r>
        <w:rPr>
          <w:rFonts w:ascii="Arial" w:cs="Arial" w:eastAsia="Arial" w:hAnsi="Arial"/>
          <w:sz w:val="17"/>
          <w:szCs w:val="17"/>
          <w:color w:val="auto"/>
        </w:rPr>
        <w:t>”) if the business operations have not been changed and will not be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changed within the meaning of Section 8d KStG.</w:t>
      </w:r>
    </w:p>
    <w:p>
      <w:pPr>
        <w:spacing w:after="0" w:line="143" w:lineRule="exact"/>
        <w:rPr>
          <w:sz w:val="20"/>
          <w:szCs w:val="20"/>
          <w:color w:val="auto"/>
        </w:rPr>
      </w:pPr>
    </w:p>
    <w:p>
      <w:pPr>
        <w:ind w:left="1260" w:right="639" w:firstLine="648"/>
        <w:spacing w:after="0" w:line="263" w:lineRule="auto"/>
        <w:rPr>
          <w:sz w:val="20"/>
          <w:szCs w:val="20"/>
          <w:color w:val="auto"/>
        </w:rPr>
      </w:pPr>
      <w:r>
        <w:rPr>
          <w:rFonts w:ascii="Arial" w:cs="Arial" w:eastAsia="Arial" w:hAnsi="Arial"/>
          <w:sz w:val="18"/>
          <w:szCs w:val="18"/>
          <w:color w:val="auto"/>
        </w:rPr>
        <w:t>According to an appeal filed by the fiscal court of Hamburg dated August 29, 2017, Section 8c, paragraph 1, sentence 1 KStG is not in line with the German constitution. The appeal is still pending. It is unclear when the Federal Constitutional Court will decide this case.</w:t>
      </w:r>
    </w:p>
    <w:p>
      <w:pPr>
        <w:spacing w:after="0" w:line="11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As of September 30, 2020, there are NOLs of CureVac AG and CureVac Real Estate GmbH for</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German corporate tax purposes of approximately €629.2 million: €585.6 million for CureVac AG and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€43.6 million for CureVac Real Estate GmbH and for German trade tax purposes of approximately</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€626.9 million: €583.7 million for CureVac AG and €43.2 million for CureVac Real Estate GmbH available.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contribution of 100% of CureVac AG’s shares into CureVac B.V. was qualified as an ownership change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within the meaning of Section 8c KStG and Section 10a GewStG. The available tax loss carryforwards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CureVac AG and CureVac Real Estate GmbH will generally expire in full. However, the NOLs would not be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forfeited to the extent that CureVac AG and CureVac Real Estate GmbH have built-in gains in their assets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that are fully taxable in Germany. The built-in gains are determined by comparing the Fair Market Value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respective entity with the entity’s tax book equity. A preliminary determination of the built-in gains has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shown that all of the tax loss carryforwards would be maintained.</w:t>
      </w:r>
    </w:p>
    <w:p>
      <w:pPr>
        <w:spacing w:after="0" w:line="130" w:lineRule="exact"/>
        <w:rPr>
          <w:sz w:val="20"/>
          <w:szCs w:val="20"/>
          <w:color w:val="auto"/>
        </w:rPr>
      </w:pPr>
    </w:p>
    <w:p>
      <w:pPr>
        <w:ind w:left="1260" w:right="459" w:firstLine="648"/>
        <w:spacing w:after="0" w:line="255" w:lineRule="auto"/>
        <w:rPr>
          <w:sz w:val="20"/>
          <w:szCs w:val="20"/>
          <w:color w:val="auto"/>
        </w:rPr>
      </w:pPr>
      <w:r>
        <w:rPr>
          <w:rFonts w:ascii="Arial" w:cs="Arial" w:eastAsia="Arial" w:hAnsi="Arial"/>
          <w:sz w:val="18"/>
          <w:szCs w:val="18"/>
          <w:color w:val="auto"/>
        </w:rPr>
        <w:t>Future changes in share ownership may also trigger an ownership change and, consequently, a Section 8c KStG or a Section 10a GewStG limitation. Any limitation may result in the expiration of a portion or the complete tax operating loss carryforwards before they can be utilized. As a result, if we earn net taxable income, our ability to use our pre-change net operating loss carryforwards to reduce German income tax may be subject to limitations, which could potentially result in increased future cash tax liability to us.</w:t>
      </w:r>
    </w:p>
    <w:p>
      <w:pPr>
        <w:spacing w:after="0" w:line="192" w:lineRule="exact"/>
        <w:rPr>
          <w:sz w:val="20"/>
          <w:szCs w:val="20"/>
          <w:color w:val="auto"/>
        </w:rPr>
      </w:pPr>
    </w:p>
    <w:p>
      <w:pPr>
        <w:ind w:left="1260" w:right="519"/>
        <w:spacing w:after="0" w:line="277" w:lineRule="auto"/>
        <w:rPr>
          <w:sz w:val="20"/>
          <w:szCs w:val="20"/>
          <w:color w:val="auto"/>
        </w:rPr>
      </w:pPr>
      <w:r>
        <w:rPr>
          <w:rFonts w:ascii="Arial" w:cs="Arial" w:eastAsia="Arial" w:hAnsi="Arial"/>
          <w:sz w:val="18"/>
          <w:szCs w:val="18"/>
          <w:b w:val="1"/>
          <w:bCs w:val="1"/>
          <w:i w:val="1"/>
          <w:iCs w:val="1"/>
          <w:color w:val="auto"/>
        </w:rPr>
        <w:t>Investors purchasing common shares in this offering will experience immediate and substantial dilution as a result of this offering and any future equity issuances.</w:t>
      </w:r>
    </w:p>
    <w:p>
      <w:pPr>
        <w:spacing w:after="0" w:line="10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assumed public offering price of our common shares will be substantially higher than the</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pro forma net tangible book value per common share. Dilution is the difference between the public offering</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price per common share in this offering and the pro forma net tangible book value per common share after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this offering. Based on the assumed public offering price of $102.69 per common share, which was the last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reported sale price of our common shares on The Nasdaq Global Market on January 22, 2021, if you</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purchase common shares in this offering, you will incur immediate and substantial dilution in the amount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$95.13 per common share. We also have approximately 750,000 outstanding share options to purchase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common shares with exercise prices that are below the assumed public offering price of the common shares.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the extent that these options are exercised, there will be further dilution. See “Dilution.”</w:t>
      </w:r>
    </w:p>
    <w:p>
      <w:pPr>
        <w:spacing w:after="0" w:line="211" w:lineRule="exact"/>
        <w:rPr>
          <w:sz w:val="20"/>
          <w:szCs w:val="20"/>
          <w:color w:val="auto"/>
        </w:rPr>
      </w:pPr>
    </w:p>
    <w:p>
      <w:pPr>
        <w:ind w:left="1260" w:right="759"/>
        <w:spacing w:after="0" w:line="277" w:lineRule="auto"/>
        <w:rPr>
          <w:sz w:val="20"/>
          <w:szCs w:val="20"/>
          <w:color w:val="auto"/>
        </w:rPr>
      </w:pPr>
      <w:r>
        <w:rPr>
          <w:rFonts w:ascii="Arial" w:cs="Arial" w:eastAsia="Arial" w:hAnsi="Arial"/>
          <w:sz w:val="18"/>
          <w:szCs w:val="18"/>
          <w:b w:val="1"/>
          <w:bCs w:val="1"/>
          <w:i w:val="1"/>
          <w:iCs w:val="1"/>
          <w:color w:val="auto"/>
        </w:rPr>
        <w:t>Shareholders may not be able to exercise preemptive rights and, as a result, may experience substantial dilution upon future issuances of common shares.</w:t>
      </w:r>
    </w:p>
    <w:p>
      <w:pPr>
        <w:spacing w:after="0" w:line="103" w:lineRule="exact"/>
        <w:rPr>
          <w:sz w:val="20"/>
          <w:szCs w:val="20"/>
          <w:color w:val="auto"/>
        </w:rPr>
      </w:pPr>
    </w:p>
    <w:p>
      <w:pPr>
        <w:ind w:left="1260" w:right="439" w:firstLine="648"/>
        <w:spacing w:after="0" w:line="270" w:lineRule="auto"/>
        <w:rPr>
          <w:sz w:val="20"/>
          <w:szCs w:val="20"/>
          <w:color w:val="auto"/>
        </w:rPr>
      </w:pPr>
      <w:r>
        <w:rPr>
          <w:rFonts w:ascii="Arial" w:cs="Arial" w:eastAsia="Arial" w:hAnsi="Arial"/>
          <w:sz w:val="17"/>
          <w:szCs w:val="17"/>
          <w:color w:val="auto"/>
        </w:rPr>
        <w:t>In the event of an issuance of common shares, subject to certain exceptions, each shareholder will have a pro rata preemptive right in proportion to the aggregate nominal value of the common shares held by such holder. These preemptive rights may be restricted or excluded by a resolution of the general meeting or by another corporate body designated by the general meeting. Our management board, subject to approval of our supervisory board, has been authorized, for a period of five years to issue shares or grant rights to subscribe for shares up to our authorized share capital from time to time and to limit or exclude preemptive rights in connection therewith. This could cause existing shareholders to experience substantial dilution of their interest in us. Prior to this offering our management board passed a resolution excluding any pre-emption rights associated with this offering.</w:t>
      </w: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3" w:name="page84"/>
    <w:bookmarkEnd w:id="8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3"/>
          <w:szCs w:val="13"/>
          <w:b w:val="1"/>
          <w:bCs w:val="1"/>
          <w:i w:val="1"/>
          <w:iCs w:val="1"/>
          <w:color w:val="auto"/>
        </w:rPr>
        <w:t>We may become taxable in a jurisdiction other than Germany and this may increase the aggregate tax burden on us.</w:t>
      </w:r>
    </w:p>
    <w:p>
      <w:pPr>
        <w:spacing w:after="0" w:line="202" w:lineRule="exact"/>
        <w:rPr>
          <w:sz w:val="20"/>
          <w:szCs w:val="20"/>
          <w:color w:val="auto"/>
        </w:rPr>
      </w:pPr>
    </w:p>
    <w:p>
      <w:pPr>
        <w:ind w:left="1260" w:right="419" w:firstLine="648"/>
        <w:spacing w:after="0" w:line="238" w:lineRule="auto"/>
        <w:rPr>
          <w:sz w:val="20"/>
          <w:szCs w:val="20"/>
          <w:color w:val="auto"/>
        </w:rPr>
      </w:pPr>
      <w:r>
        <w:rPr>
          <w:rFonts w:ascii="Arial" w:cs="Arial" w:eastAsia="Arial" w:hAnsi="Arial"/>
          <w:sz w:val="18"/>
          <w:szCs w:val="18"/>
          <w:color w:val="auto"/>
        </w:rPr>
        <w:t>Since our incorporation we have had, on a continuous basis, our place of “effective management” in Germany. We will therefore qualify as a tax resident of Germany on the basis of German domestic law. As an entity incorporated under Dutch law, however, we also qualify as a tax resident of the Netherlands on the basis of Dutch domestic law. However, based on our current management structure and the current tax laws of the United States, Germany and the Netherlands, as well as applicable income tax treaties, and current interpretations thereof, we should qualify solely as a tax resident of Germany for the purposes of the double tax treaty between Germany and the Netherlands due to the “effective management” tie-breaker included in Article 4(3) of the double tax treaty between Germany and the Netherlands and the current MLI tie-breaker reservation.</w:t>
      </w:r>
    </w:p>
    <w:p>
      <w:pPr>
        <w:spacing w:after="0" w:line="124" w:lineRule="exact"/>
        <w:rPr>
          <w:sz w:val="20"/>
          <w:szCs w:val="20"/>
          <w:color w:val="auto"/>
        </w:rPr>
      </w:pPr>
    </w:p>
    <w:p>
      <w:pPr>
        <w:ind w:left="1260" w:right="459" w:firstLine="648"/>
        <w:spacing w:after="0" w:line="237" w:lineRule="auto"/>
        <w:rPr>
          <w:sz w:val="20"/>
          <w:szCs w:val="20"/>
          <w:color w:val="auto"/>
        </w:rPr>
      </w:pPr>
      <w:r>
        <w:rPr>
          <w:rFonts w:ascii="Arial" w:cs="Arial" w:eastAsia="Arial" w:hAnsi="Arial"/>
          <w:sz w:val="18"/>
          <w:szCs w:val="18"/>
          <w:color w:val="auto"/>
        </w:rPr>
        <w:t>The test of “effective management” is largely a question of fact and degree based on all the circumstances, rather than a question of law. Nevertheless, the relevant case law and OECD guidance suggest that our company is likely to be regarded as having become a German tax resident from incorporation and remaining so if, as our company intends, (i) most meetings of its management board are prepared and held in Germany (and none will be held in the Netherlands) with a majority of managing directors present in Germany for those meetings; (ii) at those meetings there are full discussions of, and decisions are made regarding, the key strategic issues affecting our company and its subsidiaries; (iii) those meetings are properly minuted; (iv) a majority of our managing directors, together with supporting staff, are based in Germany; and (v) our company has permanent staffed office premises in Germany. We may, however, become subject to limited income tax liability in other countries with regard to the income generated in the respective other country, for example, due to the existence of a permanent establishment or a permanent representative in such other country.</w:t>
      </w:r>
    </w:p>
    <w:p>
      <w:pPr>
        <w:spacing w:after="0" w:line="112" w:lineRule="exact"/>
        <w:rPr>
          <w:sz w:val="20"/>
          <w:szCs w:val="20"/>
          <w:color w:val="auto"/>
        </w:rPr>
      </w:pPr>
    </w:p>
    <w:p>
      <w:pPr>
        <w:ind w:left="1260" w:right="439" w:firstLine="648"/>
        <w:spacing w:after="0" w:line="236" w:lineRule="auto"/>
        <w:rPr>
          <w:sz w:val="20"/>
          <w:szCs w:val="20"/>
          <w:color w:val="auto"/>
        </w:rPr>
      </w:pPr>
      <w:r>
        <w:rPr>
          <w:rFonts w:ascii="Arial" w:cs="Arial" w:eastAsia="Arial" w:hAnsi="Arial"/>
          <w:sz w:val="18"/>
          <w:szCs w:val="18"/>
          <w:color w:val="auto"/>
        </w:rPr>
        <w:t>The applicable tax laws or interpretations thereof may change, including the MLI tie-breaker reservation. Furthermore, whether we have our place of effective management in Germany and are as such tax resident in Germany is largely a question of fact and degree based on all the circumstances, rather than a question of law, which facts and degree may also change. Changes to applicable laws or interpretations thereof, changes to applicable facts and circumstances (for example, a change of directors or the place where board meetings take place), or changes to applicable income tax treaties, including a change to the MLI tie-breaker reservation, may result in us becoming (also) a tax resident of the Netherlands or another jurisdiction. See “— If we do pay dividends, we may need to withhold tax on such dividends payable to holders of our shares in both Germany and the Netherlands.” As a consequence, our overall effective income tax rate and income tax expense could materially increase, which could have a material adverse effect on our business, results of operations, financial condition and prospects, which could cause our share price and trading volume to decline. In addition, as a consequence, dividends distributed by us, if any, may become subject to dividend withholding tax in more than one jurisdiction. The double taxation of income and the double withholding tax on dividends may be reduced or avoided entirely under the double tax treaty between Germany and the Netherlands or under a double tax treaty between the Netherlands and the respective other country.</w:t>
      </w:r>
    </w:p>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Claims of U.S. civil liabilities may not be enforceable against us.</w:t>
      </w:r>
    </w:p>
    <w:p>
      <w:pPr>
        <w:spacing w:after="0" w:line="158" w:lineRule="exact"/>
        <w:rPr>
          <w:sz w:val="20"/>
          <w:szCs w:val="20"/>
          <w:color w:val="auto"/>
        </w:rPr>
      </w:pPr>
    </w:p>
    <w:p>
      <w:pPr>
        <w:ind w:left="1260" w:right="419" w:firstLine="648"/>
        <w:spacing w:after="0"/>
        <w:rPr>
          <w:sz w:val="20"/>
          <w:szCs w:val="20"/>
          <w:color w:val="auto"/>
        </w:rPr>
      </w:pPr>
      <w:r>
        <w:rPr>
          <w:rFonts w:ascii="Arial" w:cs="Arial" w:eastAsia="Arial" w:hAnsi="Arial"/>
          <w:sz w:val="18"/>
          <w:szCs w:val="18"/>
          <w:color w:val="auto"/>
        </w:rPr>
        <w:t>We are incorporated under the laws of the Netherlands, and our headquarters is located in Germany. Most of our assets are located outside the United States. The majority of our managing directors and supervisory directors reside outside the United States. As a result, it may not be possible for investors to effect service of process within the United States upon such persons or to enforce against them or us in U.S. courts, including judgments predicated upon the civil liability provisions of the federal securities laws of the United States.</w:t>
      </w:r>
    </w:p>
    <w:p>
      <w:pPr>
        <w:spacing w:after="0" w:line="122" w:lineRule="exact"/>
        <w:rPr>
          <w:sz w:val="20"/>
          <w:szCs w:val="20"/>
          <w:color w:val="auto"/>
        </w:rPr>
      </w:pPr>
    </w:p>
    <w:p>
      <w:pPr>
        <w:ind w:left="1260" w:right="459" w:firstLine="648"/>
        <w:spacing w:after="0" w:line="257" w:lineRule="auto"/>
        <w:rPr>
          <w:sz w:val="20"/>
          <w:szCs w:val="20"/>
          <w:color w:val="auto"/>
        </w:rPr>
      </w:pPr>
      <w:r>
        <w:rPr>
          <w:rFonts w:ascii="Arial" w:cs="Arial" w:eastAsia="Arial" w:hAnsi="Arial"/>
          <w:sz w:val="17"/>
          <w:szCs w:val="17"/>
          <w:color w:val="auto"/>
        </w:rPr>
        <w:t>There is currently no treaty between the United States and the Netherlands for the mutual recognition and enforcement of judgments (other than arbitration awards) in civil and commercial matters. Therefore, a final judgment for the payment of money rendered by any federal or state court in the United States based on civil liability, whether or not predicated solely upon the U.S. federal securities laws, would not be enforceable in the Netherlands unless the underlying claim is relitigated before a Dutch court of competent jurisdiction. Under current practice, however, a Dutch court will generally, subject to compliance</w:t>
      </w:r>
    </w:p>
    <w:p>
      <w:pPr>
        <w:spacing w:after="0" w:line="35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4" w:name="page85"/>
    <w:bookmarkEnd w:id="8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39"/>
        <w:spacing w:after="0" w:line="251" w:lineRule="auto"/>
        <w:rPr>
          <w:sz w:val="20"/>
          <w:szCs w:val="20"/>
          <w:color w:val="auto"/>
        </w:rPr>
      </w:pPr>
      <w:r>
        <w:rPr>
          <w:rFonts w:ascii="Arial" w:cs="Arial" w:eastAsia="Arial" w:hAnsi="Arial"/>
          <w:sz w:val="17"/>
          <w:szCs w:val="17"/>
          <w:color w:val="auto"/>
        </w:rPr>
        <w:t>with certain procedural requirements, grant the same judgment without a review of the merits of the underlying claim if such judgment (i) is a final judgment and has been rendered by a court which has established its jurisdiction vis-à-vis the relevant Dutch companies or Dutch company, as the case may be, on the basis of internationally accepted grounds of jurisdiction, (ii) has not been rendered in violation of principles of proper procedure (</w:t>
      </w:r>
      <w:r>
        <w:rPr>
          <w:rFonts w:ascii="Arial" w:cs="Arial" w:eastAsia="Arial" w:hAnsi="Arial"/>
          <w:sz w:val="17"/>
          <w:szCs w:val="17"/>
          <w:i w:val="1"/>
          <w:iCs w:val="1"/>
          <w:color w:val="auto"/>
        </w:rPr>
        <w:t>behoorlijke rechtspleging</w:t>
      </w:r>
      <w:r>
        <w:rPr>
          <w:rFonts w:ascii="Arial" w:cs="Arial" w:eastAsia="Arial" w:hAnsi="Arial"/>
          <w:sz w:val="17"/>
          <w:szCs w:val="17"/>
          <w:color w:val="auto"/>
        </w:rPr>
        <w:t xml:space="preserve"> ), (iii) is not contrary to the public policy of the Netherlands, and (iv) is not incompatible with (a) a prior judgment of a Dutch court rendered in a dispute between the same parties, or (b) a prior judgment of a foreign court rendered in a dispute between the same parties, concerning the same subject matter and based on the same cause of action, provided that such prior judgment is capable of being recognized in the Netherlands and except to the extent that the foreign judgment contravenes Dutch public policy (</w:t>
      </w:r>
      <w:r>
        <w:rPr>
          <w:rFonts w:ascii="Arial" w:cs="Arial" w:eastAsia="Arial" w:hAnsi="Arial"/>
          <w:sz w:val="17"/>
          <w:szCs w:val="17"/>
          <w:i w:val="1"/>
          <w:iCs w:val="1"/>
          <w:color w:val="auto"/>
        </w:rPr>
        <w:t>openbare orde</w:t>
      </w:r>
      <w:r>
        <w:rPr>
          <w:rFonts w:ascii="Arial" w:cs="Arial" w:eastAsia="Arial" w:hAnsi="Arial"/>
          <w:sz w:val="17"/>
          <w:szCs w:val="17"/>
          <w:color w:val="auto"/>
        </w:rPr>
        <w:t>). Dutch courts may deny the recognition and enforcement of punitive damages or other awards. Moreover, a Dutch court may reduce the amount of damages granted by a U.S. court and recognize damages only to the extent that they are necessary to compensate actual losses or damages. Enforcement and recognition of judgments of U.S. courts in the Netherlands are solely governed by the provisions of the Dutch Code of Civil Procedure.</w:t>
      </w:r>
    </w:p>
    <w:p>
      <w:pPr>
        <w:spacing w:after="0" w:line="121" w:lineRule="exact"/>
        <w:rPr>
          <w:sz w:val="20"/>
          <w:szCs w:val="20"/>
          <w:color w:val="auto"/>
        </w:rPr>
      </w:pPr>
    </w:p>
    <w:p>
      <w:pPr>
        <w:ind w:left="1260" w:right="439" w:firstLine="648"/>
        <w:spacing w:after="0" w:line="253" w:lineRule="auto"/>
        <w:rPr>
          <w:sz w:val="20"/>
          <w:szCs w:val="20"/>
          <w:color w:val="auto"/>
        </w:rPr>
      </w:pPr>
      <w:r>
        <w:rPr>
          <w:rFonts w:ascii="Arial" w:cs="Arial" w:eastAsia="Arial" w:hAnsi="Arial"/>
          <w:sz w:val="17"/>
          <w:szCs w:val="17"/>
          <w:color w:val="auto"/>
        </w:rPr>
        <w:t>The United States and Germany currently do not have a treaty providing for the reciprocal recognition and enforcement of judgments, in civil and commercial matters. Consequently, a final judgment for payment or declaratory judgments given by a court in the United States, whether or not predicated solely upon U.S. securities laws, would not automatically be recognized or enforceable in Germany. German courts may deny the recognition and enforcement of a judgment rendered by a U.S. court if they consider the U.S. court not to be competent or the decision to be in violation of German public policy principles. For example, judgments awarding punitive damages are generally not enforceable in Germany. A German court may reduce the amount of damages granted by a U.S. court and recognize damages only to the extent that they are necessary to compensate actual losses or damages.</w:t>
      </w:r>
    </w:p>
    <w:p>
      <w:pPr>
        <w:spacing w:after="0" w:line="116" w:lineRule="exact"/>
        <w:rPr>
          <w:sz w:val="20"/>
          <w:szCs w:val="20"/>
          <w:color w:val="auto"/>
        </w:rPr>
      </w:pPr>
    </w:p>
    <w:p>
      <w:pPr>
        <w:ind w:left="1260" w:right="459" w:firstLine="648"/>
        <w:spacing w:after="0" w:line="252" w:lineRule="auto"/>
        <w:rPr>
          <w:sz w:val="20"/>
          <w:szCs w:val="20"/>
          <w:color w:val="auto"/>
        </w:rPr>
      </w:pPr>
      <w:r>
        <w:rPr>
          <w:rFonts w:ascii="Arial" w:cs="Arial" w:eastAsia="Arial" w:hAnsi="Arial"/>
          <w:sz w:val="17"/>
          <w:szCs w:val="17"/>
          <w:color w:val="auto"/>
        </w:rPr>
        <w:t>In addition, actions brought in a German court against us, our managing directors, our supervisory directors, our senior management and the experts named herein to enforce liabilities based on U.S. federal securities laws may be subject to certain restrictions. In particular, German courts generally do not award punitive damages. Litigation in Germany is also subject to rules of procedure that differ from the U.S. rules, including with respect to the taking and admissibility of evidence, the conduct of the proceedings and the allocation of costs. German procedural law does not provide for pre-trial discovery of documents, nor does Germany support pre-trial discovery of documents under the 1970 Hague Evidence Convention. Proceedings in Germany would have to be conducted in the German language and all documents submitted to the court would, in principle, have to be translated into German. For these reasons, it may be difficult for a U.S. investor to bring an original action in a German court predicated upon the civil liability provisions of the U.S. federal securities laws against us, our managing directors, our supervisory directors, our senior management and the experts named in this prospectus.</w:t>
      </w:r>
    </w:p>
    <w:p>
      <w:pPr>
        <w:spacing w:after="0" w:line="102" w:lineRule="exact"/>
        <w:rPr>
          <w:sz w:val="20"/>
          <w:szCs w:val="20"/>
          <w:color w:val="auto"/>
        </w:rPr>
      </w:pPr>
    </w:p>
    <w:p>
      <w:pPr>
        <w:ind w:left="1260" w:right="419" w:firstLine="648"/>
        <w:spacing w:after="0" w:line="241" w:lineRule="auto"/>
        <w:rPr>
          <w:sz w:val="20"/>
          <w:szCs w:val="20"/>
          <w:color w:val="auto"/>
        </w:rPr>
      </w:pPr>
      <w:r>
        <w:rPr>
          <w:rFonts w:ascii="Arial" w:cs="Arial" w:eastAsia="Arial" w:hAnsi="Arial"/>
          <w:sz w:val="18"/>
          <w:szCs w:val="18"/>
          <w:color w:val="auto"/>
        </w:rPr>
        <w:t>Based on the foregoing, there can be no assurance that U.S. investors will be able to enforce against us or managing directors, supervisory directors, executive officers or certain experts named herein who are residents of or possessing assets in the Netherlands, Germany, or other countries other than the United States any judgments obtained in U.S. courts in civil and commercial matters, including judgments under the U.S. federal securities laws.</w:t>
      </w:r>
    </w:p>
    <w:p>
      <w:pPr>
        <w:spacing w:after="0" w:line="189" w:lineRule="exact"/>
        <w:rPr>
          <w:sz w:val="20"/>
          <w:szCs w:val="20"/>
          <w:color w:val="auto"/>
        </w:rPr>
      </w:pPr>
    </w:p>
    <w:p>
      <w:pPr>
        <w:ind w:left="1260" w:right="519"/>
        <w:spacing w:after="0" w:line="248" w:lineRule="auto"/>
        <w:rPr>
          <w:sz w:val="20"/>
          <w:szCs w:val="20"/>
          <w:color w:val="auto"/>
        </w:rPr>
      </w:pPr>
      <w:r>
        <w:rPr>
          <w:rFonts w:ascii="Arial" w:cs="Arial" w:eastAsia="Arial" w:hAnsi="Arial"/>
          <w:sz w:val="18"/>
          <w:szCs w:val="18"/>
          <w:b w:val="1"/>
          <w:bCs w:val="1"/>
          <w:i w:val="1"/>
          <w:iCs w:val="1"/>
          <w:color w:val="auto"/>
        </w:rPr>
        <w:t>The rights of our shareholders may be different from the rights of shareholders in companies governed by the laws of U.S. jurisdictions and may not protect investors in a similar fashion afforded by incorporation in a U.S. jurisdiction.</w:t>
      </w:r>
    </w:p>
    <w:p>
      <w:pPr>
        <w:spacing w:after="0" w:line="114" w:lineRule="exact"/>
        <w:rPr>
          <w:sz w:val="20"/>
          <w:szCs w:val="20"/>
          <w:color w:val="auto"/>
        </w:rPr>
      </w:pPr>
    </w:p>
    <w:p>
      <w:pPr>
        <w:jc w:val="both"/>
        <w:ind w:left="1260" w:right="659" w:firstLine="648"/>
        <w:spacing w:after="0" w:line="271" w:lineRule="auto"/>
        <w:rPr>
          <w:sz w:val="20"/>
          <w:szCs w:val="20"/>
          <w:color w:val="auto"/>
        </w:rPr>
      </w:pPr>
      <w:r>
        <w:rPr>
          <w:rFonts w:ascii="Arial" w:cs="Arial" w:eastAsia="Arial" w:hAnsi="Arial"/>
          <w:sz w:val="16"/>
          <w:szCs w:val="16"/>
          <w:color w:val="auto"/>
        </w:rPr>
        <w:t>We are a public company (</w:t>
      </w:r>
      <w:r>
        <w:rPr>
          <w:rFonts w:ascii="Arial" w:cs="Arial" w:eastAsia="Arial" w:hAnsi="Arial"/>
          <w:sz w:val="16"/>
          <w:szCs w:val="16"/>
          <w:i w:val="1"/>
          <w:iCs w:val="1"/>
          <w:color w:val="auto"/>
        </w:rPr>
        <w:t>naamloze vennootschap</w:t>
      </w:r>
      <w:r>
        <w:rPr>
          <w:rFonts w:ascii="Arial" w:cs="Arial" w:eastAsia="Arial" w:hAnsi="Arial"/>
          <w:sz w:val="16"/>
          <w:szCs w:val="16"/>
          <w:color w:val="auto"/>
        </w:rPr>
        <w:t>) organized under the laws of the Netherlands. Our corporate affairs are governed by our articles of association, the rules of our management board and those of our supervisory board and by the laws governing companies incorporated in the Netherlands.</w:t>
      </w:r>
    </w:p>
    <w:p>
      <w:pPr>
        <w:ind w:left="1260" w:right="739"/>
        <w:spacing w:after="0" w:line="239" w:lineRule="auto"/>
        <w:rPr>
          <w:sz w:val="20"/>
          <w:szCs w:val="20"/>
          <w:color w:val="auto"/>
        </w:rPr>
      </w:pPr>
      <w:r>
        <w:rPr>
          <w:rFonts w:ascii="Arial" w:cs="Arial" w:eastAsia="Arial" w:hAnsi="Arial"/>
          <w:sz w:val="18"/>
          <w:szCs w:val="18"/>
          <w:color w:val="auto"/>
        </w:rPr>
        <w:t>However, there can be no assurance that Dutch law will not change in the future or that it will serve to protect investors in a similar fashion afforded under corporate law principles in the United States, which could adversely affect the rights of investors.</w:t>
      </w:r>
    </w:p>
    <w:p>
      <w:pPr>
        <w:spacing w:after="0" w:line="122" w:lineRule="exact"/>
        <w:rPr>
          <w:sz w:val="20"/>
          <w:szCs w:val="20"/>
          <w:color w:val="auto"/>
        </w:rPr>
      </w:pPr>
    </w:p>
    <w:p>
      <w:pPr>
        <w:jc w:val="both"/>
        <w:ind w:left="1260" w:right="459" w:firstLine="648"/>
        <w:spacing w:after="0" w:line="270" w:lineRule="auto"/>
        <w:rPr>
          <w:sz w:val="20"/>
          <w:szCs w:val="20"/>
          <w:color w:val="auto"/>
        </w:rPr>
      </w:pPr>
      <w:r>
        <w:rPr>
          <w:rFonts w:ascii="Arial" w:cs="Arial" w:eastAsia="Arial" w:hAnsi="Arial"/>
          <w:sz w:val="17"/>
          <w:szCs w:val="17"/>
          <w:color w:val="auto"/>
        </w:rPr>
        <w:t>The rights of shareholders and the responsibilities of managing directors and supervisory directors may be different from the rights and obligations of shareholders and directors in companies governed by the laws of U.S. jurisdictions. In the performance of their duties, our managing directors and supervisory</w:t>
      </w: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5" w:name="page86"/>
    <w:bookmarkEnd w:id="8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59"/>
        <w:spacing w:after="0" w:line="243" w:lineRule="auto"/>
        <w:rPr>
          <w:sz w:val="20"/>
          <w:szCs w:val="20"/>
          <w:color w:val="auto"/>
        </w:rPr>
      </w:pPr>
      <w:r>
        <w:rPr>
          <w:rFonts w:ascii="Arial" w:cs="Arial" w:eastAsia="Arial" w:hAnsi="Arial"/>
          <w:sz w:val="18"/>
          <w:szCs w:val="18"/>
          <w:color w:val="auto"/>
        </w:rPr>
        <w:t>directors are required by Dutch law to consider the interests of our company, its shareholders, its employees and other stakeholders, in all cases with due observation of the principles of reasonableness and fairness. It is possible that some of these parties will have interests that are different from, or in addition to, your interests as a shareholder.</w:t>
      </w:r>
    </w:p>
    <w:p>
      <w:pPr>
        <w:spacing w:after="0" w:line="120" w:lineRule="exact"/>
        <w:rPr>
          <w:sz w:val="20"/>
          <w:szCs w:val="20"/>
          <w:color w:val="auto"/>
        </w:rPr>
      </w:pPr>
    </w:p>
    <w:p>
      <w:pPr>
        <w:ind w:left="1260" w:right="879" w:firstLine="648"/>
        <w:spacing w:after="0" w:line="248" w:lineRule="auto"/>
        <w:rPr>
          <w:sz w:val="20"/>
          <w:szCs w:val="20"/>
          <w:color w:val="auto"/>
        </w:rPr>
      </w:pPr>
      <w:r>
        <w:rPr>
          <w:rFonts w:ascii="Arial" w:cs="Arial" w:eastAsia="Arial" w:hAnsi="Arial"/>
          <w:sz w:val="18"/>
          <w:szCs w:val="18"/>
          <w:color w:val="auto"/>
        </w:rPr>
        <w:t>For more information on relevant provisions of Dutch corporation law and of our articles of association, see “Description of Share Capital and Articles of Association” and “Comparison of Dutch Corporate Law and U.S. Corporate Law.”</w:t>
      </w:r>
    </w:p>
    <w:p>
      <w:pPr>
        <w:spacing w:after="0" w:line="182" w:lineRule="exact"/>
        <w:rPr>
          <w:sz w:val="20"/>
          <w:szCs w:val="20"/>
          <w:color w:val="auto"/>
        </w:rPr>
      </w:pPr>
    </w:p>
    <w:p>
      <w:pPr>
        <w:jc w:val="both"/>
        <w:ind w:left="1260" w:right="719"/>
        <w:spacing w:after="0" w:line="248" w:lineRule="auto"/>
        <w:rPr>
          <w:sz w:val="20"/>
          <w:szCs w:val="20"/>
          <w:color w:val="auto"/>
        </w:rPr>
      </w:pPr>
      <w:r>
        <w:rPr>
          <w:rFonts w:ascii="Arial" w:cs="Arial" w:eastAsia="Arial" w:hAnsi="Arial"/>
          <w:sz w:val="18"/>
          <w:szCs w:val="18"/>
          <w:b w:val="1"/>
          <w:bCs w:val="1"/>
          <w:i w:val="1"/>
          <w:iCs w:val="1"/>
          <w:color w:val="auto"/>
        </w:rPr>
        <w:t>Provisions of our articles of association or Dutch corporate law might deter acquisition bids for us that might be considered favorable and prevent, delay or frustrate any attempt to replace or remove our managing directors or supervisory directors.</w:t>
      </w:r>
    </w:p>
    <w:p>
      <w:pPr>
        <w:spacing w:after="0" w:line="114" w:lineRule="exact"/>
        <w:rPr>
          <w:sz w:val="20"/>
          <w:szCs w:val="20"/>
          <w:color w:val="auto"/>
        </w:rPr>
      </w:pPr>
    </w:p>
    <w:p>
      <w:pPr>
        <w:ind w:left="1260" w:right="419" w:firstLine="648"/>
        <w:spacing w:after="0" w:line="237" w:lineRule="auto"/>
        <w:rPr>
          <w:sz w:val="20"/>
          <w:szCs w:val="20"/>
          <w:color w:val="auto"/>
        </w:rPr>
      </w:pPr>
      <w:r>
        <w:rPr>
          <w:rFonts w:ascii="Arial" w:cs="Arial" w:eastAsia="Arial" w:hAnsi="Arial"/>
          <w:sz w:val="18"/>
          <w:szCs w:val="18"/>
          <w:color w:val="auto"/>
        </w:rPr>
        <w:t>Under Dutch law, various protective measures are possible and permissible within the boundaries set by Dutch law and Dutch case law. In this respect, our general meeting shall authorize our management board, subject to the approval by our supervisory board, to grant a call option to an independent foundation under Dutch law (if and when incorporated), or protective foundation, to acquire preferred shares pursuant to a call option agreement, or the call option agreement, that may be entered into between us and such protective foundation after the later of (a) dievini (or its legal successor or permitted assigns under the KfW dievini Shareholders’ Agreement) and its affiliates as defined by our articles of association and ultimate beneficiaries as defined by our articles of association (individually or collectively) no longer holding at least 25% of our issued share capital (or an earlier change of control over dievini, as defined in our articles of association), which we refer to as the initial period, or (b) the termination or expiry of the KfW dievini Shareholders’ Agreement (see “Related Party Transactions — Shareholders’ Agreement Among KfW, dievini and Mr. Hopp” for further information on that agreement), which we refer to as the initial approval period.</w:t>
      </w:r>
    </w:p>
    <w:p>
      <w:pPr>
        <w:spacing w:after="0" w:line="110" w:lineRule="exact"/>
        <w:rPr>
          <w:sz w:val="20"/>
          <w:szCs w:val="20"/>
          <w:color w:val="auto"/>
        </w:rPr>
      </w:pPr>
    </w:p>
    <w:p>
      <w:pPr>
        <w:ind w:left="1260" w:right="439" w:firstLine="648"/>
        <w:spacing w:after="0" w:line="267" w:lineRule="auto"/>
        <w:rPr>
          <w:sz w:val="20"/>
          <w:szCs w:val="20"/>
          <w:color w:val="auto"/>
        </w:rPr>
      </w:pPr>
      <w:r>
        <w:rPr>
          <w:rFonts w:ascii="Arial" w:cs="Arial" w:eastAsia="Arial" w:hAnsi="Arial"/>
          <w:sz w:val="17"/>
          <w:szCs w:val="17"/>
          <w:color w:val="auto"/>
        </w:rPr>
        <w:t>This call option, if and when granted, shall be continuous in nature and can be exercised repeatedly on multiple occasions. If the protective foundation, if and when incorporated, would exercise such call option, if and when granted, a number of preferred shares up to 100% of our issued share capital held by others than the protective foundation, minus one share, will be issued to the protective foundation. These preferred shares would then be issued to the protective foundation under the obligation to pay 25% of their nominal value upon issuance. In order for the protective foundation to finance the issue price in relation to the preferred shares, the protective foundation may enter into a finance arrangement with a bank or other financial institution. As an alternative to securing this external financing, subject to applicable restrictions under Dutch law, the call option agreement, if and when entered into, will provide that the protective foundation may request us to provide, or cause our subsidiaries to provide, sufficient funding to the protective foundation to enable it to satisfy the payment obligation (or part thereof) in cash and/or to charge an amount equal to the payment obligation (or part thereof) against our profits and/or reserves in satisfaction of such payment obligation. The articles of association of the protective foundation, if and when incorporated, will provide that it will promote and protect the interests of the company, the business connected with the company and the company’s stakeholders from time to time, and repressing possible influences which could threaten the strategy, continuity, independence and/or identity of the company or the business connected with it, to such an extent that this could be considered to be damaging to the aforementioned interests. These influences may include a third party acquiring a significant percentage of our common shares, the announcement of an unsolicited public offer for our common shares, shareholder activism, other concentration of control over our common shares or any other form of undue pressure on us to alter our strategic policies. The protective foundation, if and when incorporated, shall be structured to operate independently of us.</w:t>
      </w:r>
    </w:p>
    <w:p>
      <w:pPr>
        <w:spacing w:after="0" w:line="116" w:lineRule="exact"/>
        <w:rPr>
          <w:sz w:val="20"/>
          <w:szCs w:val="20"/>
          <w:color w:val="auto"/>
        </w:rPr>
      </w:pPr>
    </w:p>
    <w:p>
      <w:pPr>
        <w:ind w:left="1260" w:right="439" w:firstLine="648"/>
        <w:spacing w:after="0" w:line="254" w:lineRule="auto"/>
        <w:rPr>
          <w:sz w:val="20"/>
          <w:szCs w:val="20"/>
          <w:color w:val="auto"/>
        </w:rPr>
      </w:pPr>
      <w:r>
        <w:rPr>
          <w:rFonts w:ascii="Arial" w:cs="Arial" w:eastAsia="Arial" w:hAnsi="Arial"/>
          <w:sz w:val="18"/>
          <w:szCs w:val="18"/>
          <w:color w:val="auto"/>
        </w:rPr>
        <w:t>The voting rights of our shares are based on nominal value and, as we expect our common shares to trade substantially in excess of their nominal value, preferred shares issued at 25% of their nominal value can carry significant voting power for a substantially reduced price compared to the price of our common shares and thus can be used as a defensive measure. These preferred shares, if and when issued, will have both a liquidation and dividend preference over our common shares and will accrue cash dividends at a fixed rate calculated over the amount paid-up on those preferred shares pro rata tempore for the period during which they were outstanding. The protective foundation would be expected to require us to cancel its preferred</w:t>
      </w:r>
    </w:p>
    <w:p>
      <w:pPr>
        <w:sectPr>
          <w:pgSz w:w="11900" w:h="16838" w:orient="portrait"/>
          <w:cols w:equalWidth="0" w:num="1">
            <w:col w:w="9879"/>
          </w:cols>
          <w:pgMar w:left="580" w:top="131"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6" w:name="page87"/>
    <w:bookmarkEnd w:id="8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599"/>
        <w:spacing w:after="0" w:line="241" w:lineRule="auto"/>
        <w:rPr>
          <w:sz w:val="20"/>
          <w:szCs w:val="20"/>
          <w:color w:val="auto"/>
        </w:rPr>
      </w:pPr>
      <w:r>
        <w:rPr>
          <w:rFonts w:ascii="Arial" w:cs="Arial" w:eastAsia="Arial" w:hAnsi="Arial"/>
          <w:sz w:val="18"/>
          <w:szCs w:val="18"/>
          <w:color w:val="auto"/>
        </w:rPr>
        <w:t>shares, if and when issued to the protective foundation, once the perceived threat to the company and its stakeholders has been removed or sufficiently mitigated or neutralized. However, subject to the same limitations described above, the protective foundation would, in that case, continue to have the right to exercise the call option in the future in response to a new threat to the interests of us, our business and our stakeholders from time to time.</w:t>
      </w:r>
    </w:p>
    <w:p>
      <w:pPr>
        <w:spacing w:after="0" w:line="122" w:lineRule="exact"/>
        <w:rPr>
          <w:sz w:val="20"/>
          <w:szCs w:val="20"/>
          <w:color w:val="auto"/>
        </w:rPr>
      </w:pPr>
    </w:p>
    <w:p>
      <w:pPr>
        <w:ind w:left="1260" w:right="639" w:firstLine="648"/>
        <w:spacing w:after="0" w:line="248" w:lineRule="auto"/>
        <w:rPr>
          <w:sz w:val="20"/>
          <w:szCs w:val="20"/>
          <w:color w:val="auto"/>
        </w:rPr>
      </w:pPr>
      <w:r>
        <w:rPr>
          <w:rFonts w:ascii="Arial" w:cs="Arial" w:eastAsia="Arial" w:hAnsi="Arial"/>
          <w:sz w:val="18"/>
          <w:szCs w:val="18"/>
          <w:color w:val="auto"/>
        </w:rPr>
        <w:t>In addition, certain provisions of our articles of association may make it more difficult for a third party to acquire control of us or effect a change in our management board and supervisory board. These include:</w:t>
      </w:r>
    </w:p>
    <w:p>
      <w:pPr>
        <w:spacing w:after="0" w:line="74" w:lineRule="exact"/>
        <w:rPr>
          <w:sz w:val="20"/>
          <w:szCs w:val="20"/>
          <w:color w:val="auto"/>
        </w:rPr>
      </w:pPr>
    </w:p>
    <w:p>
      <w:pPr>
        <w:jc w:val="both"/>
        <w:ind w:left="2260" w:right="459" w:hanging="352"/>
        <w:spacing w:after="0" w:line="263" w:lineRule="auto"/>
        <w:tabs>
          <w:tab w:leader="none" w:pos="2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provision that our managing directors and supervisory directors are appointed on the basis of a binding nomination, the binding nature of which can only be overruled by a simple majority of votes cast representing at least one-third of our issued share capital;</w:t>
      </w:r>
    </w:p>
    <w:p>
      <w:pPr>
        <w:spacing w:after="0" w:line="48" w:lineRule="exact"/>
        <w:rPr>
          <w:rFonts w:ascii="Arial" w:cs="Arial" w:eastAsia="Arial" w:hAnsi="Arial"/>
          <w:sz w:val="18"/>
          <w:szCs w:val="18"/>
          <w:color w:val="auto"/>
        </w:rPr>
      </w:pPr>
    </w:p>
    <w:p>
      <w:pPr>
        <w:ind w:left="2260" w:right="479" w:hanging="352"/>
        <w:spacing w:after="0" w:line="254" w:lineRule="auto"/>
        <w:tabs>
          <w:tab w:leader="none" w:pos="2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provision that our managing directors and supervisory directors may only be dismissed by the general meeting by a two-thirds majority of votes cast representing more than 50% of our issued share capital (unless the dismissal is proposed by the supervisory board or, with respect to supervisory directors nominated by dievini or KfW, by dievini (or its legal successor or permitted assigns under the KfW dievini Shareholders’ Agreement) during the nomination period for dievini or by KfW (or its legal successors or permitted assigns under the KfW dievini Shareholders’ Agreement) during the nomination period for KfW, respectively, in which case a simple majority of the votes would be sufficient);</w:t>
      </w:r>
    </w:p>
    <w:p>
      <w:pPr>
        <w:spacing w:after="0" w:line="70" w:lineRule="exact"/>
        <w:rPr>
          <w:rFonts w:ascii="Arial" w:cs="Arial" w:eastAsia="Arial" w:hAnsi="Arial"/>
          <w:sz w:val="18"/>
          <w:szCs w:val="18"/>
          <w:color w:val="auto"/>
        </w:rPr>
      </w:pPr>
    </w:p>
    <w:p>
      <w:pPr>
        <w:ind w:left="2260" w:right="499" w:hanging="352"/>
        <w:spacing w:after="0" w:line="257" w:lineRule="auto"/>
        <w:tabs>
          <w:tab w:leader="none" w:pos="2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provision that certain provisions of our articles of association can only be amended with the affirmative vote of (i) during the nomination period for dievini, dievini (or its legal successors or permitted assigns under the KfW dievini Shareholders’ Agreement) and (ii) during the nomination period for KfW, KfW (or its legal successors or permitted assigns under the KfW dievini Shareholders’ Agreement);</w:t>
      </w:r>
    </w:p>
    <w:p>
      <w:pPr>
        <w:spacing w:after="0" w:line="52" w:lineRule="exact"/>
        <w:rPr>
          <w:rFonts w:ascii="Arial" w:cs="Arial" w:eastAsia="Arial" w:hAnsi="Arial"/>
          <w:sz w:val="18"/>
          <w:szCs w:val="18"/>
          <w:color w:val="auto"/>
        </w:rPr>
      </w:pPr>
    </w:p>
    <w:p>
      <w:pPr>
        <w:ind w:left="2260" w:right="439" w:hanging="352"/>
        <w:spacing w:after="0" w:line="253" w:lineRule="auto"/>
        <w:tabs>
          <w:tab w:leader="none" w:pos="2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provision that if a supervisory director is no longer in office or is unable to act, he or she may be replaced temporarily by a person who the supervisory board has designated for that purpose and, where a supervisory director who has been appointed upon a nomination of dievini or KfW, as applicable, is no longer in office or unable to act, such supervisory director may only be temporarily replaced by a person designated for such purposes by dievini or KfW, as applicable. Such person shall become a full member of the supervisory board with the rights of the relevant supervisory director appointed upon a nomination of dievini or KfW, as applicable, as soon as a written designation to that effect has been received by the chairman or vice-chairman of our supervisory board, subject to limitations, under applicable law regarding dievini’s rights under this provision;</w:t>
      </w:r>
    </w:p>
    <w:p>
      <w:pPr>
        <w:spacing w:after="0" w:line="72" w:lineRule="exact"/>
        <w:rPr>
          <w:rFonts w:ascii="Arial" w:cs="Arial" w:eastAsia="Arial" w:hAnsi="Arial"/>
          <w:sz w:val="18"/>
          <w:szCs w:val="18"/>
          <w:color w:val="auto"/>
        </w:rPr>
      </w:pPr>
    </w:p>
    <w:p>
      <w:pPr>
        <w:ind w:left="2260" w:right="459" w:hanging="352"/>
        <w:spacing w:after="0" w:line="254" w:lineRule="auto"/>
        <w:tabs>
          <w:tab w:leader="none" w:pos="2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provision allowing, among other matters, a former chairman of our supervisory board, a former nominee of dievini, and a former nominee of KfW to jointly take on the supervisory functions, which persons jointly may designate one or more other persons to be charged with the supervision of our company (instead of or together with the former chairman of our supervisory board), as applicable, to supervise our affairs if all of our supervisory directors are removed from office and to appoint others to be charged with the supervision of our affairs, until new supervisory directors are appointed by the general meeting on the basis of a binding nomination discussed above;</w:t>
      </w:r>
    </w:p>
    <w:p>
      <w:pPr>
        <w:spacing w:after="0" w:line="56" w:lineRule="exact"/>
        <w:rPr>
          <w:rFonts w:ascii="Arial" w:cs="Arial" w:eastAsia="Arial" w:hAnsi="Arial"/>
          <w:sz w:val="18"/>
          <w:szCs w:val="18"/>
          <w:color w:val="auto"/>
        </w:rPr>
      </w:pPr>
    </w:p>
    <w:p>
      <w:pPr>
        <w:ind w:left="2260" w:right="479" w:hanging="352"/>
        <w:spacing w:after="0" w:line="279" w:lineRule="auto"/>
        <w:tabs>
          <w:tab w:leader="none" w:pos="22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 provision allowing the management board to temporarily replace a managing director who is no longer in office or unable to act, with another person or persons designated for this purpose by the management board and attributing the management of the company to the supervisory board in case all managing directors are no longer in office or unable to act; and</w:t>
      </w:r>
    </w:p>
    <w:p>
      <w:pPr>
        <w:spacing w:after="0" w:line="49" w:lineRule="exact"/>
        <w:rPr>
          <w:rFonts w:ascii="Arial" w:cs="Arial" w:eastAsia="Arial" w:hAnsi="Arial"/>
          <w:sz w:val="17"/>
          <w:szCs w:val="17"/>
          <w:color w:val="auto"/>
        </w:rPr>
      </w:pPr>
    </w:p>
    <w:p>
      <w:pPr>
        <w:jc w:val="both"/>
        <w:ind w:left="2260" w:right="499" w:hanging="352"/>
        <w:spacing w:after="0" w:line="263" w:lineRule="auto"/>
        <w:tabs>
          <w:tab w:leader="none" w:pos="2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requirement that certain matters, including an amendment of our articles of association, may only be brought to our shareholders for a vote upon a proposal by our management board with the approval of our supervisory board.</w:t>
      </w:r>
    </w:p>
    <w:p>
      <w:pPr>
        <w:spacing w:after="0" w:line="116" w:lineRule="exact"/>
        <w:rPr>
          <w:sz w:val="20"/>
          <w:szCs w:val="20"/>
          <w:color w:val="auto"/>
        </w:rPr>
      </w:pPr>
    </w:p>
    <w:p>
      <w:pPr>
        <w:ind w:left="1260" w:right="779" w:firstLine="648"/>
        <w:spacing w:after="0" w:line="248" w:lineRule="auto"/>
        <w:rPr>
          <w:sz w:val="20"/>
          <w:szCs w:val="20"/>
          <w:color w:val="auto"/>
        </w:rPr>
      </w:pPr>
      <w:r>
        <w:rPr>
          <w:rFonts w:ascii="Arial" w:cs="Arial" w:eastAsia="Arial" w:hAnsi="Arial"/>
          <w:sz w:val="18"/>
          <w:szCs w:val="18"/>
          <w:color w:val="auto"/>
        </w:rPr>
        <w:t>In addition, Dutch law allows for staggered multi- year terms of our managing directors and supervisory directors, as a result of which only part of our managing directors and supervisory directors may be subject to appointment or re-appointment in any one year.</w:t>
      </w:r>
    </w:p>
    <w:p>
      <w:pPr>
        <w:sectPr>
          <w:pgSz w:w="11900" w:h="16838" w:orient="portrait"/>
          <w:cols w:equalWidth="0" w:num="1">
            <w:col w:w="9879"/>
          </w:cols>
          <w:pgMar w:left="580" w:top="131"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7" w:name="page88"/>
    <w:bookmarkEnd w:id="8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spacing w:after="0" w:line="261" w:lineRule="auto"/>
        <w:rPr>
          <w:sz w:val="20"/>
          <w:szCs w:val="20"/>
          <w:color w:val="auto"/>
        </w:rPr>
      </w:pPr>
      <w:r>
        <w:rPr>
          <w:rFonts w:ascii="Arial" w:cs="Arial" w:eastAsia="Arial" w:hAnsi="Arial"/>
          <w:sz w:val="18"/>
          <w:szCs w:val="18"/>
          <w:b w:val="1"/>
          <w:bCs w:val="1"/>
          <w:i w:val="1"/>
          <w:iCs w:val="1"/>
          <w:color w:val="auto"/>
        </w:rPr>
        <w:t>We are not obligated to, and do not, comply with all best practice provisions of the Dutch Corporate Governance Code.</w:t>
      </w:r>
    </w:p>
    <w:p>
      <w:pPr>
        <w:spacing w:after="0" w:line="103" w:lineRule="exact"/>
        <w:rPr>
          <w:sz w:val="20"/>
          <w:szCs w:val="20"/>
          <w:color w:val="auto"/>
        </w:rPr>
      </w:pPr>
    </w:p>
    <w:p>
      <w:pPr>
        <w:ind w:left="1260" w:right="459" w:firstLine="648"/>
        <w:spacing w:after="0" w:line="252" w:lineRule="auto"/>
        <w:rPr>
          <w:sz w:val="20"/>
          <w:szCs w:val="20"/>
          <w:color w:val="auto"/>
        </w:rPr>
      </w:pPr>
      <w:r>
        <w:rPr>
          <w:rFonts w:ascii="Arial" w:cs="Arial" w:eastAsia="Arial" w:hAnsi="Arial"/>
          <w:sz w:val="17"/>
          <w:szCs w:val="17"/>
          <w:color w:val="auto"/>
        </w:rPr>
        <w:t>We are subject to the Dutch Corporate Governance Code, or the DCGC. The DCGC contains both principles and best practice provisions on corporate governance that regulate relations between the management board, the supervisory board and the general meeting and matters in respect of financial reporting, auditors, disclosure, compliance and enforcement standards. The DCGC is based on a “comply or explain” principle. Accordingly, companies are required to disclose in their annual reports, filed in the Netherlands, whether they comply with the provisions of the DCGC. If they do not comply with those provisions (for example, because of a conflicting Nasdaq requirement), the company is required to give the reasons for such noncompliance. The DCGC applies to Dutch companies listed on a government-recognized stock exchange, whether in the Netherlands or elsewhere, including Nasdaq. We do not comply with all best practice provisions of the DCGC. See “Description of Share Capital and Articles of Association.” This may affect your rights as a shareholder and you may not have the same level of protection as a shareholder in a Dutch company that fully complies with the DCGC.</w:t>
      </w:r>
    </w:p>
    <w:p>
      <w:pPr>
        <w:spacing w:after="0" w:line="183" w:lineRule="exact"/>
        <w:rPr>
          <w:sz w:val="20"/>
          <w:szCs w:val="20"/>
          <w:color w:val="auto"/>
        </w:rPr>
      </w:pPr>
    </w:p>
    <w:p>
      <w:pPr>
        <w:ind w:left="1260" w:right="499"/>
        <w:spacing w:after="0" w:line="262" w:lineRule="auto"/>
        <w:rPr>
          <w:sz w:val="20"/>
          <w:szCs w:val="20"/>
          <w:color w:val="auto"/>
        </w:rPr>
      </w:pPr>
      <w:r>
        <w:rPr>
          <w:rFonts w:ascii="Arial" w:cs="Arial" w:eastAsia="Arial" w:hAnsi="Arial"/>
          <w:sz w:val="17"/>
          <w:szCs w:val="17"/>
          <w:b w:val="1"/>
          <w:bCs w:val="1"/>
          <w:i w:val="1"/>
          <w:iCs w:val="1"/>
          <w:color w:val="auto"/>
        </w:rPr>
        <w:t>We and our independent registered public accountants have identified a material weakness in our internal control over financial reporting. If we are unable to remediate the material weakness, or if other control deficiencies are identified, we may not be able to report our financial results accurately, prevent fraud or file our periodic reports as a public company in a timely manner.</w:t>
      </w:r>
    </w:p>
    <w:p>
      <w:pPr>
        <w:spacing w:after="0" w:line="105" w:lineRule="exact"/>
        <w:rPr>
          <w:sz w:val="20"/>
          <w:szCs w:val="20"/>
          <w:color w:val="auto"/>
        </w:rPr>
      </w:pPr>
    </w:p>
    <w:p>
      <w:pPr>
        <w:ind w:left="1260" w:right="479" w:firstLine="648"/>
        <w:spacing w:after="0" w:line="262" w:lineRule="auto"/>
        <w:rPr>
          <w:sz w:val="20"/>
          <w:szCs w:val="20"/>
          <w:color w:val="auto"/>
        </w:rPr>
      </w:pPr>
      <w:r>
        <w:rPr>
          <w:rFonts w:ascii="Arial" w:cs="Arial" w:eastAsia="Arial" w:hAnsi="Arial"/>
          <w:sz w:val="17"/>
          <w:szCs w:val="17"/>
          <w:color w:val="auto"/>
        </w:rPr>
        <w:t>Prior to the consummation of our initial public offering earlier this year, we have been operating as a private company that was not required to comply with the obligations of a public company with respect to internal controls over financial reporting. We have historically operated with limited accounting personnel and other resources with which to address our internal controls over financial reporting.</w:t>
      </w:r>
    </w:p>
    <w:p>
      <w:pPr>
        <w:spacing w:after="0" w:line="91" w:lineRule="exact"/>
        <w:rPr>
          <w:sz w:val="20"/>
          <w:szCs w:val="20"/>
          <w:color w:val="auto"/>
        </w:rPr>
      </w:pPr>
    </w:p>
    <w:p>
      <w:pPr>
        <w:ind w:left="1260" w:right="419" w:firstLine="648"/>
        <w:spacing w:after="0" w:line="251" w:lineRule="auto"/>
        <w:rPr>
          <w:sz w:val="20"/>
          <w:szCs w:val="20"/>
          <w:color w:val="auto"/>
        </w:rPr>
      </w:pPr>
      <w:r>
        <w:rPr>
          <w:rFonts w:ascii="Arial" w:cs="Arial" w:eastAsia="Arial" w:hAnsi="Arial"/>
          <w:sz w:val="17"/>
          <w:szCs w:val="17"/>
          <w:color w:val="auto"/>
        </w:rPr>
        <w:t>In connection with the audit of our consolidated financial statements for the years ended December 31, 2018 and 2019, we and our independent registered public accountants identified a material weakness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 that was identified was primarily related to (a) a lack of sufficient accounting and supervisory personnel who have the appropriate level of technical accounting experience and training and (b) a lack of consistent application of accounting processes and procedures. These deficiencies constitute a material weakness in our internal controls over financial reporting in both design and operation. As a result of the material weakness, we failed to identify adjustments in various areas, including but not limited to grants from government agencies and similar bodies and capitalization of tangible and intangible assets. Additionally, certain of our documentation was insufficient for assessment of critical accounting guidance for complex or judgmental areas, including share-based compensation. We have relied on the assistance of outside advisors with expertise in these matters to assist us in the preparation of our financial statements and in our compliance with SEC reporting obligations related to this offering and expect to continue to do so while we remediate this material weakness.</w:t>
      </w:r>
    </w:p>
    <w:p>
      <w:pPr>
        <w:spacing w:after="0" w:line="118" w:lineRule="exact"/>
        <w:rPr>
          <w:sz w:val="20"/>
          <w:szCs w:val="20"/>
          <w:color w:val="auto"/>
        </w:rPr>
      </w:pPr>
    </w:p>
    <w:p>
      <w:pPr>
        <w:ind w:left="1260" w:right="439" w:firstLine="648"/>
        <w:spacing w:after="0" w:line="253" w:lineRule="auto"/>
        <w:rPr>
          <w:sz w:val="20"/>
          <w:szCs w:val="20"/>
          <w:color w:val="auto"/>
        </w:rPr>
      </w:pPr>
      <w:r>
        <w:rPr>
          <w:rFonts w:ascii="Arial" w:cs="Arial" w:eastAsia="Arial" w:hAnsi="Arial"/>
          <w:sz w:val="17"/>
          <w:szCs w:val="17"/>
          <w:color w:val="auto"/>
        </w:rPr>
        <w:t>We have initiated a remediation plan to address this material weakness, which includes engaging an outside advisor to assist in improving the design of our internal control environment; as this remediation plan is still in progress, we may be exposed to errors. We began taking additional steps to remediate the material weakness and improve our accounting function, including hiring of additional senior level and staff accountants to support the timely completion of financial close procedures, implement robust processes, and provide additional needed technical expertise, and in the interim, continuing to engage third parties as required to assist with technical accounting, application of new accounting standards, tax matters and valuations of equity instruments. Additionally, we, with the assistance of our outside advisor on internal controls, are in the process of developing and implementing consistent accounting policies, internal control procedures and provide additional training to our accounting and finance staff.</w:t>
      </w:r>
    </w:p>
    <w:p>
      <w:pPr>
        <w:spacing w:after="0" w:line="113" w:lineRule="exact"/>
        <w:rPr>
          <w:sz w:val="20"/>
          <w:szCs w:val="20"/>
          <w:color w:val="auto"/>
        </w:rPr>
      </w:pPr>
    </w:p>
    <w:p>
      <w:pPr>
        <w:jc w:val="both"/>
        <w:ind w:left="1260" w:right="559" w:firstLine="648"/>
        <w:spacing w:after="0" w:line="262" w:lineRule="auto"/>
        <w:rPr>
          <w:sz w:val="20"/>
          <w:szCs w:val="20"/>
          <w:color w:val="auto"/>
        </w:rPr>
      </w:pPr>
      <w:r>
        <w:rPr>
          <w:rFonts w:ascii="Arial" w:cs="Arial" w:eastAsia="Arial" w:hAnsi="Arial"/>
          <w:sz w:val="17"/>
          <w:szCs w:val="17"/>
          <w:color w:val="auto"/>
        </w:rPr>
        <w:t>While we are working to remediate the weakness as quickly and efficiently as possible, we cannot at this time, provide an estimate of the time frame we expect in connection with implementing our plan to remediate this material weakness. These remediation measures may be time consuming, costly, and might place significant demands on our financial and operational resources. If we are unable to successfully</w:t>
      </w:r>
    </w:p>
    <w:p>
      <w:pPr>
        <w:spacing w:after="0" w:line="3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8" w:name="page89"/>
    <w:bookmarkEnd w:id="8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19"/>
        <w:spacing w:after="0" w:line="257" w:lineRule="auto"/>
        <w:rPr>
          <w:sz w:val="20"/>
          <w:szCs w:val="20"/>
          <w:color w:val="auto"/>
        </w:rPr>
      </w:pPr>
      <w:r>
        <w:rPr>
          <w:rFonts w:ascii="Arial" w:cs="Arial" w:eastAsia="Arial" w:hAnsi="Arial"/>
          <w:sz w:val="18"/>
          <w:szCs w:val="18"/>
          <w:color w:val="auto"/>
        </w:rPr>
        <w:t>remediate this material weakness, or other material weaknesses occur in the future, or successfully supervise and rely on outside advisors with expertise in these matters to assist us in the preparation of our financial statements, our financial statements could contain material misstatements that, when discovered in the future, could cause us to fail to meet our future reporting obligations and cause the price of our shares to decline significantly.</w:t>
      </w:r>
    </w:p>
    <w:p>
      <w:pPr>
        <w:spacing w:after="0" w:line="188" w:lineRule="exact"/>
        <w:rPr>
          <w:sz w:val="20"/>
          <w:szCs w:val="20"/>
          <w:color w:val="auto"/>
        </w:rPr>
      </w:pPr>
    </w:p>
    <w:p>
      <w:pPr>
        <w:ind w:left="1260" w:right="519"/>
        <w:spacing w:after="0" w:line="291" w:lineRule="auto"/>
        <w:rPr>
          <w:sz w:val="20"/>
          <w:szCs w:val="20"/>
          <w:color w:val="auto"/>
        </w:rPr>
      </w:pPr>
      <w:r>
        <w:rPr>
          <w:rFonts w:ascii="Arial" w:cs="Arial" w:eastAsia="Arial" w:hAnsi="Arial"/>
          <w:sz w:val="16"/>
          <w:szCs w:val="16"/>
          <w:b w:val="1"/>
          <w:bCs w:val="1"/>
          <w:i w:val="1"/>
          <w:iCs w:val="1"/>
          <w:color w:val="auto"/>
        </w:rPr>
        <w:t>As a public company, we are obligated to develop and maintain proper and effective internal control over financial reporting in order to comply with Section 404 of the Sarbanes-Oxley Act. We may not complete our analysis of our internal control over financial reporting in a timely manner, or these internal controls may not be determined to be effective, which may adversely affect investor confidence in us and, as a result, the value of our common shares. In addition, because of our status as an emerging growth company, you will not be able to depend on any attestation from our independent registered public accountants as to our internal control over financial reporting for the foreseeable future.</w:t>
      </w:r>
    </w:p>
    <w:p>
      <w:pPr>
        <w:spacing w:after="0" w:line="99" w:lineRule="exact"/>
        <w:rPr>
          <w:sz w:val="20"/>
          <w:szCs w:val="20"/>
          <w:color w:val="auto"/>
        </w:rPr>
      </w:pPr>
    </w:p>
    <w:p>
      <w:pPr>
        <w:ind w:left="1260" w:right="459" w:firstLine="648"/>
        <w:spacing w:after="0" w:line="252" w:lineRule="auto"/>
        <w:rPr>
          <w:sz w:val="20"/>
          <w:szCs w:val="20"/>
          <w:color w:val="auto"/>
        </w:rPr>
      </w:pPr>
      <w:r>
        <w:rPr>
          <w:rFonts w:ascii="Arial" w:cs="Arial" w:eastAsia="Arial" w:hAnsi="Arial"/>
          <w:sz w:val="18"/>
          <w:szCs w:val="18"/>
          <w:color w:val="auto"/>
        </w:rPr>
        <w:t>As we completed our initial public offering in August 2020, we are required by Section 404 of the Sarbanes-Oxley Act to furnish a report by management on, among other things, the effectiveness of our internal control over financial reporting in our second annual report. The process of designing and implementing internal control over financial reporting required to comply with this requirement is time consuming, costly and complicated. If during the evaluation and testing process we identify one or more other material weaknesses in our internal control over financial reporting or determine that existing material weaknesses have not been remediated, our management will be unable to assert that our internal control over financial reporting is effective. See “— Our independent registered public accountants have identified a material weakness in our internal control over financial reporting. If we are unable to remediate the material weakness, or if other control deficiencies are identified, we may not be able to report our financial results accurately, prevent fraud or file our periodic reports as a public company in a timely manner.” In addition, if we fail to achieve and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of the Sarbanes-Oxley Act.</w:t>
      </w:r>
    </w:p>
    <w:p>
      <w:pPr>
        <w:spacing w:after="0" w:line="129" w:lineRule="exact"/>
        <w:rPr>
          <w:sz w:val="20"/>
          <w:szCs w:val="20"/>
          <w:color w:val="auto"/>
        </w:rPr>
      </w:pPr>
    </w:p>
    <w:p>
      <w:pPr>
        <w:ind w:left="1260" w:right="419" w:firstLine="648"/>
        <w:spacing w:after="0" w:line="253" w:lineRule="auto"/>
        <w:rPr>
          <w:sz w:val="20"/>
          <w:szCs w:val="20"/>
          <w:color w:val="auto"/>
        </w:rPr>
      </w:pPr>
      <w:r>
        <w:rPr>
          <w:rFonts w:ascii="Arial" w:cs="Arial" w:eastAsia="Arial" w:hAnsi="Arial"/>
          <w:sz w:val="18"/>
          <w:szCs w:val="18"/>
          <w:color w:val="auto"/>
        </w:rPr>
        <w:t>Even if our management concludes that our internal control over financial reporting is effective, our independent registered public accounting firm may issue a report that is qualified if it is not satisfied with our controls or the level at which our controls are documented, designed, operated or reviewed. However, our independent registered public accounting firm will not be required to attest formally to the effectiveness of our internal control over financial reporting pursuant to Section 404 of the Sarbanes-Oxley Act until the filing of our annual report following the date we are no longer an “emerging growth company,” as defined in the JOBS Act. Accordingly, you may not be able to depend on any attestation concerning our internal control over financial reporting from our independent registered public accountants for the foreseeable future.</w:t>
      </w:r>
    </w:p>
    <w:p>
      <w:pPr>
        <w:spacing w:after="0" w:line="115" w:lineRule="exact"/>
        <w:rPr>
          <w:sz w:val="20"/>
          <w:szCs w:val="20"/>
          <w:color w:val="auto"/>
        </w:rPr>
      </w:pPr>
    </w:p>
    <w:p>
      <w:pPr>
        <w:ind w:left="1260" w:right="459" w:firstLine="648"/>
        <w:spacing w:after="0" w:line="270" w:lineRule="auto"/>
        <w:rPr>
          <w:sz w:val="20"/>
          <w:szCs w:val="20"/>
          <w:color w:val="auto"/>
        </w:rPr>
      </w:pPr>
      <w:r>
        <w:rPr>
          <w:rFonts w:ascii="Arial" w:cs="Arial" w:eastAsia="Arial" w:hAnsi="Arial"/>
          <w:sz w:val="17"/>
          <w:szCs w:val="17"/>
          <w:color w:val="auto"/>
        </w:rPr>
        <w:t>We cannot be certain as to the timing of completion of our evaluation, testing and any remediation actions or the impact of the same on our operations. If we are not able to implement the requirements of Section 404 of the Sarbanes-Oxley Act in a timely manner or with adequate compliance, our independent registered public accounting firm may issue an adverse opinion due to ineffective internal controls over financial reporting, and we may be subject to sanctions or investigation by regulatory authorities, such as the SEC. As a result, there could be a negative reaction in the financial markets due to a loss of confidence in the reliability of our financial statements. In addition, we may be required to incur costs in improving our internal control system and the hiring of additional personnel. Any such action could negatively affect our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9" w:name="page90"/>
    <w:bookmarkEnd w:id="8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62" w:lineRule="exact"/>
        <w:rPr>
          <w:sz w:val="20"/>
          <w:szCs w:val="20"/>
          <w:color w:val="auto"/>
        </w:rPr>
      </w:pPr>
    </w:p>
    <w:p>
      <w:pPr>
        <w:ind w:left="1260" w:right="779" w:firstLine="648"/>
        <w:spacing w:after="0" w:line="243" w:lineRule="auto"/>
        <w:rPr>
          <w:sz w:val="20"/>
          <w:szCs w:val="20"/>
          <w:color w:val="auto"/>
        </w:rPr>
      </w:pPr>
      <w:r>
        <w:rPr>
          <w:rFonts w:ascii="Arial" w:cs="Arial" w:eastAsia="Arial" w:hAnsi="Arial"/>
          <w:sz w:val="18"/>
          <w:szCs w:val="18"/>
          <w:color w:val="auto"/>
        </w:rPr>
        <w:t>This prospectus contains statements that constitute forward-looking statements. Many of the forward-looking statements contained in this prospectus can be identified by the use of forward- looking words such as “anticipate,” “believe,” “could,” “expect,” “should,” “plan,” “intend,” “estimate” and “potential,” or other similar expressions.</w:t>
      </w:r>
    </w:p>
    <w:p>
      <w:pPr>
        <w:spacing w:after="0" w:line="120" w:lineRule="exact"/>
        <w:rPr>
          <w:sz w:val="20"/>
          <w:szCs w:val="20"/>
          <w:color w:val="auto"/>
        </w:rPr>
      </w:pPr>
    </w:p>
    <w:p>
      <w:pPr>
        <w:ind w:left="1260" w:right="439" w:firstLine="648"/>
        <w:spacing w:after="0" w:line="239" w:lineRule="auto"/>
        <w:rPr>
          <w:sz w:val="20"/>
          <w:szCs w:val="20"/>
          <w:color w:val="auto"/>
        </w:rPr>
      </w:pPr>
      <w:r>
        <w:rPr>
          <w:rFonts w:ascii="Arial" w:cs="Arial" w:eastAsia="Arial" w:hAnsi="Arial"/>
          <w:sz w:val="18"/>
          <w:szCs w:val="18"/>
          <w:color w:val="auto"/>
        </w:rPr>
        <w:t>Forward-looking statements appear in a number of places in this prospectus and include, but are not limited to, statements regarding our intent, belief or current expectations. Forward -looking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of various factors, including, but not limited to, those identified under the section entitled “Risk Factors” in this prospectus. These risks and uncertainties include factors relating to:</w:t>
      </w:r>
    </w:p>
    <w:p>
      <w:pPr>
        <w:spacing w:after="0" w:line="69" w:lineRule="exact"/>
        <w:rPr>
          <w:sz w:val="20"/>
          <w:szCs w:val="20"/>
          <w:color w:val="auto"/>
        </w:rPr>
      </w:pPr>
    </w:p>
    <w:p>
      <w:pPr>
        <w:ind w:left="2260" w:right="459" w:hanging="352"/>
        <w:spacing w:after="0" w:line="277" w:lineRule="auto"/>
        <w:tabs>
          <w:tab w:leader="none" w:pos="2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ability to obtain funding for our operations necessary to complete further development and commercialization of our product candidates;</w:t>
      </w:r>
    </w:p>
    <w:p>
      <w:pPr>
        <w:spacing w:after="0" w:line="62" w:lineRule="exact"/>
        <w:rPr>
          <w:rFonts w:ascii="Arial" w:cs="Arial" w:eastAsia="Arial" w:hAnsi="Arial"/>
          <w:sz w:val="18"/>
          <w:szCs w:val="18"/>
          <w:color w:val="auto"/>
        </w:rPr>
      </w:pPr>
    </w:p>
    <w:p>
      <w:pPr>
        <w:ind w:left="2260" w:right="419" w:hanging="352"/>
        <w:spacing w:after="0" w:line="257" w:lineRule="auto"/>
        <w:tabs>
          <w:tab w:leader="none" w:pos="2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66" w:lineRule="exact"/>
        <w:rPr>
          <w:rFonts w:ascii="Arial" w:cs="Arial" w:eastAsia="Arial" w:hAnsi="Arial"/>
          <w:sz w:val="18"/>
          <w:szCs w:val="18"/>
          <w:color w:val="auto"/>
        </w:rPr>
      </w:pPr>
    </w:p>
    <w:p>
      <w:pPr>
        <w:ind w:left="2260" w:right="1019" w:hanging="352"/>
        <w:spacing w:after="0" w:line="277" w:lineRule="auto"/>
        <w:tabs>
          <w:tab w:leader="none" w:pos="2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 for our product candidates;</w:t>
      </w:r>
    </w:p>
    <w:p>
      <w:pPr>
        <w:spacing w:after="0" w:line="62" w:lineRule="exact"/>
        <w:rPr>
          <w:rFonts w:ascii="Arial" w:cs="Arial" w:eastAsia="Arial" w:hAnsi="Arial"/>
          <w:sz w:val="18"/>
          <w:szCs w:val="18"/>
          <w:color w:val="auto"/>
        </w:rPr>
      </w:pPr>
    </w:p>
    <w:p>
      <w:pPr>
        <w:ind w:left="2260" w:right="1339" w:hanging="352"/>
        <w:spacing w:after="0" w:line="277" w:lineRule="auto"/>
        <w:tabs>
          <w:tab w:leader="none" w:pos="2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ability and willingness of our third-party collaborators to continue research and development activities relating to our product candidates;</w:t>
      </w:r>
    </w:p>
    <w:p>
      <w:pPr>
        <w:spacing w:after="0" w:line="62" w:lineRule="exact"/>
        <w:rPr>
          <w:rFonts w:ascii="Arial" w:cs="Arial" w:eastAsia="Arial" w:hAnsi="Arial"/>
          <w:sz w:val="18"/>
          <w:szCs w:val="18"/>
          <w:color w:val="auto"/>
        </w:rPr>
      </w:pPr>
    </w:p>
    <w:p>
      <w:pPr>
        <w:ind w:left="2260" w:hanging="352"/>
        <w:spacing w:after="0"/>
        <w:tabs>
          <w:tab w:leader="none" w:pos="2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exercise by the Bill &amp; Melinda Gates Foundation of withdrawal rights;</w:t>
      </w:r>
    </w:p>
    <w:p>
      <w:pPr>
        <w:spacing w:after="0" w:line="103" w:lineRule="exact"/>
        <w:rPr>
          <w:rFonts w:ascii="Arial" w:cs="Arial" w:eastAsia="Arial" w:hAnsi="Arial"/>
          <w:sz w:val="18"/>
          <w:szCs w:val="18"/>
          <w:color w:val="auto"/>
        </w:rPr>
      </w:pPr>
    </w:p>
    <w:p>
      <w:pPr>
        <w:ind w:left="2260" w:right="559" w:hanging="352"/>
        <w:spacing w:after="0" w:line="263" w:lineRule="auto"/>
        <w:tabs>
          <w:tab w:leader="none" w:pos="2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and our collaborators’ ability to obtain, maintain, defend and enforce our intellectual property protection for our proprietary and collaborative product candidates, and the scope of such protection;</w:t>
      </w:r>
    </w:p>
    <w:p>
      <w:pPr>
        <w:spacing w:after="0" w:line="75" w:lineRule="exact"/>
        <w:rPr>
          <w:rFonts w:ascii="Arial" w:cs="Arial" w:eastAsia="Arial" w:hAnsi="Arial"/>
          <w:sz w:val="18"/>
          <w:szCs w:val="18"/>
          <w:color w:val="auto"/>
        </w:rPr>
      </w:pPr>
    </w:p>
    <w:p>
      <w:pPr>
        <w:ind w:left="2260" w:hanging="352"/>
        <w:spacing w:after="0"/>
        <w:tabs>
          <w:tab w:leader="none" w:pos="2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products;</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approved;</w:t>
      </w:r>
    </w:p>
    <w:p>
      <w:pPr>
        <w:spacing w:after="0" w:line="117" w:lineRule="exact"/>
        <w:rPr>
          <w:rFonts w:ascii="Arial" w:cs="Arial" w:eastAsia="Arial" w:hAnsi="Arial"/>
          <w:sz w:val="18"/>
          <w:szCs w:val="18"/>
          <w:color w:val="auto"/>
        </w:rPr>
      </w:pPr>
    </w:p>
    <w:p>
      <w:pPr>
        <w:ind w:left="2260" w:right="839" w:hanging="352"/>
        <w:spacing w:after="0" w:line="263" w:lineRule="auto"/>
        <w:tabs>
          <w:tab w:leader="none" w:pos="2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ability and the potential to successfully manufacture our drug substances and delivery vehicles for preclinical use, for clinical trials and on a larger scale for commercial use, if approved;</w:t>
      </w:r>
    </w:p>
    <w:p>
      <w:pPr>
        <w:spacing w:after="0" w:line="62" w:lineRule="exact"/>
        <w:rPr>
          <w:rFonts w:ascii="Arial" w:cs="Arial" w:eastAsia="Arial" w:hAnsi="Arial"/>
          <w:sz w:val="18"/>
          <w:szCs w:val="18"/>
          <w:color w:val="auto"/>
        </w:rPr>
      </w:pPr>
    </w:p>
    <w:p>
      <w:pPr>
        <w:ind w:left="2260" w:right="799" w:hanging="352"/>
        <w:spacing w:after="0" w:line="277" w:lineRule="auto"/>
        <w:tabs>
          <w:tab w:leader="none" w:pos="2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general economic, political, demographic and business conditions in the United States and Europe;</w:t>
      </w:r>
    </w:p>
    <w:p>
      <w:pPr>
        <w:spacing w:after="0" w:line="62" w:lineRule="exact"/>
        <w:rPr>
          <w:rFonts w:ascii="Arial" w:cs="Arial" w:eastAsia="Arial" w:hAnsi="Arial"/>
          <w:sz w:val="18"/>
          <w:szCs w:val="18"/>
          <w:color w:val="auto"/>
        </w:rPr>
      </w:pPr>
    </w:p>
    <w:p>
      <w:pPr>
        <w:ind w:left="2260" w:hanging="352"/>
        <w:spacing w:after="0"/>
        <w:tabs>
          <w:tab w:leader="none" w:pos="2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fluctuations in inflation and exchange rates in Europe;</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ability to implement our growth strategy;</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ability to compete and conduct our business in the future;</w:t>
      </w:r>
    </w:p>
    <w:p>
      <w:pPr>
        <w:spacing w:after="0" w:line="103" w:lineRule="exact"/>
        <w:rPr>
          <w:rFonts w:ascii="Arial" w:cs="Arial" w:eastAsia="Arial" w:hAnsi="Arial"/>
          <w:sz w:val="18"/>
          <w:szCs w:val="18"/>
          <w:color w:val="auto"/>
        </w:rPr>
      </w:pPr>
    </w:p>
    <w:p>
      <w:pPr>
        <w:ind w:left="2260" w:hanging="352"/>
        <w:spacing w:after="0"/>
        <w:tabs>
          <w:tab w:leader="none" w:pos="2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ability to enroll patients for our clinical trials;</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availability of qualified personnel and the ability to retain such personnel;</w:t>
      </w:r>
    </w:p>
    <w:p>
      <w:pPr>
        <w:spacing w:after="0" w:line="117" w:lineRule="exact"/>
        <w:rPr>
          <w:rFonts w:ascii="Arial" w:cs="Arial" w:eastAsia="Arial" w:hAnsi="Arial"/>
          <w:sz w:val="18"/>
          <w:szCs w:val="18"/>
          <w:color w:val="auto"/>
        </w:rPr>
      </w:pPr>
    </w:p>
    <w:p>
      <w:pPr>
        <w:ind w:left="2260" w:right="539" w:hanging="352"/>
        <w:spacing w:after="0" w:line="277" w:lineRule="auto"/>
        <w:tabs>
          <w:tab w:leader="none" w:pos="2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regulatory developments and changes in the United States and foreign countries including tax matters;</w:t>
      </w:r>
    </w:p>
    <w:p>
      <w:pPr>
        <w:spacing w:after="0" w:line="48" w:lineRule="exact"/>
        <w:rPr>
          <w:rFonts w:ascii="Arial" w:cs="Arial" w:eastAsia="Arial" w:hAnsi="Arial"/>
          <w:sz w:val="18"/>
          <w:szCs w:val="18"/>
          <w:color w:val="auto"/>
        </w:rPr>
      </w:pPr>
    </w:p>
    <w:p>
      <w:pPr>
        <w:ind w:left="2260" w:hanging="352"/>
        <w:spacing w:after="0"/>
        <w:tabs>
          <w:tab w:leader="none" w:pos="2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use of proceeds from this offering;</w:t>
      </w:r>
    </w:p>
    <w:p>
      <w:pPr>
        <w:spacing w:after="0" w:line="117" w:lineRule="exact"/>
        <w:rPr>
          <w:rFonts w:ascii="Arial" w:cs="Arial" w:eastAsia="Arial" w:hAnsi="Arial"/>
          <w:sz w:val="18"/>
          <w:szCs w:val="18"/>
          <w:color w:val="auto"/>
        </w:rPr>
      </w:pPr>
    </w:p>
    <w:p>
      <w:pPr>
        <w:ind w:left="2260" w:right="439" w:hanging="352"/>
        <w:spacing w:after="0" w:line="277" w:lineRule="auto"/>
        <w:tabs>
          <w:tab w:leader="none" w:pos="2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ability to overcome the challenges posed by the COVID-19 pandemic to the conduct of our business;</w:t>
      </w:r>
    </w:p>
    <w:p>
      <w:pPr>
        <w:spacing w:after="0" w:line="62" w:lineRule="exact"/>
        <w:rPr>
          <w:rFonts w:ascii="Arial" w:cs="Arial" w:eastAsia="Arial" w:hAnsi="Arial"/>
          <w:sz w:val="18"/>
          <w:szCs w:val="18"/>
          <w:color w:val="auto"/>
        </w:rPr>
      </w:pPr>
    </w:p>
    <w:p>
      <w:pPr>
        <w:ind w:left="2260" w:hanging="352"/>
        <w:spacing w:after="0"/>
        <w:tabs>
          <w:tab w:leader="none" w:pos="2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other factors that may affect our financial condition, liquidity and results of operations; and</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other risk factors discussed under “Risk Factors.”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0" w:name="page91"/>
    <w:bookmarkEnd w:id="9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19" w:firstLine="648"/>
        <w:spacing w:after="0" w:line="269" w:lineRule="auto"/>
        <w:rPr>
          <w:sz w:val="20"/>
          <w:szCs w:val="20"/>
          <w:color w:val="auto"/>
        </w:rPr>
      </w:pPr>
      <w:r>
        <w:rPr>
          <w:rFonts w:ascii="Arial" w:cs="Arial" w:eastAsia="Arial" w:hAnsi="Arial"/>
          <w:sz w:val="17"/>
          <w:szCs w:val="17"/>
          <w:color w:val="auto"/>
        </w:rPr>
        <w:t>You should read this prospectus carefully with the understanding that our actual future results may be materially different from and worse than what we expect. If our forward-looking statements prove to be inaccurate, the inaccuracy may be material. Other sections of this prospectus include additional factors which could adversely impact our business and financial performance. In light of the significant uncertainties in these forward-looking statements, you should not regard these statements as a representation or warranty by us or any other person that we will achieve our objectives and plans in any specified time frame or at all. Moreover, we operate in an evolving environment. Thus,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14" w:lineRule="exact"/>
        <w:rPr>
          <w:sz w:val="20"/>
          <w:szCs w:val="20"/>
          <w:color w:val="auto"/>
        </w:rPr>
      </w:pPr>
    </w:p>
    <w:p>
      <w:pPr>
        <w:ind w:left="1260" w:right="559" w:firstLine="648"/>
        <w:spacing w:after="0" w:line="259" w:lineRule="auto"/>
        <w:rPr>
          <w:sz w:val="20"/>
          <w:szCs w:val="20"/>
          <w:color w:val="auto"/>
        </w:rPr>
      </w:pPr>
      <w:r>
        <w:rPr>
          <w:rFonts w:ascii="Arial" w:cs="Arial" w:eastAsia="Arial" w:hAnsi="Arial"/>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1" w:name="page92"/>
    <w:bookmarkEnd w:id="9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ind w:left="1260" w:right="439" w:firstLine="648"/>
        <w:spacing w:after="0" w:line="253" w:lineRule="auto"/>
        <w:rPr>
          <w:sz w:val="20"/>
          <w:szCs w:val="20"/>
          <w:color w:val="auto"/>
        </w:rPr>
      </w:pPr>
      <w:r>
        <w:rPr>
          <w:rFonts w:ascii="Arial" w:cs="Arial" w:eastAsia="Arial" w:hAnsi="Arial"/>
          <w:sz w:val="17"/>
          <w:szCs w:val="17"/>
          <w:color w:val="auto"/>
        </w:rPr>
        <w:t>We estimate that the net proceeds to us from the offering will be approximately $486.3 million, assuming a public offering price of $102.69 per common share, which was the last reported sale price of our common shares on The Nasdaq Global Market on January 22, 2021, after deducting estimated underwriting discounts and commissions and offering expenses payable by us. Each $1.00 increase (decrease) in the assumed public offering price of $102.69 per common share, would increase (decrease) our net proceeds, assuming that the number of common shares offered by us, as set forth on the cover page of this prospectus, remains the same and after deducting estimated underwriting discounts and commissions and offering expenses, by $4.7 million. If the underwriters exercise in full their option to purchase additional shares, we estimate that the net proceeds from this offering will be approximately $559.3 million.</w:t>
      </w:r>
    </w:p>
    <w:p>
      <w:pPr>
        <w:spacing w:after="0" w:line="35" w:lineRule="exact"/>
        <w:rPr>
          <w:sz w:val="20"/>
          <w:szCs w:val="20"/>
          <w:color w:val="auto"/>
        </w:rPr>
      </w:pPr>
    </w:p>
    <w:p>
      <w:pPr>
        <w:ind w:left="1260" w:right="1139" w:firstLine="648"/>
        <w:spacing w:after="0" w:line="261" w:lineRule="auto"/>
        <w:rPr>
          <w:sz w:val="20"/>
          <w:szCs w:val="20"/>
          <w:color w:val="auto"/>
        </w:rPr>
      </w:pPr>
      <w:r>
        <w:rPr>
          <w:rFonts w:ascii="Arial" w:cs="Arial" w:eastAsia="Arial" w:hAnsi="Arial"/>
          <w:sz w:val="18"/>
          <w:szCs w:val="18"/>
          <w:color w:val="auto"/>
        </w:rPr>
        <w:t>We currently intend to use the net proceeds from this offering, together with cash and cash equivalents on hand, as follows:</w:t>
      </w:r>
    </w:p>
    <w:p>
      <w:pPr>
        <w:spacing w:after="0" w:line="63" w:lineRule="exact"/>
        <w:rPr>
          <w:sz w:val="20"/>
          <w:szCs w:val="20"/>
          <w:color w:val="auto"/>
        </w:rPr>
      </w:pPr>
    </w:p>
    <w:p>
      <w:pPr>
        <w:ind w:left="2260" w:right="559" w:hanging="352"/>
        <w:spacing w:after="0" w:line="277" w:lineRule="auto"/>
        <w:tabs>
          <w:tab w:leader="none" w:pos="2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fund our mRNA vaccine program against SARS-CoV-2, CVnCoV, through the completion of Phase 3 and its associated working capital requirements;</w:t>
      </w:r>
    </w:p>
    <w:p>
      <w:pPr>
        <w:spacing w:after="0" w:line="62" w:lineRule="exact"/>
        <w:rPr>
          <w:rFonts w:ascii="Arial" w:cs="Arial" w:eastAsia="Arial" w:hAnsi="Arial"/>
          <w:sz w:val="18"/>
          <w:szCs w:val="18"/>
          <w:color w:val="auto"/>
        </w:rPr>
      </w:pPr>
    </w:p>
    <w:p>
      <w:pPr>
        <w:ind w:left="2260" w:right="479" w:hanging="352"/>
        <w:spacing w:after="0" w:line="263" w:lineRule="auto"/>
        <w:tabs>
          <w:tab w:leader="none" w:pos="2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fund the expansion of our in-house manufacturing capacities as well as building significant capacities through an integrated European manufacturing network to produce CVnCOV prior to obtaining regulatory approval;</w:t>
      </w:r>
    </w:p>
    <w:p>
      <w:pPr>
        <w:spacing w:after="0" w:line="62" w:lineRule="exact"/>
        <w:rPr>
          <w:rFonts w:ascii="Arial" w:cs="Arial" w:eastAsia="Arial" w:hAnsi="Arial"/>
          <w:sz w:val="18"/>
          <w:szCs w:val="18"/>
          <w:color w:val="auto"/>
        </w:rPr>
      </w:pPr>
    </w:p>
    <w:p>
      <w:pPr>
        <w:ind w:left="2260" w:right="999" w:hanging="352"/>
        <w:spacing w:after="0" w:line="277" w:lineRule="auto"/>
        <w:tabs>
          <w:tab w:leader="none" w:pos="2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expand our pipeline in oncology led by our oncology program, CV8102, through the completion of the Phase 2 clinical trial;</w:t>
      </w:r>
    </w:p>
    <w:p>
      <w:pPr>
        <w:spacing w:after="0" w:line="62" w:lineRule="exact"/>
        <w:rPr>
          <w:rFonts w:ascii="Arial" w:cs="Arial" w:eastAsia="Arial" w:hAnsi="Arial"/>
          <w:sz w:val="18"/>
          <w:szCs w:val="18"/>
          <w:color w:val="auto"/>
        </w:rPr>
      </w:pPr>
    </w:p>
    <w:p>
      <w:pPr>
        <w:ind w:left="2260" w:right="759" w:hanging="352"/>
        <w:spacing w:after="0" w:line="277" w:lineRule="auto"/>
        <w:tabs>
          <w:tab w:leader="none" w:pos="2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advance our vaccine program, CV7202, in rabies through the completion of the Phase 2 clinical trial;</w:t>
      </w:r>
    </w:p>
    <w:p>
      <w:pPr>
        <w:spacing w:after="0" w:line="62" w:lineRule="exact"/>
        <w:rPr>
          <w:rFonts w:ascii="Arial" w:cs="Arial" w:eastAsia="Arial" w:hAnsi="Arial"/>
          <w:sz w:val="18"/>
          <w:szCs w:val="18"/>
          <w:color w:val="auto"/>
        </w:rPr>
      </w:pPr>
    </w:p>
    <w:p>
      <w:pPr>
        <w:ind w:left="2260" w:right="1019" w:hanging="352"/>
        <w:spacing w:after="0" w:line="277" w:lineRule="auto"/>
        <w:tabs>
          <w:tab w:leader="none" w:pos="2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invest in further development of our mRNA technology platform and to advance the development of other preclinical and clinical programs; and</w:t>
      </w:r>
    </w:p>
    <w:p>
      <w:pPr>
        <w:spacing w:after="0" w:line="62" w:lineRule="exact"/>
        <w:rPr>
          <w:rFonts w:ascii="Arial" w:cs="Arial" w:eastAsia="Arial" w:hAnsi="Arial"/>
          <w:sz w:val="18"/>
          <w:szCs w:val="18"/>
          <w:color w:val="auto"/>
        </w:rPr>
      </w:pPr>
    </w:p>
    <w:p>
      <w:pPr>
        <w:ind w:left="2260" w:hanging="352"/>
        <w:spacing w:after="0"/>
        <w:tabs>
          <w:tab w:leader="none" w:pos="2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remainder for general corporate purposes.</w:t>
      </w:r>
    </w:p>
    <w:p>
      <w:pPr>
        <w:spacing w:after="0" w:line="77" w:lineRule="exact"/>
        <w:rPr>
          <w:sz w:val="20"/>
          <w:szCs w:val="20"/>
          <w:color w:val="auto"/>
        </w:rPr>
      </w:pPr>
    </w:p>
    <w:p>
      <w:pPr>
        <w:ind w:left="1260" w:right="439" w:firstLine="648"/>
        <w:spacing w:after="0" w:line="254" w:lineRule="auto"/>
        <w:rPr>
          <w:sz w:val="20"/>
          <w:szCs w:val="20"/>
          <w:color w:val="auto"/>
        </w:rPr>
      </w:pPr>
      <w:r>
        <w:rPr>
          <w:rFonts w:ascii="Arial" w:cs="Arial" w:eastAsia="Arial" w:hAnsi="Arial"/>
          <w:sz w:val="17"/>
          <w:szCs w:val="17"/>
          <w:color w:val="auto"/>
        </w:rPr>
        <w:t>Our expected use of net proceeds from this offering represents our current intentions based upon our present plans and business condition. As of the date of this prospectus, we cannot predict with certainty all of the particular uses for the net proceeds to be received upon the completion of this offering or the amounts that we will actually spend on the uses set forth above. The amounts and timing of our actual use of net proceeds will vary depending on numerous factors, including the timing and success of our current and future preclinical studies and clinical trials and the timing and outcome of regulatory submissions. As a result, our management will have broad discretion in the application of the net proceeds of this offering, and investors will be relying on our judgment regarding the application of the net proceeds of this offering.</w:t>
      </w:r>
    </w:p>
    <w:p>
      <w:pPr>
        <w:spacing w:after="0" w:line="46" w:lineRule="exact"/>
        <w:rPr>
          <w:sz w:val="20"/>
          <w:szCs w:val="20"/>
          <w:color w:val="auto"/>
        </w:rPr>
      </w:pPr>
    </w:p>
    <w:p>
      <w:pPr>
        <w:ind w:left="1260" w:right="459" w:firstLine="648"/>
        <w:spacing w:after="0" w:line="261" w:lineRule="auto"/>
        <w:rPr>
          <w:sz w:val="20"/>
          <w:szCs w:val="20"/>
          <w:color w:val="auto"/>
        </w:rPr>
      </w:pPr>
      <w:r>
        <w:rPr>
          <w:rFonts w:ascii="Arial" w:cs="Arial" w:eastAsia="Arial" w:hAnsi="Arial"/>
          <w:sz w:val="18"/>
          <w:szCs w:val="18"/>
          <w:color w:val="auto"/>
        </w:rPr>
        <w:t>Pending their use, we plan to invest the net proceeds of this offering in short-and intermediate-term interest-bearing investments.</w:t>
      </w:r>
    </w:p>
    <w:p>
      <w:pPr>
        <w:spacing w:after="0" w:line="22" w:lineRule="exact"/>
        <w:rPr>
          <w:sz w:val="20"/>
          <w:szCs w:val="20"/>
          <w:color w:val="auto"/>
        </w:rPr>
      </w:pPr>
    </w:p>
    <w:p>
      <w:pPr>
        <w:ind w:left="1260" w:right="439" w:firstLine="648"/>
        <w:spacing w:after="0" w:line="236" w:lineRule="auto"/>
        <w:rPr>
          <w:sz w:val="20"/>
          <w:szCs w:val="20"/>
          <w:color w:val="auto"/>
        </w:rPr>
      </w:pPr>
      <w:r>
        <w:rPr>
          <w:rFonts w:ascii="Arial" w:cs="Arial" w:eastAsia="Arial" w:hAnsi="Arial"/>
          <w:sz w:val="18"/>
          <w:szCs w:val="18"/>
          <w:color w:val="auto"/>
        </w:rPr>
        <w:t>We believe that the anticipated net proceeds from this offering, together with our existing cash, cash equivalents, borrowings available to us and short-term investments, will enable us to fund our operating expenses and capital expenditure requirements at least through the end of 2023. We have based this estimate on assumptions that may prove to be wrong, and we could exhaust our available capital resources sooner than we expect. The anticipated net proceeds from this offering, together with our existing cash and cash equivalents, will not be sufficient for us to advance our product candidates through regulatory approval, and we will need to raise additional capital to complete the development and potential commercialization of our product candidates. In particular, we will need additional funds to advance our product candidates through Phase 3 clinical trials and produce our vaccine, CVnCoV. We expect to finance our cash needs primarily through a combination of public or private equity offerings, strategic collaborations and debt financing. See “Management’s Discussion and Analysis of Financial Condition and Results of Operations — Liquidity and Capital Resources — Contractual Obligations and Commitments — Future Capital Requirements” and “Risk Factors — Risks Related to Our Financial Position and Need for Additional Capital — We have incurred significant losses since our inception. We expect to incur losses for the foreseeable future and may never achieve or maintain profitability” and “— Even if we consummate this offering, we will require substantial additional financing, which may not be available on acceptable terms, or at all. Raising additional capital</w:t>
      </w:r>
    </w:p>
    <w:p>
      <w:pPr>
        <w:spacing w:after="0" w:line="37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2" w:name="page93"/>
    <w:bookmarkEnd w:id="9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519"/>
        <w:spacing w:after="0" w:line="277" w:lineRule="auto"/>
        <w:rPr>
          <w:sz w:val="20"/>
          <w:szCs w:val="20"/>
          <w:color w:val="auto"/>
        </w:rPr>
      </w:pPr>
      <w:r>
        <w:rPr>
          <w:rFonts w:ascii="Arial" w:cs="Arial" w:eastAsia="Arial" w:hAnsi="Arial"/>
          <w:sz w:val="18"/>
          <w:szCs w:val="18"/>
          <w:color w:val="auto"/>
        </w:rPr>
        <w:t>may cause dilution to our shareholders, including purchasers of common shares in this offering, restrict our operations or require us to relinquish rights to our technologies or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3" w:name="page94"/>
    <w:bookmarkEnd w:id="9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DIVIDEND POLICY</w:t>
      </w:r>
    </w:p>
    <w:p>
      <w:pPr>
        <w:spacing w:after="0" w:line="162" w:lineRule="exact"/>
        <w:rPr>
          <w:sz w:val="20"/>
          <w:szCs w:val="20"/>
          <w:color w:val="auto"/>
        </w:rPr>
      </w:pPr>
    </w:p>
    <w:p>
      <w:pPr>
        <w:ind w:left="1260" w:right="419" w:firstLine="648"/>
        <w:spacing w:after="0" w:line="269" w:lineRule="auto"/>
        <w:rPr>
          <w:sz w:val="20"/>
          <w:szCs w:val="20"/>
          <w:color w:val="auto"/>
        </w:rPr>
      </w:pPr>
      <w:r>
        <w:rPr>
          <w:rFonts w:ascii="Arial" w:cs="Arial" w:eastAsia="Arial" w:hAnsi="Arial"/>
          <w:sz w:val="17"/>
          <w:szCs w:val="17"/>
          <w:color w:val="auto"/>
        </w:rPr>
        <w:t>We have never paid or declared any cash dividends on our common shares, and we do not anticipate paying any cash dividends on our common shares in the foreseeable future. We intend to retain all available funds and any future earnings to fund the development and expansion of our business. Under Dutch law, we may only pay dividends to the extent our shareholders’ equity (</w:t>
      </w:r>
      <w:r>
        <w:rPr>
          <w:rFonts w:ascii="Arial" w:cs="Arial" w:eastAsia="Arial" w:hAnsi="Arial"/>
          <w:sz w:val="17"/>
          <w:szCs w:val="17"/>
          <w:i w:val="1"/>
          <w:iCs w:val="1"/>
          <w:color w:val="auto"/>
        </w:rPr>
        <w:t>eigen vermogen</w:t>
      </w:r>
      <w:r>
        <w:rPr>
          <w:rFonts w:ascii="Arial" w:cs="Arial" w:eastAsia="Arial" w:hAnsi="Arial"/>
          <w:sz w:val="17"/>
          <w:szCs w:val="17"/>
          <w:color w:val="auto"/>
        </w:rPr>
        <w:t>) exceeds the sum of the paid-in and called-up share capital plus the reserves required to be maintained by Dutch law or by our articles of association and (if it concerns a distribution of profits) after adoption of the annual accounts by the general meeting from which it appears that such dividend distribution is allowed. Subject to such restrictions, any future determination to pay dividends will be at the discretion of our management board with the approval of our supervisory board and will depend upon a number of factors, including our results of operations, financial condition, future prospects, contractual restrictions, restrictions imposed by applicable law and other factors our management board and supervisory board deem relevant.</w:t>
      </w:r>
    </w:p>
    <w:p>
      <w:pPr>
        <w:spacing w:after="0" w:line="114" w:lineRule="exact"/>
        <w:rPr>
          <w:sz w:val="20"/>
          <w:szCs w:val="20"/>
          <w:color w:val="auto"/>
        </w:rPr>
      </w:pPr>
    </w:p>
    <w:p>
      <w:pPr>
        <w:ind w:left="1260" w:right="459" w:firstLine="648"/>
        <w:spacing w:after="0" w:line="267" w:lineRule="auto"/>
        <w:rPr>
          <w:sz w:val="20"/>
          <w:szCs w:val="20"/>
          <w:color w:val="auto"/>
        </w:rPr>
      </w:pPr>
      <w:r>
        <w:rPr>
          <w:rFonts w:ascii="Arial" w:cs="Arial" w:eastAsia="Arial" w:hAnsi="Arial"/>
          <w:sz w:val="17"/>
          <w:szCs w:val="17"/>
          <w:color w:val="auto"/>
        </w:rPr>
        <w:t>Under our articles of association, our management board may decide that all or part of the profits are added to our reserves. Before reservation of any profit, to the extent that preferred shares have been canceled and preferred distributions on those canceled shares are outstanding, the profits are first to be used to satisfy the outstanding claim to those who held those preferred shares at the moment of such cancellation becoming effective and subsequently if any preferred shares are outstanding, a dividend is paid out of the remaining profit on the preferred shares in accordance with our articles of association. This dividend, or preferred dividend, shall be calculated on the basis of a fixed rate over the amount paid-up on the outstanding preferred shares pro rata tempore for the period during which they were outstanding during the financial year concerned, and shall include any arrears in payment of prior years’ preferred dividends (if any). The remaining profit will be at the disposal of the general meeting at the proposal of the management board for distribution on the common shares, subject to restrictions of Dutch law and approval by our supervisory board of such proposal of our management board. Our management board is permitted, subject to certain requirements, to declare interim dividends without the approval of the general meeting, but only with the approval of the supervisory board. Dividends and other distributions shall be made payable not later than the date determined by the management board. Claims to dividends and other distributions not made within five years from the date that such dividends or distributions became payable will lapse and any such amounts will be considered to have been forfeited to us (</w:t>
      </w:r>
      <w:r>
        <w:rPr>
          <w:rFonts w:ascii="Arial" w:cs="Arial" w:eastAsia="Arial" w:hAnsi="Arial"/>
          <w:sz w:val="17"/>
          <w:szCs w:val="17"/>
          <w:i w:val="1"/>
          <w:iCs w:val="1"/>
          <w:color w:val="auto"/>
        </w:rPr>
        <w:t>verjaring</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4" w:name="page95"/>
    <w:bookmarkEnd w:id="9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CORPORATE REORGANIZATION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Introduction</w:t>
      </w:r>
    </w:p>
    <w:p>
      <w:pPr>
        <w:spacing w:after="0" w:line="162" w:lineRule="exact"/>
        <w:rPr>
          <w:sz w:val="20"/>
          <w:szCs w:val="20"/>
          <w:color w:val="auto"/>
        </w:rPr>
      </w:pPr>
    </w:p>
    <w:p>
      <w:pPr>
        <w:ind w:left="1260" w:right="679" w:firstLine="648"/>
        <w:spacing w:after="0" w:line="277" w:lineRule="auto"/>
        <w:rPr>
          <w:sz w:val="20"/>
          <w:szCs w:val="20"/>
          <w:color w:val="auto"/>
        </w:rPr>
      </w:pPr>
      <w:r>
        <w:rPr>
          <w:rFonts w:ascii="Arial" w:cs="Arial" w:eastAsia="Arial" w:hAnsi="Arial"/>
          <w:sz w:val="18"/>
          <w:szCs w:val="18"/>
          <w:color w:val="auto"/>
        </w:rPr>
        <w:t>In connection with our initial public offering in August 2020, the Corporate Reorganization took place in the steps as described below.</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Exchange of CureVac AG Securities for CureVac B.V. Common Shares</w:t>
      </w:r>
    </w:p>
    <w:p>
      <w:pPr>
        <w:spacing w:after="0" w:line="158" w:lineRule="exact"/>
        <w:rPr>
          <w:sz w:val="20"/>
          <w:szCs w:val="20"/>
          <w:color w:val="auto"/>
        </w:rPr>
      </w:pPr>
    </w:p>
    <w:p>
      <w:pPr>
        <w:ind w:left="1260" w:right="559" w:firstLine="648"/>
        <w:spacing w:after="0" w:line="274" w:lineRule="auto"/>
        <w:rPr>
          <w:sz w:val="20"/>
          <w:szCs w:val="20"/>
          <w:color w:val="auto"/>
        </w:rPr>
      </w:pPr>
      <w:r>
        <w:rPr>
          <w:rFonts w:ascii="Arial" w:cs="Arial" w:eastAsia="Arial" w:hAnsi="Arial"/>
          <w:sz w:val="17"/>
          <w:szCs w:val="17"/>
          <w:color w:val="auto"/>
        </w:rPr>
        <w:t>Immediately following the pricing of our initial public offering, the existing shareholders of CureVac AG became a party to a separate notarial deed of issue under Dutch law, the existing shareholders</w:t>
      </w:r>
    </w:p>
    <w:p>
      <w:pPr>
        <w:ind w:left="1260" w:right="499"/>
        <w:spacing w:after="0" w:line="269" w:lineRule="auto"/>
        <w:tabs>
          <w:tab w:leader="none" w:pos="1489" w:val="left"/>
        </w:tabs>
        <w:numPr>
          <w:ilvl w:val="0"/>
          <w:numId w:val="61"/>
        </w:numPr>
        <w:rPr>
          <w:rFonts w:ascii="Arial" w:cs="Arial" w:eastAsia="Arial" w:hAnsi="Arial"/>
          <w:sz w:val="17"/>
          <w:szCs w:val="17"/>
          <w:color w:val="auto"/>
        </w:rPr>
      </w:pPr>
      <w:r>
        <w:rPr>
          <w:rFonts w:ascii="Arial" w:cs="Arial" w:eastAsia="Arial" w:hAnsi="Arial"/>
          <w:sz w:val="17"/>
          <w:szCs w:val="17"/>
          <w:color w:val="auto"/>
        </w:rPr>
        <w:t>subscribed for new common shares in CureVac B.V. and (ii) agreed to transfer their respective shares in CureVac AG to CureVac B.V. as a contribution in kind against issuance of the aforementioned common shares in CureVac B.V. in the course of a capital increase of CureVac B.V. Immediately thereafter, the existing shareholders of CureVac AG effected such transfer of their respective shares in CureVac AG to CureVac B.V. As a result of the issuance of common shares in CureVac B.V. to the shareholders of CureVac AG as consideration for the contribution and transfer of their respective shares in CureVac AG to CureVac B.V., CureVac B.V. became the sole shareholder of CureVac AG.</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Shares of CureVac B.V. to be Outstanding After the Corporate Reorganization</w:t>
      </w:r>
    </w:p>
    <w:p>
      <w:pPr>
        <w:spacing w:after="0" w:line="144" w:lineRule="exact"/>
        <w:rPr>
          <w:sz w:val="20"/>
          <w:szCs w:val="20"/>
          <w:color w:val="auto"/>
        </w:rPr>
      </w:pPr>
    </w:p>
    <w:p>
      <w:pPr>
        <w:ind w:left="1260" w:right="739" w:firstLine="648"/>
        <w:spacing w:after="0" w:line="277" w:lineRule="auto"/>
        <w:rPr>
          <w:sz w:val="20"/>
          <w:szCs w:val="20"/>
          <w:color w:val="auto"/>
        </w:rPr>
      </w:pPr>
      <w:r>
        <w:rPr>
          <w:rFonts w:ascii="Arial" w:cs="Arial" w:eastAsia="Arial" w:hAnsi="Arial"/>
          <w:sz w:val="18"/>
          <w:szCs w:val="18"/>
          <w:color w:val="auto"/>
        </w:rPr>
        <w:t>Shares of CureVac AG were exchanged for common shares of CureVac B.V. on a 1-to-133.0778 basis as provided for in each notarial deed of issue.</w:t>
      </w:r>
    </w:p>
    <w:p>
      <w:pPr>
        <w:spacing w:after="0" w:line="103" w:lineRule="exact"/>
        <w:rPr>
          <w:sz w:val="20"/>
          <w:szCs w:val="20"/>
          <w:color w:val="auto"/>
        </w:rPr>
      </w:pPr>
    </w:p>
    <w:p>
      <w:pPr>
        <w:ind w:left="1260" w:right="539" w:firstLine="648"/>
        <w:spacing w:after="0" w:line="259" w:lineRule="auto"/>
        <w:rPr>
          <w:sz w:val="20"/>
          <w:szCs w:val="20"/>
          <w:color w:val="auto"/>
        </w:rPr>
      </w:pPr>
      <w:r>
        <w:rPr>
          <w:rFonts w:ascii="Arial" w:cs="Arial" w:eastAsia="Arial" w:hAnsi="Arial"/>
          <w:sz w:val="18"/>
          <w:szCs w:val="18"/>
          <w:color w:val="auto"/>
        </w:rPr>
        <w:t>Upon completion of this share exchange (and prior to the closing of this offering), the then shareholders of CureVac AG held an aggregate of 155,259,871 common shares of CureVac B.V. (inclusive of 702,917 common shares underlying outstanding options under the legacy management stock option plan that were deemed to be outstanding).</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Conversion of CureVac B.V. into CureVac N.V.</w:t>
      </w:r>
    </w:p>
    <w:p>
      <w:pPr>
        <w:spacing w:after="0" w:line="158" w:lineRule="exact"/>
        <w:rPr>
          <w:sz w:val="20"/>
          <w:szCs w:val="20"/>
          <w:color w:val="auto"/>
        </w:rPr>
      </w:pPr>
    </w:p>
    <w:p>
      <w:pPr>
        <w:ind w:left="1260" w:right="459" w:firstLine="648"/>
        <w:spacing w:after="0" w:line="252" w:lineRule="auto"/>
        <w:rPr>
          <w:sz w:val="20"/>
          <w:szCs w:val="20"/>
          <w:color w:val="auto"/>
        </w:rPr>
      </w:pPr>
      <w:r>
        <w:rPr>
          <w:rFonts w:ascii="Arial" w:cs="Arial" w:eastAsia="Arial" w:hAnsi="Arial"/>
          <w:sz w:val="18"/>
          <w:szCs w:val="18"/>
          <w:color w:val="auto"/>
        </w:rPr>
        <w:t>As part of the Corporate Reorganization, the legal form of CureVac B.V. was converted from a Dutch private company with limited liability (</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to a Dutch public company (</w:t>
      </w:r>
      <w:r>
        <w:rPr>
          <w:rFonts w:ascii="Arial" w:cs="Arial" w:eastAsia="Arial" w:hAnsi="Arial"/>
          <w:sz w:val="18"/>
          <w:szCs w:val="18"/>
          <w:i w:val="1"/>
          <w:iCs w:val="1"/>
          <w:color w:val="auto"/>
        </w:rPr>
        <w:t>naamloze vennootschap</w:t>
      </w:r>
      <w:r>
        <w:rPr>
          <w:rFonts w:ascii="Arial" w:cs="Arial" w:eastAsia="Arial" w:hAnsi="Arial"/>
          <w:sz w:val="18"/>
          <w:szCs w:val="18"/>
          <w:color w:val="auto"/>
        </w:rPr>
        <w:t>), and the articles of association of CureVac N.V. became effective. Such final step took place by means of the execution of a notarial deed of conversion and amendment, which took place prior to the listing of our common shares on Nasdaq. This deed of conversion and amendment was executed following the delivery of a Dutch auditor’s statement confirming that, on a day within five months prior to the conversion, our shareholders’ equity was at least equal to the paid-in part of our issued share capital as set forth in the deed of conversion and amendment. The conversion resulted in a name change from CureVac B.V. to CureVac N.V. Our articles of association are further described in the section “Description of Share Capital and Articles of Association” and are filed (as an English translation of the official Dutch version) as an exhibit to the registration statement of which this prospectus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5" w:name="page96"/>
    <w:bookmarkEnd w:id="9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CAPITALIZATION</w:t>
      </w:r>
    </w:p>
    <w:p>
      <w:pPr>
        <w:spacing w:after="0" w:line="162" w:lineRule="exact"/>
        <w:rPr>
          <w:sz w:val="20"/>
          <w:szCs w:val="20"/>
          <w:color w:val="auto"/>
        </w:rPr>
      </w:pPr>
    </w:p>
    <w:p>
      <w:pPr>
        <w:ind w:left="1260" w:right="539" w:firstLine="648"/>
        <w:spacing w:after="0" w:line="263" w:lineRule="auto"/>
        <w:rPr>
          <w:sz w:val="20"/>
          <w:szCs w:val="20"/>
          <w:color w:val="auto"/>
        </w:rPr>
      </w:pPr>
      <w:r>
        <w:rPr>
          <w:rFonts w:ascii="Arial" w:cs="Arial" w:eastAsia="Arial" w:hAnsi="Arial"/>
          <w:sz w:val="18"/>
          <w:szCs w:val="18"/>
          <w:color w:val="auto"/>
        </w:rPr>
        <w:t>The table below sets forth our cash and cash equivalents and capitalization (defined as long-term debt and shareholders’ equity) as of September 30, 2020 derived from our unaudited consolidated financial statements prepared in accordance with IFRS as issued by the IASB:</w:t>
      </w:r>
    </w:p>
    <w:p>
      <w:pPr>
        <w:spacing w:after="0" w:line="76" w:lineRule="exact"/>
        <w:rPr>
          <w:sz w:val="20"/>
          <w:szCs w:val="20"/>
          <w:color w:val="auto"/>
        </w:rPr>
      </w:pPr>
    </w:p>
    <w:p>
      <w:pPr>
        <w:ind w:left="2260" w:hanging="352"/>
        <w:spacing w:after="0"/>
        <w:tabs>
          <w:tab w:leader="none" w:pos="2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7" w:lineRule="exact"/>
        <w:rPr>
          <w:rFonts w:ascii="Arial" w:cs="Arial" w:eastAsia="Arial" w:hAnsi="Arial"/>
          <w:sz w:val="18"/>
          <w:szCs w:val="18"/>
          <w:color w:val="auto"/>
        </w:rPr>
      </w:pPr>
    </w:p>
    <w:p>
      <w:pPr>
        <w:ind w:left="2260" w:right="459" w:hanging="352"/>
        <w:spacing w:after="0" w:line="286" w:lineRule="auto"/>
        <w:tabs>
          <w:tab w:leader="none" w:pos="22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on a pro forma basis to give effect to the issuance and sale of 5,000,000 common shares in this offering, assuming a public offering price of $102.69 per common share, which was the last reported sale price of our common shares on The Nasdaq Global Market on January 22, 2021.</w:t>
      </w:r>
    </w:p>
    <w:p>
      <w:pPr>
        <w:spacing w:after="0" w:line="98" w:lineRule="exact"/>
        <w:rPr>
          <w:sz w:val="20"/>
          <w:szCs w:val="20"/>
          <w:color w:val="auto"/>
        </w:rPr>
      </w:pPr>
    </w:p>
    <w:p>
      <w:pPr>
        <w:ind w:left="1260" w:right="459" w:firstLine="648"/>
        <w:spacing w:after="0" w:line="259" w:lineRule="auto"/>
        <w:rPr>
          <w:sz w:val="20"/>
          <w:szCs w:val="20"/>
          <w:color w:val="auto"/>
        </w:rPr>
      </w:pPr>
      <w:r>
        <w:rPr>
          <w:rFonts w:ascii="Arial" w:cs="Arial" w:eastAsia="Arial" w:hAnsi="Arial"/>
          <w:sz w:val="18"/>
          <w:szCs w:val="18"/>
          <w:color w:val="auto"/>
        </w:rPr>
        <w:t>This table should be read in conjunction with “Management’s Discussion and Analysis of Financial Condition and Results of Operations,” “Corporate Reorganization,” “Certain Relationships and Related Party Transactions” and the consolidated financial statements and notes thereto appearing elsewhere in this prospectus.</w:t>
      </w:r>
    </w:p>
    <w:p>
      <w:pPr>
        <w:spacing w:after="0" w:line="12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Actual</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4"/>
              </w:rPr>
              <w:t>Pro Forma</w:t>
            </w:r>
          </w:p>
        </w:tc>
      </w:tr>
      <w:tr>
        <w:trPr>
          <w:trHeight w:val="26"/>
        </w:trPr>
        <w:tc>
          <w:tcPr>
            <w:tcW w:w="3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60" w:type="dxa"/>
            <w:vAlign w:val="bottom"/>
          </w:tcPr>
          <w:p>
            <w:pPr>
              <w:spacing w:after="0"/>
              <w:rPr>
                <w:sz w:val="2"/>
                <w:szCs w:val="2"/>
                <w:color w:val="auto"/>
              </w:rPr>
            </w:pPr>
          </w:p>
        </w:tc>
      </w:tr>
      <w:tr>
        <w:trPr>
          <w:trHeight w:val="173"/>
        </w:trPr>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3"/>
              </w:rPr>
              <w:t>(in thousands of euros)</w:t>
            </w:r>
          </w:p>
        </w:tc>
      </w:tr>
      <w:tr>
        <w:trPr>
          <w:trHeight w:val="186"/>
        </w:trPr>
        <w:tc>
          <w:tcPr>
            <w:tcW w:w="3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(unaudited)</w:t>
            </w:r>
          </w:p>
        </w:tc>
      </w:tr>
      <w:tr>
        <w:trPr>
          <w:trHeight w:val="26"/>
        </w:trPr>
        <w:tc>
          <w:tcPr>
            <w:tcW w:w="2600" w:type="dxa"/>
            <w:vAlign w:val="bottom"/>
            <w:gridSpan w:val="2"/>
          </w:tcPr>
          <w:p>
            <w:pPr>
              <w:spacing w:after="0"/>
              <w:rPr>
                <w:sz w:val="2"/>
                <w:szCs w:val="2"/>
                <w:color w:val="auto"/>
              </w:rPr>
            </w:pPr>
          </w:p>
        </w:tc>
        <w:tc>
          <w:tcPr>
            <w:tcW w:w="354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7"/>
        </w:trPr>
        <w:tc>
          <w:tcPr>
            <w:tcW w:w="360" w:type="dxa"/>
            <w:vAlign w:val="bottom"/>
          </w:tcPr>
          <w:p>
            <w:pPr>
              <w:spacing w:after="0"/>
              <w:rPr>
                <w:sz w:val="22"/>
                <w:szCs w:val="22"/>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6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8"/>
                <w:szCs w:val="18"/>
                <w:color w:val="auto"/>
                <w:w w:val="99"/>
              </w:rPr>
              <w:t>892,399</w:t>
            </w:r>
            <w:r>
              <w:rPr>
                <w:rFonts w:ascii="Arial" w:cs="Arial" w:eastAsia="Arial" w:hAnsi="Arial"/>
                <w:sz w:val="26"/>
                <w:szCs w:val="26"/>
                <w:color w:val="auto"/>
                <w:w w:val="99"/>
                <w:vertAlign w:val="superscript"/>
              </w:rPr>
              <w:t>(1)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1,288,680</w:t>
            </w:r>
          </w:p>
        </w:tc>
        <w:tc>
          <w:tcPr>
            <w:tcW w:w="60" w:type="dxa"/>
            <w:vAlign w:val="bottom"/>
          </w:tcPr>
          <w:p>
            <w:pPr>
              <w:spacing w:after="0"/>
              <w:rPr>
                <w:sz w:val="22"/>
                <w:szCs w:val="22"/>
                <w:color w:val="auto"/>
              </w:rPr>
            </w:pPr>
          </w:p>
        </w:tc>
      </w:tr>
      <w:tr>
        <w:trPr>
          <w:trHeight w:val="257"/>
        </w:trPr>
        <w:tc>
          <w:tcPr>
            <w:tcW w:w="6160" w:type="dxa"/>
            <w:vAlign w:val="bottom"/>
            <w:gridSpan w:val="4"/>
          </w:tcPr>
          <w:p>
            <w:pPr>
              <w:ind w:left="360"/>
              <w:spacing w:after="0"/>
              <w:rPr>
                <w:sz w:val="20"/>
                <w:szCs w:val="20"/>
                <w:color w:val="auto"/>
              </w:rPr>
            </w:pPr>
            <w:r>
              <w:rPr>
                <w:rFonts w:ascii="Arial" w:cs="Arial" w:eastAsia="Arial" w:hAnsi="Arial"/>
                <w:sz w:val="18"/>
                <w:szCs w:val="18"/>
                <w:color w:val="auto"/>
              </w:rPr>
              <w:t>Equity:</w:t>
            </w: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6"/>
        </w:trPr>
        <w:tc>
          <w:tcPr>
            <w:tcW w:w="360" w:type="dxa"/>
            <w:vAlign w:val="bottom"/>
          </w:tcPr>
          <w:p>
            <w:pPr>
              <w:spacing w:after="0"/>
              <w:rPr>
                <w:sz w:val="22"/>
                <w:szCs w:val="22"/>
                <w:color w:val="auto"/>
              </w:rPr>
            </w:pPr>
          </w:p>
        </w:tc>
        <w:tc>
          <w:tcPr>
            <w:tcW w:w="58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Issued capital</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21,560</w:t>
            </w:r>
          </w:p>
        </w:tc>
        <w:tc>
          <w:tcPr>
            <w:tcW w:w="24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22,160</w:t>
            </w:r>
          </w:p>
        </w:tc>
        <w:tc>
          <w:tcPr>
            <w:tcW w:w="60" w:type="dxa"/>
            <w:vAlign w:val="bottom"/>
          </w:tcPr>
          <w:p>
            <w:pPr>
              <w:spacing w:after="0"/>
              <w:rPr>
                <w:sz w:val="22"/>
                <w:szCs w:val="22"/>
                <w:color w:val="auto"/>
              </w:rPr>
            </w:pPr>
          </w:p>
        </w:tc>
      </w:tr>
      <w:tr>
        <w:trPr>
          <w:trHeight w:val="257"/>
        </w:trPr>
        <w:tc>
          <w:tcPr>
            <w:tcW w:w="360" w:type="dxa"/>
            <w:vAlign w:val="bottom"/>
          </w:tcPr>
          <w:p>
            <w:pPr>
              <w:spacing w:after="0"/>
              <w:rPr>
                <w:sz w:val="22"/>
                <w:szCs w:val="22"/>
                <w:color w:val="auto"/>
              </w:rPr>
            </w:pPr>
          </w:p>
        </w:tc>
        <w:tc>
          <w:tcPr>
            <w:tcW w:w="5800" w:type="dxa"/>
            <w:vAlign w:val="bottom"/>
            <w:gridSpan w:val="3"/>
          </w:tcPr>
          <w:p>
            <w:pPr>
              <w:ind w:left="180"/>
              <w:spacing w:after="0"/>
              <w:rPr>
                <w:sz w:val="20"/>
                <w:szCs w:val="20"/>
                <w:color w:val="auto"/>
              </w:rPr>
            </w:pPr>
            <w:r>
              <w:rPr>
                <w:rFonts w:ascii="Arial" w:cs="Arial" w:eastAsia="Arial" w:hAnsi="Arial"/>
                <w:sz w:val="18"/>
                <w:szCs w:val="18"/>
                <w:color w:val="auto"/>
              </w:rPr>
              <w:t>Capital reserve</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1,326,766</w:t>
            </w: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1,722,447</w:t>
            </w:r>
          </w:p>
        </w:tc>
        <w:tc>
          <w:tcPr>
            <w:tcW w:w="60" w:type="dxa"/>
            <w:vAlign w:val="bottom"/>
          </w:tcPr>
          <w:p>
            <w:pPr>
              <w:spacing w:after="0"/>
              <w:rPr>
                <w:sz w:val="22"/>
                <w:szCs w:val="22"/>
                <w:color w:val="auto"/>
              </w:rPr>
            </w:pPr>
          </w:p>
        </w:tc>
      </w:tr>
      <w:tr>
        <w:trPr>
          <w:trHeight w:val="257"/>
        </w:trPr>
        <w:tc>
          <w:tcPr>
            <w:tcW w:w="360" w:type="dxa"/>
            <w:vAlign w:val="bottom"/>
          </w:tcPr>
          <w:p>
            <w:pPr>
              <w:spacing w:after="0"/>
              <w:rPr>
                <w:sz w:val="22"/>
                <w:szCs w:val="22"/>
                <w:color w:val="auto"/>
              </w:rPr>
            </w:pPr>
          </w:p>
        </w:tc>
        <w:tc>
          <w:tcPr>
            <w:tcW w:w="58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(586,922)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(586,922)</w:t>
            </w:r>
          </w:p>
        </w:tc>
        <w:tc>
          <w:tcPr>
            <w:tcW w:w="60" w:type="dxa"/>
            <w:vAlign w:val="bottom"/>
          </w:tcPr>
          <w:p>
            <w:pPr>
              <w:spacing w:after="0"/>
              <w:rPr>
                <w:sz w:val="22"/>
                <w:szCs w:val="22"/>
                <w:color w:val="auto"/>
              </w:rPr>
            </w:pPr>
          </w:p>
        </w:tc>
      </w:tr>
      <w:tr>
        <w:trPr>
          <w:trHeight w:val="263"/>
        </w:trPr>
        <w:tc>
          <w:tcPr>
            <w:tcW w:w="360" w:type="dxa"/>
            <w:vAlign w:val="bottom"/>
          </w:tcPr>
          <w:p>
            <w:pPr>
              <w:spacing w:after="0"/>
              <w:rPr>
                <w:sz w:val="22"/>
                <w:szCs w:val="22"/>
                <w:color w:val="auto"/>
              </w:rPr>
            </w:pPr>
          </w:p>
        </w:tc>
        <w:tc>
          <w:tcPr>
            <w:tcW w:w="5800" w:type="dxa"/>
            <w:vAlign w:val="bottom"/>
            <w:gridSpan w:val="3"/>
          </w:tcPr>
          <w:p>
            <w:pPr>
              <w:ind w:left="180"/>
              <w:spacing w:after="0"/>
              <w:rPr>
                <w:sz w:val="20"/>
                <w:szCs w:val="20"/>
                <w:color w:val="auto"/>
              </w:rPr>
            </w:pPr>
            <w:r>
              <w:rPr>
                <w:rFonts w:ascii="Arial" w:cs="Arial" w:eastAsia="Arial" w:hAnsi="Arial"/>
                <w:sz w:val="18"/>
                <w:szCs w:val="18"/>
                <w:color w:val="auto"/>
              </w:rPr>
              <w:t>Other comprehensive income</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263"/>
        </w:trPr>
        <w:tc>
          <w:tcPr>
            <w:tcW w:w="360" w:type="dxa"/>
            <w:vAlign w:val="bottom"/>
          </w:tcPr>
          <w:p>
            <w:pPr>
              <w:spacing w:after="0"/>
              <w:rPr>
                <w:sz w:val="22"/>
                <w:szCs w:val="22"/>
                <w:color w:val="auto"/>
              </w:rPr>
            </w:pPr>
          </w:p>
        </w:tc>
        <w:tc>
          <w:tcPr>
            <w:tcW w:w="57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shareholders’ equity</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761,350</w:t>
            </w:r>
          </w:p>
        </w:tc>
        <w:tc>
          <w:tcPr>
            <w:tcW w:w="240" w:type="dxa"/>
            <w:vAlign w:val="bottom"/>
            <w:tcBorders>
              <w:top w:val="single" w:sz="8" w:color="CCEEFF"/>
              <w:bottom w:val="single" w:sz="8" w:color="CCEEFF"/>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1,157,631</w:t>
            </w:r>
          </w:p>
        </w:tc>
        <w:tc>
          <w:tcPr>
            <w:tcW w:w="60" w:type="dxa"/>
            <w:vAlign w:val="bottom"/>
          </w:tcPr>
          <w:p>
            <w:pPr>
              <w:spacing w:after="0"/>
              <w:rPr>
                <w:sz w:val="22"/>
                <w:szCs w:val="22"/>
                <w:color w:val="auto"/>
              </w:rPr>
            </w:pPr>
          </w:p>
        </w:tc>
      </w:tr>
      <w:tr>
        <w:trPr>
          <w:trHeight w:val="264"/>
        </w:trPr>
        <w:tc>
          <w:tcPr>
            <w:tcW w:w="6160" w:type="dxa"/>
            <w:vAlign w:val="bottom"/>
            <w:gridSpan w:val="4"/>
          </w:tcPr>
          <w:p>
            <w:pPr>
              <w:ind w:left="360"/>
              <w:spacing w:after="0"/>
              <w:rPr>
                <w:sz w:val="20"/>
                <w:szCs w:val="20"/>
                <w:color w:val="auto"/>
              </w:rPr>
            </w:pPr>
            <w:r>
              <w:rPr>
                <w:rFonts w:ascii="Arial" w:cs="Arial" w:eastAsia="Arial" w:hAnsi="Arial"/>
                <w:sz w:val="18"/>
                <w:szCs w:val="18"/>
                <w:b w:val="1"/>
                <w:bCs w:val="1"/>
                <w:color w:val="auto"/>
              </w:rPr>
              <w:t>Total capitalization</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761,350</w:t>
            </w:r>
          </w:p>
        </w:tc>
        <w:tc>
          <w:tcPr>
            <w:tcW w:w="240" w:type="dxa"/>
            <w:vAlign w:val="bottom"/>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1,157,631</w:t>
            </w:r>
          </w:p>
        </w:tc>
        <w:tc>
          <w:tcPr>
            <w:tcW w:w="60" w:type="dxa"/>
            <w:vAlign w:val="bottom"/>
          </w:tcPr>
          <w:p>
            <w:pPr>
              <w:spacing w:after="0"/>
              <w:rPr>
                <w:sz w:val="22"/>
                <w:szCs w:val="22"/>
                <w:color w:val="auto"/>
              </w:rPr>
            </w:pPr>
          </w:p>
        </w:tc>
      </w:tr>
      <w:tr>
        <w:trPr>
          <w:trHeight w:val="20"/>
        </w:trPr>
        <w:tc>
          <w:tcPr>
            <w:tcW w:w="3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5"/>
        </w:trPr>
        <w:tc>
          <w:tcPr>
            <w:tcW w:w="360" w:type="dxa"/>
            <w:vAlign w:val="bottom"/>
            <w:tcBorders>
              <w:bottom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354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-462280</wp:posOffset>
            </wp:positionV>
            <wp:extent cx="428625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286250" cy="8255"/>
                    </a:xfrm>
                    <a:prstGeom prst="rect">
                      <a:avLst/>
                    </a:prstGeom>
                    <a:noFill/>
                  </pic:spPr>
                </pic:pic>
              </a:graphicData>
            </a:graphic>
          </wp:anchor>
        </w:drawing>
        <w:drawing>
          <wp:anchor simplePos="0" relativeHeight="251657728" behindDoc="1" locked="0" layoutInCell="0" allowOverlap="1">
            <wp:simplePos x="0" y="0"/>
            <wp:positionH relativeFrom="column">
              <wp:posOffset>5172075</wp:posOffset>
            </wp:positionH>
            <wp:positionV relativeFrom="paragraph">
              <wp:posOffset>-1704975</wp:posOffset>
            </wp:positionV>
            <wp:extent cx="137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01" w:lineRule="exact"/>
        <w:rPr>
          <w:sz w:val="20"/>
          <w:szCs w:val="20"/>
          <w:color w:val="auto"/>
        </w:rPr>
      </w:pPr>
    </w:p>
    <w:p>
      <w:pPr>
        <w:ind w:left="1900" w:right="659" w:hanging="640"/>
        <w:spacing w:after="0" w:line="277" w:lineRule="auto"/>
        <w:tabs>
          <w:tab w:leader="none" w:pos="1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 of December 31, 2020, our cash and cash equivalents were €1.32 billion, inclusive of the first upfront payment under the APA.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6" w:name="page97"/>
    <w:bookmarkEnd w:id="9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DILUTION</w:t>
      </w:r>
    </w:p>
    <w:p>
      <w:pPr>
        <w:spacing w:after="0" w:line="162" w:lineRule="exact"/>
        <w:rPr>
          <w:sz w:val="20"/>
          <w:szCs w:val="20"/>
          <w:color w:val="auto"/>
        </w:rPr>
      </w:pPr>
    </w:p>
    <w:p>
      <w:pPr>
        <w:ind w:left="1260" w:right="639" w:firstLine="648"/>
        <w:spacing w:after="0" w:line="263" w:lineRule="auto"/>
        <w:rPr>
          <w:sz w:val="20"/>
          <w:szCs w:val="20"/>
          <w:color w:val="auto"/>
        </w:rPr>
      </w:pPr>
      <w:r>
        <w:rPr>
          <w:rFonts w:ascii="Arial" w:cs="Arial" w:eastAsia="Arial" w:hAnsi="Arial"/>
          <w:sz w:val="18"/>
          <w:szCs w:val="18"/>
          <w:color w:val="auto"/>
        </w:rPr>
        <w:t>If you invest in our common shares in this offering, your ownership interest will be diluted to the extent of the difference between the public offering price per share and the as adjusted net tangible book value per common share after this offering.</w:t>
      </w:r>
    </w:p>
    <w:p>
      <w:pPr>
        <w:spacing w:after="0" w:line="116" w:lineRule="exact"/>
        <w:rPr>
          <w:sz w:val="20"/>
          <w:szCs w:val="20"/>
          <w:color w:val="auto"/>
        </w:rPr>
      </w:pPr>
    </w:p>
    <w:p>
      <w:pPr>
        <w:ind w:left="1260" w:right="599" w:firstLine="648"/>
        <w:spacing w:after="0" w:line="257" w:lineRule="auto"/>
        <w:rPr>
          <w:sz w:val="20"/>
          <w:szCs w:val="20"/>
          <w:color w:val="auto"/>
        </w:rPr>
      </w:pPr>
      <w:r>
        <w:rPr>
          <w:rFonts w:ascii="Arial" w:cs="Arial" w:eastAsia="Arial" w:hAnsi="Arial"/>
          <w:sz w:val="18"/>
          <w:szCs w:val="18"/>
          <w:color w:val="auto"/>
        </w:rPr>
        <w:t>At September 30, 2020, we had a net tangible book value of $921.8 million (€751.2 million), corresponding to a net tangible book value of $5.11 per common share (€4.16 per common share). Our net tangible book value represents the amount of our total assets less our total liabilities, excluding intangible assets, divided by 180,368,001, the number of common shares issued and outstanding on September 30, 2020.</w:t>
      </w:r>
    </w:p>
    <w:p>
      <w:pPr>
        <w:spacing w:after="0" w:line="107" w:lineRule="exact"/>
        <w:rPr>
          <w:sz w:val="20"/>
          <w:szCs w:val="20"/>
          <w:color w:val="auto"/>
        </w:rPr>
      </w:pPr>
    </w:p>
    <w:p>
      <w:pPr>
        <w:ind w:left="1260" w:right="439" w:firstLine="648"/>
        <w:spacing w:after="0" w:line="252" w:lineRule="auto"/>
        <w:rPr>
          <w:sz w:val="20"/>
          <w:szCs w:val="20"/>
          <w:color w:val="auto"/>
        </w:rPr>
      </w:pPr>
      <w:r>
        <w:rPr>
          <w:rFonts w:ascii="Arial" w:cs="Arial" w:eastAsia="Arial" w:hAnsi="Arial"/>
          <w:sz w:val="18"/>
          <w:szCs w:val="18"/>
          <w:color w:val="auto"/>
        </w:rPr>
        <w:t>After giving further effect to the sale of the 5,000,000 common shares offered by us in the offering at an assumed public offering price of $102.69 per common share (€83.69 per common share), which was the last reported sale price of our common shares on The Nasdaq Global Market on January 22, 2021, after deducting the estimated underwriting discounts and commissions and estimated offering expenses payable by us, our pro forma net tangible book value estimated at September 30, 2020 would have been approximately $1,408.1 million (€1,147.5 million), representing $7.60 per common share (€6.19 per common share). This represents an immediate increase in net tangible book value of $2.49 per common share (€2.03 per common share) to existing shareholders and an immediate dilution in net tangible book value of $95.09 per common share (€77.50 per common share) to new investors purchasing common shares in this offering. Dilution for this purpose represents the difference between the price per common share paid by these purchasers and net tangible book value per common share immediately after the completion of the offering.The following table illustrates this dilution to new investors purchasing common shares in the offering.</w:t>
      </w:r>
    </w:p>
    <w:p>
      <w:pPr>
        <w:spacing w:after="0" w:line="150"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7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jc w:val="right"/>
              <w:ind w:right="13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w:t>
            </w:r>
          </w:p>
        </w:tc>
      </w:tr>
      <w:tr>
        <w:trPr>
          <w:trHeight w:val="25"/>
        </w:trPr>
        <w:tc>
          <w:tcPr>
            <w:tcW w:w="71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57"/>
        </w:trPr>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Assumed public offering price per common share</w:t>
            </w:r>
          </w:p>
        </w:tc>
        <w:tc>
          <w:tcPr>
            <w:tcW w:w="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102.69</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83.69</w:t>
            </w:r>
          </w:p>
        </w:tc>
        <w:tc>
          <w:tcPr>
            <w:tcW w:w="160" w:type="dxa"/>
            <w:vAlign w:val="bottom"/>
          </w:tcPr>
          <w:p>
            <w:pPr>
              <w:spacing w:after="0"/>
              <w:rPr>
                <w:sz w:val="22"/>
                <w:szCs w:val="22"/>
                <w:color w:val="auto"/>
              </w:rPr>
            </w:pPr>
          </w:p>
        </w:tc>
      </w:tr>
      <w:tr>
        <w:trPr>
          <w:trHeight w:val="256"/>
        </w:trPr>
        <w:tc>
          <w:tcPr>
            <w:tcW w:w="7160" w:type="dxa"/>
            <w:vAlign w:val="bottom"/>
            <w:gridSpan w:val="2"/>
          </w:tcPr>
          <w:p>
            <w:pPr>
              <w:ind w:left="180"/>
              <w:spacing w:after="0"/>
              <w:rPr>
                <w:sz w:val="20"/>
                <w:szCs w:val="20"/>
                <w:color w:val="auto"/>
              </w:rPr>
            </w:pPr>
            <w:r>
              <w:rPr>
                <w:rFonts w:ascii="Arial" w:cs="Arial" w:eastAsia="Arial" w:hAnsi="Arial"/>
                <w:sz w:val="18"/>
                <w:szCs w:val="18"/>
                <w:color w:val="auto"/>
              </w:rPr>
              <w:t>Historical net tangible book value per common share as of September 30, 2020</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5.11</w:t>
            </w:r>
          </w:p>
        </w:tc>
        <w:tc>
          <w:tcPr>
            <w:tcW w:w="20" w:type="dxa"/>
            <w:vAlign w:val="bottom"/>
          </w:tcPr>
          <w:p>
            <w:pPr>
              <w:spacing w:after="0"/>
              <w:rPr>
                <w:sz w:val="22"/>
                <w:szCs w:val="22"/>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4.16</w:t>
            </w:r>
          </w:p>
        </w:tc>
      </w:tr>
      <w:tr>
        <w:trPr>
          <w:trHeight w:val="229"/>
        </w:trPr>
        <w:tc>
          <w:tcPr>
            <w:tcW w:w="7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Increase in net tangible book value per common share attributable to this</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r>
      <w:tr>
        <w:trPr>
          <w:trHeight w:val="244"/>
        </w:trPr>
        <w:tc>
          <w:tcPr>
            <w:tcW w:w="7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offering</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w:t>
            </w: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2.03</w:t>
            </w:r>
          </w:p>
        </w:tc>
        <w:tc>
          <w:tcPr>
            <w:tcW w:w="160" w:type="dxa"/>
            <w:vAlign w:val="bottom"/>
          </w:tcPr>
          <w:p>
            <w:pPr>
              <w:spacing w:after="0"/>
              <w:rPr>
                <w:sz w:val="21"/>
                <w:szCs w:val="21"/>
                <w:color w:val="auto"/>
              </w:rPr>
            </w:pPr>
          </w:p>
        </w:tc>
      </w:tr>
      <w:tr>
        <w:trPr>
          <w:trHeight w:val="229"/>
        </w:trPr>
        <w:tc>
          <w:tcPr>
            <w:tcW w:w="7160" w:type="dxa"/>
            <w:vAlign w:val="bottom"/>
            <w:gridSpan w:val="2"/>
          </w:tcPr>
          <w:p>
            <w:pPr>
              <w:spacing w:after="0"/>
              <w:rPr>
                <w:sz w:val="20"/>
                <w:szCs w:val="20"/>
                <w:color w:val="auto"/>
              </w:rPr>
            </w:pPr>
            <w:r>
              <w:rPr>
                <w:rFonts w:ascii="Arial" w:cs="Arial" w:eastAsia="Arial" w:hAnsi="Arial"/>
                <w:sz w:val="18"/>
                <w:szCs w:val="18"/>
                <w:color w:val="auto"/>
              </w:rPr>
              <w:t>Pro forma net tangible book value per common share at September 30, 2020 after giving</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7160" w:type="dxa"/>
            <w:vAlign w:val="bottom"/>
            <w:gridSpan w:val="2"/>
          </w:tcPr>
          <w:p>
            <w:pPr>
              <w:ind w:left="180"/>
              <w:spacing w:after="0"/>
              <w:rPr>
                <w:sz w:val="20"/>
                <w:szCs w:val="20"/>
                <w:color w:val="auto"/>
              </w:rPr>
            </w:pPr>
            <w:r>
              <w:rPr>
                <w:rFonts w:ascii="Arial" w:cs="Arial" w:eastAsia="Arial" w:hAnsi="Arial"/>
                <w:sz w:val="18"/>
                <w:szCs w:val="18"/>
                <w:color w:val="auto"/>
              </w:rPr>
              <w:t>effect to the offering</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7.60</w:t>
            </w:r>
          </w:p>
        </w:tc>
        <w:tc>
          <w:tcPr>
            <w:tcW w:w="20" w:type="dxa"/>
            <w:vAlign w:val="bottom"/>
          </w:tcPr>
          <w:p>
            <w:pPr>
              <w:spacing w:after="0"/>
              <w:rPr>
                <w:sz w:val="20"/>
                <w:szCs w:val="20"/>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6.19</w:t>
            </w:r>
          </w:p>
        </w:tc>
      </w:tr>
      <w:tr>
        <w:trPr>
          <w:trHeight w:val="27"/>
        </w:trPr>
        <w:tc>
          <w:tcPr>
            <w:tcW w:w="7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Dilution per common share to new investors</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95.09</w:t>
            </w: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77.50</w:t>
            </w:r>
          </w:p>
        </w:tc>
        <w:tc>
          <w:tcPr>
            <w:tcW w:w="160" w:type="dxa"/>
            <w:vAlign w:val="bottom"/>
          </w:tcPr>
          <w:p>
            <w:pPr>
              <w:spacing w:after="0"/>
              <w:rPr>
                <w:sz w:val="21"/>
                <w:szCs w:val="21"/>
                <w:color w:val="auto"/>
              </w:rPr>
            </w:pPr>
          </w:p>
        </w:tc>
      </w:tr>
      <w:tr>
        <w:trPr>
          <w:trHeight w:val="257"/>
        </w:trPr>
        <w:tc>
          <w:tcPr>
            <w:tcW w:w="7160" w:type="dxa"/>
            <w:vAlign w:val="bottom"/>
            <w:gridSpan w:val="2"/>
          </w:tcPr>
          <w:p>
            <w:pPr>
              <w:spacing w:after="0"/>
              <w:rPr>
                <w:sz w:val="20"/>
                <w:szCs w:val="20"/>
                <w:color w:val="auto"/>
              </w:rPr>
            </w:pPr>
            <w:r>
              <w:rPr>
                <w:rFonts w:ascii="Arial" w:cs="Arial" w:eastAsia="Arial" w:hAnsi="Arial"/>
                <w:sz w:val="18"/>
                <w:szCs w:val="18"/>
                <w:color w:val="auto"/>
              </w:rPr>
              <w:t>Percentage of dilution per common share to new investors</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92.6%</w:t>
            </w:r>
          </w:p>
        </w:tc>
        <w:tc>
          <w:tcPr>
            <w:tcW w:w="560" w:type="dxa"/>
            <w:vAlign w:val="bottom"/>
            <w:gridSpan w:val="2"/>
          </w:tcPr>
          <w:p>
            <w:pPr>
              <w:ind w:left="100"/>
              <w:spacing w:after="0"/>
              <w:rPr>
                <w:sz w:val="20"/>
                <w:szCs w:val="20"/>
                <w:color w:val="auto"/>
              </w:rPr>
            </w:pPr>
            <w:r>
              <w:rPr>
                <w:rFonts w:ascii="Arial" w:cs="Arial" w:eastAsia="Arial" w:hAnsi="Arial"/>
                <w:sz w:val="18"/>
                <w:szCs w:val="18"/>
                <w:color w:val="auto"/>
                <w:w w:val="86"/>
              </w:rPr>
              <w:t>92.6%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-334010</wp:posOffset>
            </wp:positionV>
            <wp:extent cx="495490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95490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-1293495</wp:posOffset>
            </wp:positionV>
            <wp:extent cx="49460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946015" cy="8255"/>
                    </a:xfrm>
                    <a:prstGeom prst="rect">
                      <a:avLst/>
                    </a:prstGeom>
                    <a:noFill/>
                  </pic:spPr>
                </pic:pic>
              </a:graphicData>
            </a:graphic>
          </wp:anchor>
        </w:drawing>
      </w:r>
    </w:p>
    <w:p>
      <w:pPr>
        <w:spacing w:after="0" w:line="101" w:lineRule="exact"/>
        <w:rPr>
          <w:sz w:val="20"/>
          <w:szCs w:val="20"/>
          <w:color w:val="auto"/>
        </w:rPr>
      </w:pPr>
    </w:p>
    <w:p>
      <w:pPr>
        <w:ind w:left="1260" w:right="439" w:firstLine="648"/>
        <w:spacing w:after="0" w:line="269" w:lineRule="auto"/>
        <w:rPr>
          <w:sz w:val="20"/>
          <w:szCs w:val="20"/>
          <w:color w:val="auto"/>
        </w:rPr>
      </w:pPr>
      <w:r>
        <w:rPr>
          <w:rFonts w:ascii="Arial" w:cs="Arial" w:eastAsia="Arial" w:hAnsi="Arial"/>
          <w:sz w:val="17"/>
          <w:szCs w:val="17"/>
          <w:color w:val="auto"/>
        </w:rPr>
        <w:t>A $1.00 increase (decrease) in the offering price per common share, respectively, would increase (decrease) the pro forma net tangible book value after this offering by $0.03 per common share (€0.02 per common share) and the dilution to new investors purchasing common shares in the offering by $0.97 per common share (€0.79 per common share). An increase of 1.0 million in the number of shares we are offering would increase the pro forma net tangible book value after this offering by $0.48 per common share (€0.39 per common share) and the dilution to new investors purchasing common shares in the offering by $0.48 per common share (€0.39 per common share). A decrease of 1.0 million in the number of shares we are offering would decrease the pro forma net tangible book value after this offering by $0.49 per common share (€0.40 per common share) and the dilution to new investors purchasing common shares in the offering by $0.49 per common share (€0.40 per common share).</w:t>
      </w:r>
    </w:p>
    <w:p>
      <w:pPr>
        <w:spacing w:after="0" w:line="11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If the underwriters were to fully exercise their option to purchase additional shares, the pro forma</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net tangible book value per common share after the offering would be $7.96 per common share (€6.49 per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common share), and the dilution per common share to new investors would be $94.73 per common share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(€77.20 per common share), in each case at the assumed public offering price of $102.69 per common share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(€83.69 per common share).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7" w:name="page98"/>
    <w:bookmarkEnd w:id="9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SELECTED CONSOLIDATED FINANCIAL INFORMATION</w:t>
      </w:r>
    </w:p>
    <w:p>
      <w:pPr>
        <w:spacing w:after="0" w:line="162" w:lineRule="exact"/>
        <w:rPr>
          <w:sz w:val="20"/>
          <w:szCs w:val="20"/>
          <w:color w:val="auto"/>
        </w:rPr>
      </w:pPr>
    </w:p>
    <w:p>
      <w:pPr>
        <w:ind w:left="1260" w:right="479" w:firstLine="648"/>
        <w:spacing w:after="0" w:line="252" w:lineRule="auto"/>
        <w:rPr>
          <w:sz w:val="20"/>
          <w:szCs w:val="20"/>
          <w:color w:val="auto"/>
        </w:rPr>
      </w:pPr>
      <w:r>
        <w:rPr>
          <w:rFonts w:ascii="Arial" w:cs="Arial" w:eastAsia="Arial" w:hAnsi="Arial"/>
          <w:sz w:val="18"/>
          <w:szCs w:val="18"/>
          <w:color w:val="auto"/>
        </w:rPr>
        <w:t>The following tables present selected consolidated financial data for the years ended December 31, 2019 and 2018, and for the nine months ended September 30, 2020 and 2019. We derived the selected consolidated statements of operations and comprehensive income (loss) data for the years ended December 31, 2019 and 2018 and the selected consolidated statement of financial position data as of December 31, 2019 from our audited consolidated financial statements included elsewhere in this prospectus and which have been retrospectively adjusted to reflect the impact of the share split resulting from the Corporate Reorganization. The selected consolidated statements of operations and comprehensive income (loss) data for the nine months ended September 30, 2020 and 2019 and the selected consolidated statement of financial position data as of September 30, 2020 have been derived from our unaudited interim condensed consolidated financial statements included elsewhere in this prospectus, have been prepared on the same basis as the audited financial statements including being retrospectively adjusted to reflect the impact of the share split resulting from the Corporate Reorganization. In the opinion of management, the unaudited interim data reflects all adjustments necessary for a fair presentation of the financial information in those statements.</w:t>
      </w:r>
    </w:p>
    <w:p>
      <w:pPr>
        <w:spacing w:after="0" w:line="130" w:lineRule="exact"/>
        <w:rPr>
          <w:sz w:val="20"/>
          <w:szCs w:val="20"/>
          <w:color w:val="auto"/>
        </w:rPr>
      </w:pPr>
    </w:p>
    <w:p>
      <w:pPr>
        <w:ind w:left="1260" w:right="439" w:firstLine="648"/>
        <w:spacing w:after="0" w:line="259" w:lineRule="auto"/>
        <w:rPr>
          <w:sz w:val="20"/>
          <w:szCs w:val="20"/>
          <w:color w:val="auto"/>
        </w:rPr>
      </w:pPr>
      <w:r>
        <w:rPr>
          <w:rFonts w:ascii="Arial" w:cs="Arial" w:eastAsia="Arial" w:hAnsi="Arial"/>
          <w:sz w:val="18"/>
          <w:szCs w:val="18"/>
          <w:color w:val="auto"/>
        </w:rPr>
        <w:t>Our historical results for the nine months ended September 30, 2019 and 2020 are not necessarily indicative of results to be expected for a full year or any other interim period. We maintain our books and records in euros, and we prepare our consolidated financial statements in accordance with IFRS as issued by the IASB.</w:t>
      </w:r>
    </w:p>
    <w:p>
      <w:pPr>
        <w:spacing w:after="0" w:line="106" w:lineRule="exact"/>
        <w:rPr>
          <w:sz w:val="20"/>
          <w:szCs w:val="20"/>
          <w:color w:val="auto"/>
        </w:rPr>
      </w:pPr>
    </w:p>
    <w:p>
      <w:pPr>
        <w:jc w:val="both"/>
        <w:ind w:left="1260" w:right="899" w:firstLine="648"/>
        <w:spacing w:after="0" w:line="263" w:lineRule="auto"/>
        <w:rPr>
          <w:sz w:val="20"/>
          <w:szCs w:val="20"/>
          <w:color w:val="auto"/>
        </w:rPr>
      </w:pPr>
      <w:r>
        <w:rPr>
          <w:rFonts w:ascii="Arial" w:cs="Arial" w:eastAsia="Arial" w:hAnsi="Arial"/>
          <w:sz w:val="18"/>
          <w:szCs w:val="18"/>
          <w:color w:val="auto"/>
        </w:rPr>
        <w:t>This financial information should be read in conjunction with “Management’s Discussion and Analysis of Financial Condition and Results of Operations” and our consolidated financial statements, including the notes thereto, included elsewhere in this prospectus.</w:t>
      </w:r>
    </w:p>
    <w:p>
      <w:pPr>
        <w:spacing w:after="0" w:line="116" w:lineRule="exact"/>
        <w:rPr>
          <w:sz w:val="20"/>
          <w:szCs w:val="20"/>
          <w:color w:val="auto"/>
        </w:rPr>
      </w:pPr>
    </w:p>
    <w:p>
      <w:pPr>
        <w:ind w:left="1260" w:right="459" w:firstLine="648"/>
        <w:spacing w:after="0" w:line="253" w:lineRule="auto"/>
        <w:rPr>
          <w:sz w:val="20"/>
          <w:szCs w:val="20"/>
          <w:color w:val="auto"/>
        </w:rPr>
      </w:pPr>
      <w:r>
        <w:rPr>
          <w:rFonts w:ascii="Arial" w:cs="Arial" w:eastAsia="Arial" w:hAnsi="Arial"/>
          <w:sz w:val="18"/>
          <w:szCs w:val="18"/>
          <w:color w:val="auto"/>
        </w:rPr>
        <w:t>On August 14, 2020, the Company completed an initial public offering, or IPO, and listed on Nasdaq Global Market under symbol “CVAC.” In connection with the IPO, the Company underwent a Corporate Reorganization by which CureVac N.V. became the parent holding company with 100% interest in CureVac AG. As part of the reorganization, CureVac B.V. was formed and existing shareholders of CureVac AG subscribed for new common shares in CureVac B.V. and agreed to transfer their respective shares in CureVac AG to CureVac B.V. as a contribution in kind against issuance of the common shares in CureVac B.V. shares (share split) on a 1-to-133.0778 basis. As a result, CureVac B.V. became the holding company of CureVac AG, while the existing shareholders had a 100% shareholding in CureVac B.V. Shortly prior to the IPO, CureVac B.V. changed its legal form and became CureVac N.V., common shares of CureVac B.V. were converted to common shares of CureVac N.V. and the articles of association of CureVac N.V. became effective.</w:t>
      </w:r>
    </w:p>
    <w:p>
      <w:pPr>
        <w:spacing w:after="0" w:line="124" w:lineRule="exact"/>
        <w:rPr>
          <w:sz w:val="20"/>
          <w:szCs w:val="20"/>
          <w:color w:val="auto"/>
        </w:rPr>
      </w:pPr>
    </w:p>
    <w:p>
      <w:pPr>
        <w:ind w:left="1260" w:right="599" w:firstLine="648"/>
        <w:spacing w:after="0" w:line="257" w:lineRule="auto"/>
        <w:rPr>
          <w:sz w:val="20"/>
          <w:szCs w:val="20"/>
          <w:color w:val="auto"/>
        </w:rPr>
      </w:pPr>
      <w:r>
        <w:rPr>
          <w:rFonts w:ascii="Arial" w:cs="Arial" w:eastAsia="Arial" w:hAnsi="Arial"/>
          <w:sz w:val="18"/>
          <w:szCs w:val="18"/>
          <w:color w:val="auto"/>
        </w:rPr>
        <w:t>Financial information presented in the consolidated financial statements of CureVac N.V. for periods prior to the completion of our Corporate Reorganization is that of CureVac AG, our wholly owned subsidiary. The consolidated financial statements of CureVac N.V. are a continuation of the historical consolidated financial statements of CureVac AG, which have been retrospectively adjusted to reflect the impact of the share split resulting from the Corporate Reorganization.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8" w:name="page99"/>
    <w:bookmarkEnd w:id="9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152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2"/>
              </w:rPr>
              <w:t>For the Years Ended</w:t>
            </w:r>
          </w:p>
        </w:tc>
        <w:tc>
          <w:tcPr>
            <w:tcW w:w="172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91"/>
              </w:rPr>
              <w:t>For the Nine Months Ended</w:t>
            </w:r>
          </w:p>
        </w:tc>
      </w:tr>
      <w:tr>
        <w:trPr>
          <w:trHeight w:val="186"/>
        </w:trPr>
        <w:tc>
          <w:tcPr>
            <w:tcW w:w="4960" w:type="dxa"/>
            <w:vAlign w:val="bottom"/>
          </w:tcPr>
          <w:p>
            <w:pPr>
              <w:spacing w:after="0"/>
              <w:rPr>
                <w:sz w:val="16"/>
                <w:szCs w:val="16"/>
                <w:color w:val="auto"/>
              </w:rPr>
            </w:pPr>
          </w:p>
        </w:tc>
        <w:tc>
          <w:tcPr>
            <w:tcW w:w="15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6"/>
                <w:szCs w:val="16"/>
                <w:color w:val="auto"/>
              </w:rPr>
            </w:pPr>
          </w:p>
        </w:tc>
        <w:tc>
          <w:tcPr>
            <w:tcW w:w="16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7"/>
              </w:rPr>
              <w:t>September 30,</w:t>
            </w:r>
          </w:p>
        </w:tc>
      </w:tr>
      <w:tr>
        <w:trPr>
          <w:trHeight w:val="26"/>
        </w:trPr>
        <w:tc>
          <w:tcPr>
            <w:tcW w:w="49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98"/>
        </w:trPr>
        <w:tc>
          <w:tcPr>
            <w:tcW w:w="4960" w:type="dxa"/>
            <w:vAlign w:val="bottom"/>
          </w:tcPr>
          <w:p>
            <w:pPr>
              <w:spacing w:after="0"/>
              <w:rPr>
                <w:sz w:val="17"/>
                <w:szCs w:val="17"/>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7"/>
                <w:szCs w:val="17"/>
                <w:color w:val="auto"/>
              </w:rPr>
            </w:pPr>
          </w:p>
        </w:tc>
        <w:tc>
          <w:tcPr>
            <w:tcW w:w="640" w:type="dxa"/>
            <w:vAlign w:val="bottom"/>
          </w:tcPr>
          <w:p>
            <w:pPr>
              <w:jc w:val="right"/>
              <w:ind w:right="93"/>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7"/>
                <w:szCs w:val="17"/>
                <w:color w:val="auto"/>
              </w:rPr>
            </w:pPr>
          </w:p>
        </w:tc>
        <w:tc>
          <w:tcPr>
            <w:tcW w:w="68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7"/>
                <w:szCs w:val="17"/>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6"/>
        </w:trPr>
        <w:tc>
          <w:tcPr>
            <w:tcW w:w="4960" w:type="dxa"/>
            <w:vAlign w:val="bottom"/>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4"/>
          </w:tcPr>
          <w:p>
            <w:pPr>
              <w:spacing w:after="0"/>
              <w:rPr>
                <w:sz w:val="2"/>
                <w:szCs w:val="2"/>
                <w:color w:val="auto"/>
              </w:rPr>
            </w:pPr>
          </w:p>
        </w:tc>
      </w:tr>
      <w:tr>
        <w:trPr>
          <w:trHeight w:val="198"/>
        </w:trPr>
        <w:tc>
          <w:tcPr>
            <w:tcW w:w="4960" w:type="dxa"/>
            <w:vAlign w:val="bottom"/>
          </w:tcPr>
          <w:p>
            <w:pPr>
              <w:spacing w:after="0"/>
              <w:rPr>
                <w:sz w:val="17"/>
                <w:szCs w:val="17"/>
                <w:color w:val="auto"/>
              </w:rPr>
            </w:pPr>
          </w:p>
        </w:tc>
        <w:tc>
          <w:tcPr>
            <w:tcW w:w="3240" w:type="dxa"/>
            <w:vAlign w:val="bottom"/>
            <w:gridSpan w:val="10"/>
          </w:tcPr>
          <w:p>
            <w:pPr>
              <w:jc w:val="right"/>
              <w:ind w:right="180"/>
              <w:spacing w:after="0"/>
              <w:rPr>
                <w:sz w:val="20"/>
                <w:szCs w:val="20"/>
                <w:color w:val="auto"/>
              </w:rPr>
            </w:pPr>
            <w:r>
              <w:rPr>
                <w:rFonts w:ascii="Arial" w:cs="Arial" w:eastAsia="Arial" w:hAnsi="Arial"/>
                <w:sz w:val="14"/>
                <w:szCs w:val="14"/>
                <w:b w:val="1"/>
                <w:bCs w:val="1"/>
                <w:color w:val="auto"/>
                <w:w w:val="90"/>
              </w:rPr>
              <w:t>(in thousands of euros, except per share amounts)</w:t>
            </w:r>
          </w:p>
        </w:tc>
      </w:tr>
      <w:tr>
        <w:trPr>
          <w:trHeight w:val="214"/>
        </w:trPr>
        <w:tc>
          <w:tcPr>
            <w:tcW w:w="4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(unaudited)</w:t>
            </w:r>
          </w:p>
        </w:tc>
      </w:tr>
      <w:tr>
        <w:trPr>
          <w:trHeight w:val="225"/>
        </w:trPr>
        <w:tc>
          <w:tcPr>
            <w:tcW w:w="4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5"/>
              </w:rPr>
              <w:t>Statement of Operations and Comprehensive Income (Loss)</w:t>
            </w: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8"/>
        </w:trPr>
        <w:tc>
          <w:tcPr>
            <w:tcW w:w="49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Data:</w:t>
            </w: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57"/>
        </w:trPr>
        <w:tc>
          <w:tcPr>
            <w:tcW w:w="4960" w:type="dxa"/>
            <w:vAlign w:val="bottom"/>
          </w:tcPr>
          <w:p>
            <w:pPr>
              <w:spacing w:after="0"/>
              <w:rPr>
                <w:sz w:val="20"/>
                <w:szCs w:val="20"/>
                <w:color w:val="auto"/>
              </w:rPr>
            </w:pPr>
            <w:r>
              <w:rPr>
                <w:rFonts w:ascii="Arial" w:cs="Arial" w:eastAsia="Arial" w:hAnsi="Arial"/>
                <w:sz w:val="18"/>
                <w:szCs w:val="18"/>
                <w:color w:val="auto"/>
              </w:rPr>
              <w:t>Revenue</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12,871</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17,416</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10,600</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42,830</w:t>
            </w:r>
          </w:p>
        </w:tc>
      </w:tr>
      <w:tr>
        <w:trPr>
          <w:trHeight w:val="257"/>
        </w:trPr>
        <w:tc>
          <w:tcPr>
            <w:tcW w:w="4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sales</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(17,744)</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(27,983)</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(18,872)</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(7,049)</w:t>
            </w:r>
          </w:p>
        </w:tc>
      </w:tr>
      <w:tr>
        <w:trPr>
          <w:trHeight w:val="257"/>
        </w:trPr>
        <w:tc>
          <w:tcPr>
            <w:tcW w:w="4960" w:type="dxa"/>
            <w:vAlign w:val="bottom"/>
          </w:tcPr>
          <w:p>
            <w:pPr>
              <w:spacing w:after="0"/>
              <w:rPr>
                <w:sz w:val="20"/>
                <w:szCs w:val="20"/>
                <w:color w:val="auto"/>
              </w:rPr>
            </w:pPr>
            <w:r>
              <w:rPr>
                <w:rFonts w:ascii="Arial" w:cs="Arial" w:eastAsia="Arial" w:hAnsi="Arial"/>
                <w:sz w:val="18"/>
                <w:szCs w:val="18"/>
                <w:color w:val="auto"/>
              </w:rPr>
              <w:t>Selling and distribution expenses</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(1,085)</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(1,755)</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(485)</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(809)</w:t>
            </w:r>
          </w:p>
        </w:tc>
      </w:tr>
      <w:tr>
        <w:trPr>
          <w:trHeight w:val="256"/>
        </w:trPr>
        <w:tc>
          <w:tcPr>
            <w:tcW w:w="4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(41,722)</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(43,242)</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(30,665)</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(76,337)</w:t>
            </w:r>
          </w:p>
        </w:tc>
      </w:tr>
      <w:tr>
        <w:trPr>
          <w:trHeight w:val="257"/>
        </w:trPr>
        <w:tc>
          <w:tcPr>
            <w:tcW w:w="49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(25,289)</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(48,969)</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(28,504)</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(33,147)</w:t>
            </w:r>
          </w:p>
        </w:tc>
      </w:tr>
      <w:tr>
        <w:trPr>
          <w:trHeight w:val="257"/>
        </w:trPr>
        <w:tc>
          <w:tcPr>
            <w:tcW w:w="4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808</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5,587</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3,838</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11,695</w:t>
            </w:r>
          </w:p>
        </w:tc>
      </w:tr>
      <w:tr>
        <w:trPr>
          <w:trHeight w:val="263"/>
        </w:trPr>
        <w:tc>
          <w:tcPr>
            <w:tcW w:w="496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(663)</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(552)</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(339)</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(357)</w:t>
            </w:r>
          </w:p>
        </w:tc>
      </w:tr>
      <w:tr>
        <w:trPr>
          <w:trHeight w:val="20"/>
        </w:trPr>
        <w:tc>
          <w:tcPr>
            <w:tcW w:w="496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63"/>
        </w:trPr>
        <w:tc>
          <w:tcPr>
            <w:tcW w:w="4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9"/>
              </w:rPr>
              <w:t>(72,824)</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(99,498)</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(64,427)</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(63,174)</w:t>
            </w:r>
          </w:p>
        </w:tc>
      </w:tr>
      <w:tr>
        <w:trPr>
          <w:trHeight w:val="20"/>
        </w:trPr>
        <w:tc>
          <w:tcPr>
            <w:tcW w:w="496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57"/>
        </w:trPr>
        <w:tc>
          <w:tcPr>
            <w:tcW w:w="4960" w:type="dxa"/>
            <w:vAlign w:val="bottom"/>
          </w:tcPr>
          <w:p>
            <w:pPr>
              <w:spacing w:after="0"/>
              <w:rPr>
                <w:sz w:val="20"/>
                <w:szCs w:val="20"/>
                <w:color w:val="auto"/>
              </w:rPr>
            </w:pPr>
            <w:r>
              <w:rPr>
                <w:rFonts w:ascii="Arial" w:cs="Arial" w:eastAsia="Arial" w:hAnsi="Arial"/>
                <w:sz w:val="18"/>
                <w:szCs w:val="18"/>
                <w:color w:val="auto"/>
              </w:rPr>
              <w:t>Finance income</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1,968</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833</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3,133</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5,103</w:t>
            </w:r>
          </w:p>
        </w:tc>
      </w:tr>
      <w:tr>
        <w:trPr>
          <w:trHeight w:val="263"/>
        </w:trPr>
        <w:tc>
          <w:tcPr>
            <w:tcW w:w="4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(1,460)</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(2,924)</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(14,519)</w:t>
            </w:r>
          </w:p>
        </w:tc>
      </w:tr>
      <w:tr>
        <w:trPr>
          <w:trHeight w:val="20"/>
        </w:trPr>
        <w:tc>
          <w:tcPr>
            <w:tcW w:w="496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63"/>
        </w:trPr>
        <w:tc>
          <w:tcPr>
            <w:tcW w:w="4960" w:type="dxa"/>
            <w:vAlign w:val="bottom"/>
          </w:tcPr>
          <w:p>
            <w:pPr>
              <w:spacing w:after="0"/>
              <w:rPr>
                <w:sz w:val="20"/>
                <w:szCs w:val="20"/>
                <w:color w:val="auto"/>
              </w:rPr>
            </w:pPr>
            <w:r>
              <w:rPr>
                <w:rFonts w:ascii="Arial" w:cs="Arial" w:eastAsia="Arial" w:hAnsi="Arial"/>
                <w:sz w:val="18"/>
                <w:szCs w:val="18"/>
                <w:b w:val="1"/>
                <w:bCs w:val="1"/>
                <w:color w:val="auto"/>
              </w:rPr>
              <w:t>Loss before income tax</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9"/>
              </w:rPr>
              <w:t>(71,131)</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8"/>
              </w:rPr>
              <w:t>(100,125)</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(64,218)</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(72,590)</w:t>
            </w:r>
          </w:p>
        </w:tc>
      </w:tr>
      <w:tr>
        <w:trPr>
          <w:trHeight w:val="20"/>
        </w:trPr>
        <w:tc>
          <w:tcPr>
            <w:tcW w:w="496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63"/>
        </w:trPr>
        <w:tc>
          <w:tcPr>
            <w:tcW w:w="4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335</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1,615</w:t>
            </w:r>
          </w:p>
        </w:tc>
      </w:tr>
      <w:tr>
        <w:trPr>
          <w:trHeight w:val="20"/>
        </w:trPr>
        <w:tc>
          <w:tcPr>
            <w:tcW w:w="496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63"/>
        </w:trPr>
        <w:tc>
          <w:tcPr>
            <w:tcW w:w="496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9"/>
              </w:rPr>
              <w:t>(71,241)</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(99,873)</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(63,883)</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(70,975)</w:t>
            </w:r>
          </w:p>
        </w:tc>
      </w:tr>
      <w:tr>
        <w:trPr>
          <w:trHeight w:val="270"/>
        </w:trPr>
        <w:tc>
          <w:tcPr>
            <w:tcW w:w="496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income/loss:</w:t>
            </w:r>
          </w:p>
        </w:tc>
        <w:tc>
          <w:tcPr>
            <w:tcW w:w="56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CCEEFF"/>
            </w:tcBorders>
            <w:shd w:val="clear" w:color="auto" w:fill="CCEEFF"/>
          </w:tcPr>
          <w:p>
            <w:pPr>
              <w:spacing w:after="0"/>
              <w:rPr>
                <w:sz w:val="23"/>
                <w:szCs w:val="23"/>
                <w:color w:val="auto"/>
              </w:rPr>
            </w:pPr>
          </w:p>
        </w:tc>
        <w:tc>
          <w:tcPr>
            <w:tcW w:w="640" w:type="dxa"/>
            <w:vAlign w:val="bottom"/>
            <w:tcBorders>
              <w:top w:val="single" w:sz="8" w:color="auto"/>
              <w:right w:val="single" w:sz="8" w:color="CCEEFF"/>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right w:val="single" w:sz="8" w:color="CCEEFF"/>
            </w:tcBorders>
            <w:shd w:val="clear" w:color="auto" w:fill="CCEEFF"/>
          </w:tcPr>
          <w:p>
            <w:pPr>
              <w:spacing w:after="0"/>
              <w:rPr>
                <w:sz w:val="23"/>
                <w:szCs w:val="23"/>
                <w:color w:val="auto"/>
              </w:rPr>
            </w:pPr>
          </w:p>
        </w:tc>
        <w:tc>
          <w:tcPr>
            <w:tcW w:w="580" w:type="dxa"/>
            <w:vAlign w:val="bottom"/>
            <w:tcBorders>
              <w:top w:val="single" w:sz="8" w:color="auto"/>
              <w:right w:val="single" w:sz="8" w:color="CCEEFF"/>
            </w:tcBorders>
            <w:shd w:val="clear" w:color="auto" w:fill="CCEEFF"/>
          </w:tcPr>
          <w:p>
            <w:pPr>
              <w:spacing w:after="0"/>
              <w:rPr>
                <w:sz w:val="23"/>
                <w:szCs w:val="23"/>
                <w:color w:val="auto"/>
              </w:rPr>
            </w:pPr>
          </w:p>
        </w:tc>
        <w:tc>
          <w:tcPr>
            <w:tcW w:w="18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CCEEFF"/>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r>
      <w:tr>
        <w:trPr>
          <w:trHeight w:val="270"/>
        </w:trPr>
        <w:tc>
          <w:tcPr>
            <w:tcW w:w="4960" w:type="dxa"/>
            <w:vAlign w:val="bottom"/>
          </w:tcPr>
          <w:p>
            <w:pPr>
              <w:ind w:left="180"/>
              <w:spacing w:after="0"/>
              <w:rPr>
                <w:sz w:val="20"/>
                <w:szCs w:val="20"/>
                <w:color w:val="auto"/>
              </w:rPr>
            </w:pPr>
            <w:r>
              <w:rPr>
                <w:rFonts w:ascii="Arial" w:cs="Arial" w:eastAsia="Arial" w:hAnsi="Arial"/>
                <w:sz w:val="18"/>
                <w:szCs w:val="18"/>
                <w:i w:val="1"/>
                <w:iCs w:val="1"/>
                <w:color w:val="auto"/>
              </w:rPr>
              <w:t>Items that may be subsequently reclassified to profit or loss</w:t>
            </w: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77"/>
        </w:trPr>
        <w:tc>
          <w:tcPr>
            <w:tcW w:w="4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adjustments</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r>
      <w:tr>
        <w:trPr>
          <w:trHeight w:val="20"/>
        </w:trPr>
        <w:tc>
          <w:tcPr>
            <w:tcW w:w="496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70"/>
        </w:trPr>
        <w:tc>
          <w:tcPr>
            <w:tcW w:w="4960" w:type="dxa"/>
            <w:vAlign w:val="bottom"/>
          </w:tcPr>
          <w:p>
            <w:pPr>
              <w:spacing w:after="0"/>
              <w:rPr>
                <w:sz w:val="20"/>
                <w:szCs w:val="20"/>
                <w:color w:val="auto"/>
              </w:rPr>
            </w:pPr>
            <w:r>
              <w:rPr>
                <w:rFonts w:ascii="Arial" w:cs="Arial" w:eastAsia="Arial" w:hAnsi="Arial"/>
                <w:sz w:val="18"/>
                <w:szCs w:val="18"/>
                <w:b w:val="1"/>
                <w:bCs w:val="1"/>
                <w:color w:val="auto"/>
              </w:rPr>
              <w:t>Total comprehensive loss</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9"/>
              </w:rPr>
              <w:t>(71,175)</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(99,841)</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(63,903)</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(70,899)</w:t>
            </w:r>
          </w:p>
        </w:tc>
      </w:tr>
      <w:tr>
        <w:trPr>
          <w:trHeight w:val="20"/>
        </w:trPr>
        <w:tc>
          <w:tcPr>
            <w:tcW w:w="49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0"/>
        </w:trPr>
        <w:tc>
          <w:tcPr>
            <w:tcW w:w="4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As of</w:t>
            </w:r>
          </w:p>
        </w:tc>
      </w:tr>
      <w:tr>
        <w:trPr>
          <w:trHeight w:val="186"/>
        </w:trPr>
        <w:tc>
          <w:tcPr>
            <w:tcW w:w="4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6"/>
              </w:rPr>
              <w:t>As of December 31,</w:t>
            </w: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September 30,</w:t>
            </w:r>
          </w:p>
        </w:tc>
      </w:tr>
      <w:tr>
        <w:trPr>
          <w:trHeight w:val="25"/>
        </w:trPr>
        <w:tc>
          <w:tcPr>
            <w:tcW w:w="4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98"/>
        </w:trPr>
        <w:tc>
          <w:tcPr>
            <w:tcW w:w="4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113"/>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7"/>
                <w:szCs w:val="17"/>
                <w:color w:val="auto"/>
              </w:rPr>
            </w:pPr>
          </w:p>
        </w:tc>
        <w:tc>
          <w:tcPr>
            <w:tcW w:w="68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7"/>
                <w:szCs w:val="17"/>
                <w:color w:val="auto"/>
              </w:rPr>
            </w:pPr>
          </w:p>
        </w:tc>
        <w:tc>
          <w:tcPr>
            <w:tcW w:w="760" w:type="dxa"/>
            <w:vAlign w:val="bottom"/>
            <w:gridSpan w:val="2"/>
          </w:tcPr>
          <w:p>
            <w:pPr>
              <w:jc w:val="center"/>
              <w:ind w:left="3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7"/>
                <w:szCs w:val="17"/>
                <w:color w:val="auto"/>
              </w:rPr>
            </w:pPr>
          </w:p>
        </w:tc>
      </w:tr>
      <w:tr>
        <w:trPr>
          <w:trHeight w:val="25"/>
        </w:trPr>
        <w:tc>
          <w:tcPr>
            <w:tcW w:w="4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r>
      <w:tr>
        <w:trPr>
          <w:trHeight w:val="198"/>
        </w:trPr>
        <w:tc>
          <w:tcPr>
            <w:tcW w:w="4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(unaudited)</w:t>
            </w:r>
          </w:p>
        </w:tc>
      </w:tr>
      <w:tr>
        <w:trPr>
          <w:trHeight w:val="230"/>
        </w:trPr>
        <w:tc>
          <w:tcPr>
            <w:tcW w:w="4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00" w:type="dxa"/>
            <w:vAlign w:val="bottom"/>
            <w:gridSpan w:val="8"/>
          </w:tcPr>
          <w:p>
            <w:pPr>
              <w:jc w:val="right"/>
              <w:ind w:right="580"/>
              <w:spacing w:after="0"/>
              <w:rPr>
                <w:sz w:val="20"/>
                <w:szCs w:val="20"/>
                <w:color w:val="auto"/>
              </w:rPr>
            </w:pPr>
            <w:r>
              <w:rPr>
                <w:rFonts w:ascii="Arial" w:cs="Arial" w:eastAsia="Arial" w:hAnsi="Arial"/>
                <w:sz w:val="14"/>
                <w:szCs w:val="14"/>
                <w:b w:val="1"/>
                <w:bCs w:val="1"/>
                <w:color w:val="auto"/>
              </w:rPr>
              <w:t>(in thousands of euros)</w:t>
            </w:r>
          </w:p>
        </w:tc>
      </w:tr>
      <w:tr>
        <w:trPr>
          <w:trHeight w:val="25"/>
        </w:trPr>
        <w:tc>
          <w:tcPr>
            <w:tcW w:w="4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6"/>
        </w:trPr>
        <w:tc>
          <w:tcPr>
            <w:tcW w:w="4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Statement of Financial Position Data:</w:t>
            </w:r>
          </w:p>
        </w:tc>
        <w:tc>
          <w:tcPr>
            <w:tcW w:w="5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58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57"/>
        </w:trPr>
        <w:tc>
          <w:tcPr>
            <w:tcW w:w="49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21,380</w:t>
            </w:r>
          </w:p>
        </w:tc>
        <w:tc>
          <w:tcPr>
            <w:tcW w:w="14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30,684</w:t>
            </w:r>
          </w:p>
        </w:tc>
        <w:tc>
          <w:tcPr>
            <w:tcW w:w="180" w:type="dxa"/>
            <w:vAlign w:val="bottom"/>
          </w:tcPr>
          <w:p>
            <w:pPr>
              <w:spacing w:after="0"/>
              <w:rPr>
                <w:sz w:val="22"/>
                <w:szCs w:val="22"/>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892,399</w:t>
            </w:r>
          </w:p>
        </w:tc>
      </w:tr>
      <w:tr>
        <w:trPr>
          <w:trHeight w:val="270"/>
        </w:trPr>
        <w:tc>
          <w:tcPr>
            <w:tcW w:w="4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5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125,659</w:t>
            </w:r>
          </w:p>
        </w:tc>
        <w:tc>
          <w:tcPr>
            <w:tcW w:w="140" w:type="dxa"/>
            <w:vAlign w:val="bottom"/>
            <w:shd w:val="clear" w:color="auto" w:fill="CCEEFF"/>
          </w:tcPr>
          <w:p>
            <w:pPr>
              <w:spacing w:after="0"/>
              <w:rPr>
                <w:sz w:val="23"/>
                <w:szCs w:val="23"/>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130,620</w:t>
            </w:r>
          </w:p>
        </w:tc>
        <w:tc>
          <w:tcPr>
            <w:tcW w:w="180" w:type="dxa"/>
            <w:vAlign w:val="bottom"/>
            <w:shd w:val="clear" w:color="auto" w:fill="CCEEFF"/>
          </w:tcPr>
          <w:p>
            <w:pPr>
              <w:spacing w:after="0"/>
              <w:rPr>
                <w:sz w:val="23"/>
                <w:szCs w:val="23"/>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1,021,907</w:t>
            </w:r>
          </w:p>
        </w:tc>
      </w:tr>
      <w:tr>
        <w:trPr>
          <w:trHeight w:val="270"/>
        </w:trPr>
        <w:tc>
          <w:tcPr>
            <w:tcW w:w="4960" w:type="dxa"/>
            <w:vAlign w:val="bottom"/>
          </w:tcPr>
          <w:p>
            <w:pPr>
              <w:spacing w:after="0"/>
              <w:rPr>
                <w:sz w:val="20"/>
                <w:szCs w:val="20"/>
                <w:color w:val="auto"/>
              </w:rPr>
            </w:pPr>
            <w:r>
              <w:rPr>
                <w:rFonts w:ascii="Arial" w:cs="Arial" w:eastAsia="Arial" w:hAnsi="Arial"/>
                <w:sz w:val="18"/>
                <w:szCs w:val="18"/>
                <w:color w:val="auto"/>
              </w:rPr>
              <w:t>Total liabilities</w:t>
            </w: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93,576</w:t>
            </w:r>
          </w:p>
        </w:tc>
        <w:tc>
          <w:tcPr>
            <w:tcW w:w="14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5"/>
              </w:rPr>
              <w:t>173,422</w:t>
            </w:r>
          </w:p>
        </w:tc>
        <w:tc>
          <w:tcPr>
            <w:tcW w:w="180" w:type="dxa"/>
            <w:vAlign w:val="bottom"/>
          </w:tcPr>
          <w:p>
            <w:pPr>
              <w:spacing w:after="0"/>
              <w:rPr>
                <w:sz w:val="23"/>
                <w:szCs w:val="23"/>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260,557</w:t>
            </w:r>
          </w:p>
        </w:tc>
      </w:tr>
      <w:tr>
        <w:trPr>
          <w:trHeight w:val="270"/>
        </w:trPr>
        <w:tc>
          <w:tcPr>
            <w:tcW w:w="4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equity</w:t>
            </w:r>
          </w:p>
        </w:tc>
        <w:tc>
          <w:tcPr>
            <w:tcW w:w="5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32,083</w:t>
            </w:r>
          </w:p>
        </w:tc>
        <w:tc>
          <w:tcPr>
            <w:tcW w:w="140" w:type="dxa"/>
            <w:vAlign w:val="bottom"/>
            <w:shd w:val="clear" w:color="auto" w:fill="CCEEFF"/>
          </w:tcPr>
          <w:p>
            <w:pPr>
              <w:spacing w:after="0"/>
              <w:rPr>
                <w:sz w:val="23"/>
                <w:szCs w:val="23"/>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(42,802)</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761,350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5943600</wp:posOffset>
            </wp:positionH>
            <wp:positionV relativeFrom="paragraph">
              <wp:posOffset>-2451100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-2451100</wp:posOffset>
            </wp:positionV>
            <wp:extent cx="24003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-2451100</wp:posOffset>
            </wp:positionV>
            <wp:extent cx="41833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183380" cy="8255"/>
                    </a:xfrm>
                    <a:prstGeom prst="rect">
                      <a:avLst/>
                    </a:prstGeom>
                    <a:noFill/>
                  </pic:spPr>
                </pic:pic>
              </a:graphicData>
            </a:graphic>
          </wp:anchor>
        </w:drawing>
        <w:drawing>
          <wp:anchor simplePos="0" relativeHeight="251657728" behindDoc="1" locked="0" layoutInCell="0" allowOverlap="1">
            <wp:simplePos x="0" y="0"/>
            <wp:positionH relativeFrom="column">
              <wp:posOffset>5943600</wp:posOffset>
            </wp:positionH>
            <wp:positionV relativeFrom="paragraph">
              <wp:posOffset>-2811145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-2811145</wp:posOffset>
            </wp:positionV>
            <wp:extent cx="24003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-2811145</wp:posOffset>
            </wp:positionV>
            <wp:extent cx="41833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183380" cy="8255"/>
                    </a:xfrm>
                    <a:prstGeom prst="rect">
                      <a:avLst/>
                    </a:prstGeom>
                    <a:noFill/>
                  </pic:spPr>
                </pic:pic>
              </a:graphicData>
            </a:graphic>
          </wp:anchor>
        </w:drawing>
        <w:drawing>
          <wp:anchor simplePos="0" relativeHeight="251657728" behindDoc="1" locked="0" layoutInCell="0" allowOverlap="1">
            <wp:simplePos x="0" y="0"/>
            <wp:positionH relativeFrom="column">
              <wp:posOffset>5943600</wp:posOffset>
            </wp:positionH>
            <wp:positionV relativeFrom="paragraph">
              <wp:posOffset>-3514090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-3514090</wp:posOffset>
            </wp:positionV>
            <wp:extent cx="24003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-3514090</wp:posOffset>
            </wp:positionV>
            <wp:extent cx="41833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183380" cy="8255"/>
                    </a:xfrm>
                    <a:prstGeom prst="rect">
                      <a:avLst/>
                    </a:prstGeom>
                    <a:noFill/>
                  </pic:spPr>
                </pic:pic>
              </a:graphicData>
            </a:graphic>
          </wp:anchor>
        </w:drawing>
        <w:drawing>
          <wp:anchor simplePos="0" relativeHeight="251657728" behindDoc="1" locked="0" layoutInCell="0" allowOverlap="1">
            <wp:simplePos x="0" y="0"/>
            <wp:positionH relativeFrom="column">
              <wp:posOffset>5412105</wp:posOffset>
            </wp:positionH>
            <wp:positionV relativeFrom="paragraph">
              <wp:posOffset>-5236845</wp:posOffset>
            </wp:positionV>
            <wp:extent cx="1028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-5236845</wp:posOffset>
            </wp:positionV>
            <wp:extent cx="857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-5236845</wp:posOffset>
            </wp:positionV>
            <wp:extent cx="1028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9" w:name="page100"/>
    <w:bookmarkEnd w:id="9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43" w:lineRule="exact"/>
        <w:rPr>
          <w:sz w:val="20"/>
          <w:szCs w:val="20"/>
          <w:color w:val="auto"/>
        </w:rPr>
      </w:pPr>
    </w:p>
    <w:p>
      <w:pPr>
        <w:ind w:left="1260" w:right="439" w:firstLine="648"/>
        <w:spacing w:after="0" w:line="269" w:lineRule="auto"/>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in conjunction with CureVac AG’s audited consolidated financial statements as of and for the years ended December 31, 2018 and 2019 and the notes thereto, included elsewhere in this prospectus and which have been retrospectively adjusted to reflect the impact of the share split resulting from the Corporate Reorganization, as well as the information presented under “Selected Consolidated Financial Information.” The following discussion is based on our financial information prepared in accordance with IFRS as issued by the IASB, which may differ in material respects from generally accepted accounting principles in the United States and other jurisdictions. The following discussion includes forward looking statements that involve risks, uncertainties and assumptions. Our actual results may differ materially from those anticipated in these forward looking statements as a result of many factors, including but not limited to those described under “Risk Factors” and elsewhere in this prospectus.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left="1260" w:right="419" w:firstLine="648"/>
        <w:spacing w:after="0" w:line="252" w:lineRule="auto"/>
        <w:rPr>
          <w:sz w:val="20"/>
          <w:szCs w:val="20"/>
          <w:color w:val="auto"/>
        </w:rPr>
      </w:pPr>
      <w:r>
        <w:rPr>
          <w:rFonts w:ascii="Arial" w:cs="Arial" w:eastAsia="Arial" w:hAnsi="Arial"/>
          <w:sz w:val="18"/>
          <w:szCs w:val="18"/>
          <w:color w:val="auto"/>
        </w:rPr>
        <w:t xml:space="preserve">On April 7, 2020, CureVac B.V. was incorporated under the laws of the Netherlands and became the holding company of CureVac AG in connection with our initial public offering on August 14, 2020, pursuant to the Corporate Reorganization. See “Corporate Reorganization.” As part of the Corporate Reorganization, the legal form of CureVac B.V. was converted from a Dutch private company with limited liability </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xml:space="preserve"> to a Dutch public company </w:t>
      </w:r>
      <w:r>
        <w:rPr>
          <w:rFonts w:ascii="Arial" w:cs="Arial" w:eastAsia="Arial" w:hAnsi="Arial"/>
          <w:sz w:val="18"/>
          <w:szCs w:val="18"/>
          <w:i w:val="1"/>
          <w:iCs w:val="1"/>
          <w:color w:val="auto"/>
        </w:rPr>
        <w:t>(naamloze</w:t>
      </w:r>
      <w:r>
        <w:rPr>
          <w:rFonts w:ascii="Arial" w:cs="Arial" w:eastAsia="Arial" w:hAnsi="Arial"/>
          <w:sz w:val="18"/>
          <w:szCs w:val="18"/>
          <w:color w:val="auto"/>
        </w:rPr>
        <w:t xml:space="preserve"> </w:t>
      </w:r>
      <w:r>
        <w:rPr>
          <w:rFonts w:ascii="Arial" w:cs="Arial" w:eastAsia="Arial" w:hAnsi="Arial"/>
          <w:sz w:val="18"/>
          <w:szCs w:val="18"/>
          <w:i w:val="1"/>
          <w:iCs w:val="1"/>
          <w:color w:val="auto"/>
        </w:rPr>
        <w:t>vennootschap)</w:t>
      </w:r>
      <w:r>
        <w:rPr>
          <w:rFonts w:ascii="Arial" w:cs="Arial" w:eastAsia="Arial" w:hAnsi="Arial"/>
          <w:sz w:val="18"/>
          <w:szCs w:val="18"/>
          <w:color w:val="auto"/>
        </w:rPr>
        <w:t>, and the articles of association of CureVac N.V. became effective. Additionally,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of CureVac AG subscribed for new common shares in CureVac B.V. and agreed to transfer their respective shares in CureVac AG to CureVac B.V. as a contribution in kind against issuance of the common shares in CureVac B.V. shares (share split) on a 1-to-133.0778 basis. Prior to the consummation of our initial public offering, CureVac N.V. has not engaged in any activities except those incidental to its formation. Financial information for CureVac N.V. and a discussion and analysis of its results of operations and financial condition for the period of its operations prior to the Corporate Reorganization would not be meaningful and are not presented. Following the Corporate Reorganization, CureVac N.V. became the holding company of CureVac AG and the historical consolidated financial statements of CureVac AG included in this Registration Statement became part of the historical consolidated financial statements of CureVac N.V.</w:t>
      </w:r>
    </w:p>
    <w:p>
      <w:pPr>
        <w:spacing w:after="0" w:line="114" w:lineRule="exact"/>
        <w:rPr>
          <w:sz w:val="20"/>
          <w:szCs w:val="20"/>
          <w:color w:val="auto"/>
        </w:rPr>
      </w:pPr>
    </w:p>
    <w:p>
      <w:pPr>
        <w:ind w:left="1260" w:right="519" w:firstLine="648"/>
        <w:spacing w:after="0" w:line="269" w:lineRule="auto"/>
        <w:rPr>
          <w:sz w:val="20"/>
          <w:szCs w:val="20"/>
          <w:color w:val="auto"/>
        </w:rPr>
      </w:pPr>
      <w:r>
        <w:rPr>
          <w:rFonts w:ascii="Arial" w:cs="Arial" w:eastAsia="Arial" w:hAnsi="Arial"/>
          <w:sz w:val="17"/>
          <w:szCs w:val="17"/>
          <w:color w:val="auto"/>
        </w:rPr>
        <w:t>We are a global biopharmaceutical company developing a new class of transformative medicines based on messenger ribonucleic acid that has the potential to improve the lives of people. Our vision is to revolutionize medicine and open new avenues for developing therapies by enabling the body to make its own drugs. Messenger ribonucleic acid, or mRNA, plays a central role in cellular biology in the production of proteins in every living cell. We are the pioneers in successfully harnessing mRNAs designed to prevent infections and to treat diseases by mimicking human biology to synthesize the desired proteins. Our technology platform is based on a natural approach to optimize mRNA constructs that encode functional proteins that either induce a desired immune response or replace defective or missing proteins using the cell’s intrinsic translation machinery. Our current product portfolio includes clinical and preclinical candidates across multiple disease indications in prophylactic vaccines, oncology and protein therapy.</w:t>
      </w:r>
    </w:p>
    <w:p>
      <w:pPr>
        <w:spacing w:after="0" w:line="118" w:lineRule="exact"/>
        <w:rPr>
          <w:sz w:val="20"/>
          <w:szCs w:val="20"/>
          <w:color w:val="auto"/>
        </w:rPr>
      </w:pPr>
    </w:p>
    <w:p>
      <w:pPr>
        <w:ind w:left="1260" w:right="419" w:firstLine="648"/>
        <w:spacing w:after="0" w:line="252" w:lineRule="auto"/>
        <w:rPr>
          <w:sz w:val="20"/>
          <w:szCs w:val="20"/>
          <w:color w:val="auto"/>
        </w:rPr>
      </w:pPr>
      <w:r>
        <w:rPr>
          <w:rFonts w:ascii="Arial" w:cs="Arial" w:eastAsia="Arial" w:hAnsi="Arial"/>
          <w:sz w:val="18"/>
          <w:szCs w:val="18"/>
          <w:color w:val="auto"/>
        </w:rPr>
        <w:t>We are rapidly advancing our mRNA vaccine candidate, CVnCoV against coronavirus (SARS-CoV-2), for which we initiated a Phase 1 clinical trial in healthy volunteers in June 2020, a Phase 2a clinical trial in older adults in September 2020 and a pivotal Phase 2b/3 clinical trial in December 2020. For the Phase 1 clinical trial, we reported positive interim results on November 10, 2020, enabling us to select a recommended dose of 12μg to advance in the pivotal Phase 2b/3 clinical trial. The Phase 2a clinical trial is a partially observer-blind, multi-centered, controlled, dose-confirm trial, and is fully enrolled with 674 participants. We currently expect to report a first data read-out for the Phase 2a clinical trial later in the first quarter of 2021. For our pivotal Phase 2b/3 trial, we currently expect to conduct a first interim analysis later in the first quarter of 2021 or early in the second quarter of 2021, depending on the infection rate of SARS-COV-2 in clinical trial participants. Subject to the clinical trial results of CVnCoV, we expect to apply for regulatory approval in the second quarter of 2021. We are also engaged in a clinical program for CV7202, which we</w:t>
      </w:r>
    </w:p>
    <w:p>
      <w:pPr>
        <w:sectPr>
          <w:pgSz w:w="11900" w:h="16838" w:orient="portrait"/>
          <w:cols w:equalWidth="0" w:num="1">
            <w:col w:w="9879"/>
          </w:cols>
          <w:pgMar w:left="580" w:top="131"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0" w:name="page101"/>
    <w:bookmarkEnd w:id="10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39"/>
        <w:spacing w:after="0" w:line="248" w:lineRule="auto"/>
        <w:rPr>
          <w:sz w:val="20"/>
          <w:szCs w:val="20"/>
          <w:color w:val="auto"/>
        </w:rPr>
      </w:pPr>
      <w:r>
        <w:rPr>
          <w:rFonts w:ascii="Arial" w:cs="Arial" w:eastAsia="Arial" w:hAnsi="Arial"/>
          <w:sz w:val="18"/>
          <w:szCs w:val="18"/>
          <w:color w:val="auto"/>
        </w:rPr>
        <w:t>are currently investigating in a Phase 1 clinical trial for potential vaccination against rabies. Additionally, we are investigating our lead oncology clinical program, CV8102 in a Phase 1 clinical trial for the treatment of four types of solid tumors.</w:t>
      </w:r>
    </w:p>
    <w:p>
      <w:pPr>
        <w:spacing w:after="0" w:line="114" w:lineRule="exact"/>
        <w:rPr>
          <w:sz w:val="20"/>
          <w:szCs w:val="20"/>
          <w:color w:val="auto"/>
        </w:rPr>
      </w:pPr>
    </w:p>
    <w:p>
      <w:pPr>
        <w:ind w:left="1260" w:right="459" w:firstLine="648"/>
        <w:spacing w:after="0" w:line="253" w:lineRule="auto"/>
        <w:rPr>
          <w:sz w:val="20"/>
          <w:szCs w:val="20"/>
          <w:color w:val="auto"/>
        </w:rPr>
      </w:pPr>
      <w:r>
        <w:rPr>
          <w:rFonts w:ascii="Arial" w:cs="Arial" w:eastAsia="Arial" w:hAnsi="Arial"/>
          <w:sz w:val="17"/>
          <w:szCs w:val="17"/>
          <w:color w:val="auto"/>
        </w:rPr>
        <w:t>Our pivotal Phase 2b/3 study, called HERALD, is expected to enroll more than 37,000 participants, above the age of 18, at sites in Europe and Latin America. The study is randomized, observer blind, placebo-controlled, on a two-dose schedule and was started with an initial Phase 2b safety part, which is expected to merge into a Phase 3 efficacy trial. The Phase 2b/3 study has a primary safety objective and two primary efficacy objectives: the demonstration of the efficacy of preventing first episodes of confirmed cases of COVID-19 of any severity and preventing moderate to severe confirmed cases of COVID-19 in participants who have never been infected with SARS-CoV-2. We currently expect to conduct a first interim analysis of the pivotal Phase 2b/3 study later in the first quarter of 2021 or early in the second quarter of 2021, depending on the infection rate of SARS-COV-2 in clinical trial participants.</w:t>
      </w:r>
    </w:p>
    <w:p>
      <w:pPr>
        <w:spacing w:after="0" w:line="116" w:lineRule="exact"/>
        <w:rPr>
          <w:sz w:val="20"/>
          <w:szCs w:val="20"/>
          <w:color w:val="auto"/>
        </w:rPr>
      </w:pPr>
    </w:p>
    <w:p>
      <w:pPr>
        <w:ind w:left="1260" w:right="439" w:firstLine="648"/>
        <w:spacing w:after="0" w:line="251" w:lineRule="auto"/>
        <w:rPr>
          <w:sz w:val="20"/>
          <w:szCs w:val="20"/>
          <w:color w:val="auto"/>
        </w:rPr>
      </w:pPr>
      <w:r>
        <w:rPr>
          <w:rFonts w:ascii="Arial" w:cs="Arial" w:eastAsia="Arial" w:hAnsi="Arial"/>
          <w:sz w:val="17"/>
          <w:szCs w:val="17"/>
          <w:color w:val="auto"/>
        </w:rPr>
        <w:t>As of September 30, 2020, we had cash and cash equivalents amounting to €892 million. We have incurred significant losses since our inception. Our consolidated net loss for the nine-months ended September 30, 2020 and for the year ended December 31, 2019 was €71.0 million and €99.9 million, respectively. As of September 30, 2020, our accumulated deficit was €586.9 million. We expect to continue to incur losses in the future as we continue our research and development of, and seek regulatory approvals for, our product candidates and maintain and develop new technology platforms, prepare for and begin to commercialize any approved product candidates and add infrastructure and personnel to support our product development efforts and operations as a public company in the United States. We have devoted substantially all of our financial resources and efforts to research and development, including preclinical studies and clinical trials and development of our manufacturing technology and we anticipate that our expenses will continue to increase over the next several years as we continue these activities. We believe that we will continue to expend substantial resources for the foreseeable future developing our proprietary product candidates. These expenditures will include costs associated with research and development, conducting preclinical studies and clinical trials, seeking regulatory approvals, as well as launching and commercializing products approved for sale, if any, costs associated with manufacturing products and maintaining manufacturing facilities. In addition, other unanticipated costs may arise. Because the outcomes of our anticipated clinical trials are highly uncertain, we cannot reasonably estimate the actual amounts necessary to successfully complete the development and commercialization of our proprietary product candidates.</w:t>
      </w:r>
    </w:p>
    <w:p>
      <w:pPr>
        <w:spacing w:after="0" w:line="98" w:lineRule="exact"/>
        <w:rPr>
          <w:sz w:val="20"/>
          <w:szCs w:val="20"/>
          <w:color w:val="auto"/>
        </w:rPr>
      </w:pPr>
    </w:p>
    <w:p>
      <w:pPr>
        <w:ind w:left="1260" w:right="419" w:firstLine="648"/>
        <w:spacing w:after="0" w:line="252" w:lineRule="auto"/>
        <w:rPr>
          <w:sz w:val="20"/>
          <w:szCs w:val="20"/>
          <w:color w:val="auto"/>
        </w:rPr>
      </w:pPr>
      <w:r>
        <w:rPr>
          <w:rFonts w:ascii="Arial" w:cs="Arial" w:eastAsia="Arial" w:hAnsi="Arial"/>
          <w:sz w:val="18"/>
          <w:szCs w:val="18"/>
          <w:color w:val="auto"/>
        </w:rPr>
        <w:t>Upon the outbreak of the COVID-19 pandemic, we determined to make the development of a vaccine candidate against COVID-19 a priority and to use our large scale GMP III facility to provide required material for a potential vaccine product candidate. We are also building an integrated European network with highly experienced Contract Development and Manufacturing Organization partners for each of the key manufacturing steps for CVnCoV. While there is currently no larger production batch required for our other product candidates, this prioritization could impact clinical development of our other product candidates if such a production need arises. Our research personnel dedicated to infectious diseases initially focused its efforts on optimizing vaccine constructs in preparation of a Phase 1 clinical trial. This team is currently focused on our ongoing Phase 2b/3 clinical trial for our COVID-19 vaccine candidate and finalizing the analysis of the Phase 1 clinical trial and the first data read-out for the Phase 2a clinical trial. This focus may delay development of other potential infectious disease product candidates such as advancing our rabies candidate into a Phase 2 clinical trial. We also postponed initially planned preclinical work on an influenza vaccine to later in 2021. We can provide no assurances that our focus on clinical development of a vaccine candidate against COVID-19 will not adversely impact clinical development of our other product candidates.</w:t>
      </w:r>
    </w:p>
    <w:p>
      <w:pPr>
        <w:spacing w:after="0" w:line="128" w:lineRule="exact"/>
        <w:rPr>
          <w:sz w:val="20"/>
          <w:szCs w:val="20"/>
          <w:color w:val="auto"/>
        </w:rPr>
      </w:pPr>
    </w:p>
    <w:p>
      <w:pPr>
        <w:ind w:left="1260" w:right="439" w:firstLine="648"/>
        <w:spacing w:after="0" w:line="272" w:lineRule="auto"/>
        <w:rPr>
          <w:sz w:val="20"/>
          <w:szCs w:val="20"/>
          <w:color w:val="auto"/>
        </w:rPr>
      </w:pPr>
      <w:r>
        <w:rPr>
          <w:rFonts w:ascii="Arial" w:cs="Arial" w:eastAsia="Arial" w:hAnsi="Arial"/>
          <w:sz w:val="17"/>
          <w:szCs w:val="17"/>
          <w:color w:val="auto"/>
        </w:rPr>
        <w:t>In addition, our operating plan may change as a result of many factors currently unknown to us. As a result of these factors, we may need additional funds sooner than planned. We expect to finance future cash needs primarily through a combination of public or private equity offerings, strategic collaborations and debt financing. If sufficient funds on acceptable terms are not available when needed, or at all, we could be forced to significantly reduce operating expenses and delay, limit, reduce or terminate one or more of our product development programs or commercialization efforts, which would have a negative impact on our business, prospects, operating results and financial condition.</w:t>
      </w: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1" w:name="page102"/>
    <w:bookmarkEnd w:id="10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Key Factors Affecting Our Results of Operations</w:t>
      </w:r>
    </w:p>
    <w:p>
      <w:pPr>
        <w:spacing w:after="0" w:line="16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We believe that the most significant factors affecting our results of operations include:</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ind w:left="1260" w:right="479" w:firstLine="648"/>
        <w:spacing w:after="0" w:line="254" w:lineRule="auto"/>
        <w:rPr>
          <w:sz w:val="20"/>
          <w:szCs w:val="20"/>
          <w:color w:val="auto"/>
        </w:rPr>
      </w:pPr>
      <w:r>
        <w:rPr>
          <w:rFonts w:ascii="Arial" w:cs="Arial" w:eastAsia="Arial" w:hAnsi="Arial"/>
          <w:sz w:val="18"/>
          <w:szCs w:val="18"/>
          <w:color w:val="auto"/>
        </w:rPr>
        <w:t>Our ability to successfully pioneer a robust mRNA technology platform and develop innovative product candidates will be the primary factor affecting our future growth and development. Our approach to the discovery and development of product candidates based on mRNA technology is still being demonstrated. As such, we do not know whether we will be able to successfully develop any products. Developing novel product candidates requires a significant investment of resources over a prolonged period of time, and a core part of our strategy is to continue making sustained investments in this area. We have chosen to leverage our platform to initially focus on advancing our product candidates in the areas of infectious diseases, oncology and protein delivery.</w:t>
      </w:r>
    </w:p>
    <w:p>
      <w:pPr>
        <w:spacing w:after="0" w:line="111" w:lineRule="exact"/>
        <w:rPr>
          <w:sz w:val="20"/>
          <w:szCs w:val="20"/>
          <w:color w:val="auto"/>
        </w:rPr>
      </w:pPr>
    </w:p>
    <w:p>
      <w:pPr>
        <w:ind w:left="1260" w:right="1099" w:firstLine="648"/>
        <w:spacing w:after="0" w:line="277" w:lineRule="auto"/>
        <w:rPr>
          <w:sz w:val="20"/>
          <w:szCs w:val="20"/>
          <w:color w:val="auto"/>
        </w:rPr>
      </w:pPr>
      <w:r>
        <w:rPr>
          <w:rFonts w:ascii="Arial" w:cs="Arial" w:eastAsia="Arial" w:hAnsi="Arial"/>
          <w:sz w:val="18"/>
          <w:szCs w:val="18"/>
          <w:color w:val="auto"/>
        </w:rPr>
        <w:t>For more information on our proprietary technology and clinical development pipeline, see “Business — Our Product Portfolio.”</w:t>
      </w:r>
    </w:p>
    <w:p>
      <w:pPr>
        <w:spacing w:after="0" w:line="103" w:lineRule="exact"/>
        <w:rPr>
          <w:sz w:val="20"/>
          <w:szCs w:val="20"/>
          <w:color w:val="auto"/>
        </w:rPr>
      </w:pPr>
    </w:p>
    <w:p>
      <w:pPr>
        <w:ind w:left="1260" w:right="419" w:firstLine="648"/>
        <w:spacing w:after="0" w:line="286" w:lineRule="auto"/>
        <w:rPr>
          <w:sz w:val="20"/>
          <w:szCs w:val="20"/>
          <w:color w:val="auto"/>
        </w:rPr>
      </w:pPr>
      <w:r>
        <w:rPr>
          <w:rFonts w:ascii="Arial" w:cs="Arial" w:eastAsia="Arial" w:hAnsi="Arial"/>
          <w:sz w:val="16"/>
          <w:szCs w:val="16"/>
          <w:color w:val="auto"/>
        </w:rPr>
        <w:t>All of the product candidates are still in development, and we have incurred and will continue to incur significant research and development costs for preclinical studies and clinical trials. We expect that our research and development expenses will constitute the most substantial part of our expenses in future periods in line with the advance and expansion of the development of our product candidates. Due to our accelerated efforts to develop our COVID-19 vaccine candidate, CVnCoV, we incurred, and expect to incur in the near future significant research and development expenses that may significantly exceed our historical levels of research and developments expenses. Our current level of research and development expenses may not be representative of our future research and development expenses once our accelerated efforts to advance our vaccine candidate, CVnCoV, are completed. Once we conclude our research and development efforts related to our vaccine candidate, CVnCoV, we expect that our research and development expenses shall be consistent with our past trends, but we may find it necessary to continue such current trend with respect to our research and developments expenses or we may continue to increase further our research and development expenses. For example, we may continue to increase our research and development expenses for future research and development related to the next generation of our CVnCoV product candidate.</w:t>
      </w:r>
    </w:p>
    <w:p>
      <w:pPr>
        <w:spacing w:after="0" w:line="103" w:lineRule="exact"/>
        <w:rPr>
          <w:sz w:val="20"/>
          <w:szCs w:val="20"/>
          <w:color w:val="auto"/>
        </w:rPr>
      </w:pPr>
    </w:p>
    <w:p>
      <w:pPr>
        <w:ind w:left="1260" w:right="459" w:firstLine="648"/>
        <w:spacing w:after="0" w:line="254" w:lineRule="auto"/>
        <w:rPr>
          <w:sz w:val="20"/>
          <w:szCs w:val="20"/>
          <w:color w:val="auto"/>
        </w:rPr>
      </w:pPr>
      <w:r>
        <w:rPr>
          <w:rFonts w:ascii="Arial" w:cs="Arial" w:eastAsia="Arial" w:hAnsi="Arial"/>
          <w:sz w:val="18"/>
          <w:szCs w:val="18"/>
          <w:color w:val="auto"/>
        </w:rPr>
        <w:t>We have historically funded the research and development expenses primarily through our initial public offering, private placements of equity securities, convertible loans, grants from government agencies and similar bodies and payments for collaborative research and development services with strategic partners. In addition, we recently signed an advance purchase agreement, or APA, with the EC that provides substantial support for our efforts to advance our vaccine candidate, CVnCoV. In connection with CVnCoV, we may enter into additional APAs with other parties in the future. However, APAs are unique for the COVID-19 pandemic and we do not expect similar government purchase agreements in connection with other product candidates in our portfolio.</w:t>
      </w:r>
    </w:p>
    <w:p>
      <w:pPr>
        <w:spacing w:after="0" w:line="111" w:lineRule="exact"/>
        <w:rPr>
          <w:sz w:val="20"/>
          <w:szCs w:val="20"/>
          <w:color w:val="auto"/>
        </w:rPr>
      </w:pPr>
    </w:p>
    <w:p>
      <w:pPr>
        <w:ind w:left="1260" w:right="499" w:firstLine="648"/>
        <w:spacing w:after="0" w:line="263" w:lineRule="auto"/>
        <w:rPr>
          <w:sz w:val="20"/>
          <w:szCs w:val="20"/>
          <w:color w:val="auto"/>
        </w:rPr>
      </w:pPr>
      <w:r>
        <w:rPr>
          <w:rFonts w:ascii="Arial" w:cs="Arial" w:eastAsia="Arial" w:hAnsi="Arial"/>
          <w:sz w:val="18"/>
          <w:szCs w:val="18"/>
          <w:color w:val="auto"/>
        </w:rPr>
        <w:t>The net proceeds to us from this offering will also be an important source of funds for our research and development. For more information on the nature of the intended uses for the proceeds from this offering, see “Use of Proceeds.”</w:t>
      </w:r>
    </w:p>
    <w:p>
      <w:pPr>
        <w:spacing w:after="0" w:line="184"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Our and Our Collaborators’ Ability to Commercialize Our Product Candidates</w:t>
      </w:r>
    </w:p>
    <w:p>
      <w:pPr>
        <w:spacing w:after="0" w:line="158" w:lineRule="exact"/>
        <w:rPr>
          <w:sz w:val="20"/>
          <w:szCs w:val="20"/>
          <w:color w:val="auto"/>
        </w:rPr>
      </w:pPr>
    </w:p>
    <w:p>
      <w:pPr>
        <w:ind w:left="1260" w:right="539" w:firstLine="648"/>
        <w:spacing w:after="0" w:line="263" w:lineRule="auto"/>
        <w:rPr>
          <w:sz w:val="20"/>
          <w:szCs w:val="20"/>
          <w:color w:val="auto"/>
        </w:rPr>
      </w:pPr>
      <w:r>
        <w:rPr>
          <w:rFonts w:ascii="Arial" w:cs="Arial" w:eastAsia="Arial" w:hAnsi="Arial"/>
          <w:sz w:val="18"/>
          <w:szCs w:val="18"/>
          <w:color w:val="auto"/>
        </w:rPr>
        <w:t>Our ability to generate revenue from our product candidates depends on our and our collaborators’ ability to successfully complete clinical trials for our product candidates and receive regulatory approval, particularly in the United States, Europe, and other major markets.</w:t>
      </w:r>
    </w:p>
    <w:p>
      <w:pPr>
        <w:spacing w:after="0" w:line="116" w:lineRule="exact"/>
        <w:rPr>
          <w:sz w:val="20"/>
          <w:szCs w:val="20"/>
          <w:color w:val="auto"/>
        </w:rPr>
      </w:pPr>
    </w:p>
    <w:p>
      <w:pPr>
        <w:ind w:left="1260" w:right="419" w:firstLine="648"/>
        <w:spacing w:after="0" w:line="273" w:lineRule="auto"/>
        <w:rPr>
          <w:sz w:val="20"/>
          <w:szCs w:val="20"/>
          <w:color w:val="auto"/>
        </w:rPr>
      </w:pPr>
      <w:r>
        <w:rPr>
          <w:rFonts w:ascii="Arial" w:cs="Arial" w:eastAsia="Arial" w:hAnsi="Arial"/>
          <w:sz w:val="17"/>
          <w:szCs w:val="17"/>
          <w:color w:val="auto"/>
        </w:rPr>
        <w:t>We believe that our broad portfolio of product candidates with both novel and validated targets enhances the likelihood that our research and development efforts will yield successful product candidates. Nonetheless, we cannot be certain if any of our product candidates will receive regulatory approvals. Even if such approvals are granted, we will thereafter need to maintain manufacturing and supply arrangements and engage in extensive marketing prior to generating any revenue from such products, and the ultimate commercial success of our products will depend on their acceptance by patients, the medical community and</w:t>
      </w:r>
    </w:p>
    <w:p>
      <w:pPr>
        <w:sectPr>
          <w:pgSz w:w="11900" w:h="16838" w:orient="portrait"/>
          <w:cols w:equalWidth="0" w:num="1">
            <w:col w:w="9879"/>
          </w:cols>
          <w:pgMar w:left="580" w:top="131"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2" w:name="page103"/>
    <w:bookmarkEnd w:id="10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spacing w:after="0" w:line="248" w:lineRule="auto"/>
        <w:rPr>
          <w:sz w:val="20"/>
          <w:szCs w:val="20"/>
          <w:color w:val="auto"/>
        </w:rPr>
      </w:pPr>
      <w:r>
        <w:rPr>
          <w:rFonts w:ascii="Arial" w:cs="Arial" w:eastAsia="Arial" w:hAnsi="Arial"/>
          <w:sz w:val="18"/>
          <w:szCs w:val="18"/>
          <w:color w:val="auto"/>
        </w:rPr>
        <w:t>third-party payors and their ability to compete effectively with other therapies on the market. See “Risk Factors — Risks Related to the Development, Clinical Testing and Commercialization of Our Product Candidates.”</w:t>
      </w:r>
    </w:p>
    <w:p>
      <w:pPr>
        <w:spacing w:after="0" w:line="114" w:lineRule="exact"/>
        <w:rPr>
          <w:sz w:val="20"/>
          <w:szCs w:val="20"/>
          <w:color w:val="auto"/>
        </w:rPr>
      </w:pPr>
    </w:p>
    <w:p>
      <w:pPr>
        <w:ind w:left="1260" w:right="599" w:firstLine="648"/>
        <w:spacing w:after="0" w:line="294" w:lineRule="auto"/>
        <w:rPr>
          <w:sz w:val="20"/>
          <w:szCs w:val="20"/>
          <w:color w:val="auto"/>
        </w:rPr>
      </w:pPr>
      <w:r>
        <w:rPr>
          <w:rFonts w:ascii="Arial" w:cs="Arial" w:eastAsia="Arial" w:hAnsi="Arial"/>
          <w:sz w:val="16"/>
          <w:szCs w:val="16"/>
          <w:color w:val="auto"/>
        </w:rPr>
        <w:t>The competitive environment is also an important factor with the commercial success of our product candidates, and our ability to successfully commercialize a product candidate will depend on whether there are competing product candidates being developed or already marketed by other companies.</w:t>
      </w:r>
    </w:p>
    <w:p>
      <w:pPr>
        <w:spacing w:after="0" w:line="147"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Our Collaborations, Related License Agreements and Advance Purchase Agreements</w:t>
      </w:r>
    </w:p>
    <w:p>
      <w:pPr>
        <w:spacing w:after="0" w:line="158" w:lineRule="exact"/>
        <w:rPr>
          <w:sz w:val="20"/>
          <w:szCs w:val="20"/>
          <w:color w:val="auto"/>
        </w:rPr>
      </w:pPr>
    </w:p>
    <w:p>
      <w:pPr>
        <w:ind w:left="1260" w:right="419" w:firstLine="648"/>
        <w:spacing w:after="0" w:line="238" w:lineRule="auto"/>
        <w:rPr>
          <w:sz w:val="20"/>
          <w:szCs w:val="20"/>
          <w:color w:val="auto"/>
        </w:rPr>
      </w:pPr>
      <w:r>
        <w:rPr>
          <w:rFonts w:ascii="Arial" w:cs="Arial" w:eastAsia="Arial" w:hAnsi="Arial"/>
          <w:sz w:val="18"/>
          <w:szCs w:val="18"/>
          <w:color w:val="auto"/>
        </w:rPr>
        <w:t>Our results of operations have been, and we expect them to continue to be, affected by our collaborations with third parties for the development and commercialization of certain of our product candidates. In addition, our future results of operation may be affected by current or future advance purchase agreements for our COVID-19 vaccine candidate, CVnCoV. To date, our revenues have been recognized pursuant to license and collaboration agreements, which include upfront payments for licenses or options to obtain licenses, milestone payments, payments for product sales and payments for research and development services. Grants from government agencies or similar bodies are recognized as other operating income or as a reduction to depreciation and amortization expense recognized from assets purchased under the associated arrangements.</w:t>
      </w:r>
    </w:p>
    <w:p>
      <w:pPr>
        <w:spacing w:after="0" w:line="110" w:lineRule="exact"/>
        <w:rPr>
          <w:sz w:val="20"/>
          <w:szCs w:val="20"/>
          <w:color w:val="auto"/>
        </w:rPr>
      </w:pPr>
    </w:p>
    <w:p>
      <w:pPr>
        <w:ind w:left="1260" w:right="459" w:firstLine="648"/>
        <w:spacing w:after="0"/>
        <w:rPr>
          <w:sz w:val="20"/>
          <w:szCs w:val="20"/>
          <w:color w:val="auto"/>
        </w:rPr>
      </w:pPr>
      <w:r>
        <w:rPr>
          <w:rFonts w:ascii="Arial" w:cs="Arial" w:eastAsia="Arial" w:hAnsi="Arial"/>
          <w:sz w:val="18"/>
          <w:szCs w:val="18"/>
          <w:color w:val="auto"/>
        </w:rPr>
        <w:t>We have entered into strategic collaborations and license agreements with third parties. In addition, on November 30, 2020, we entered into an advance purchase agreement, or APA, with the EC, which provides for the advance purchase by the commission of our vaccine candidate, CVnCoV. As part of our business development strategy, we aim to increase the number of our strategic collaborations and advance purchase agreements in order to derive further value from our platform and more fully exploit the potential of our collaborations and license agreements.</w:t>
      </w:r>
    </w:p>
    <w:p>
      <w:pPr>
        <w:spacing w:after="0" w:line="122" w:lineRule="exact"/>
        <w:rPr>
          <w:sz w:val="20"/>
          <w:szCs w:val="20"/>
          <w:color w:val="auto"/>
        </w:rPr>
      </w:pPr>
    </w:p>
    <w:p>
      <w:pPr>
        <w:ind w:left="1260" w:right="739" w:firstLine="648"/>
        <w:spacing w:after="0" w:line="243" w:lineRule="auto"/>
        <w:rPr>
          <w:sz w:val="20"/>
          <w:szCs w:val="20"/>
          <w:color w:val="auto"/>
        </w:rPr>
      </w:pPr>
      <w:r>
        <w:rPr>
          <w:rFonts w:ascii="Arial" w:cs="Arial" w:eastAsia="Arial" w:hAnsi="Arial"/>
          <w:sz w:val="18"/>
          <w:szCs w:val="18"/>
          <w:color w:val="auto"/>
        </w:rPr>
        <w:t>Certain key terms of our current material collaboration and license agreements, as well as our advance purchase agreement with the EC are summarized below. For further details on our collaboration agreements, see “Business — Collaborations” and “Business — Advance Purchase Agreements,” respectively.</w:t>
      </w:r>
    </w:p>
    <w:p>
      <w:pPr>
        <w:spacing w:after="0" w:line="188"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GlaxoSmithKline</w:t>
      </w:r>
    </w:p>
    <w:p>
      <w:pPr>
        <w:spacing w:after="0" w:line="158" w:lineRule="exact"/>
        <w:rPr>
          <w:sz w:val="20"/>
          <w:szCs w:val="20"/>
          <w:color w:val="auto"/>
        </w:rPr>
      </w:pPr>
    </w:p>
    <w:p>
      <w:pPr>
        <w:ind w:left="1260" w:right="479" w:firstLine="648"/>
        <w:spacing w:after="0" w:line="243" w:lineRule="auto"/>
        <w:rPr>
          <w:sz w:val="20"/>
          <w:szCs w:val="20"/>
          <w:color w:val="auto"/>
        </w:rPr>
      </w:pPr>
      <w:r>
        <w:rPr>
          <w:rFonts w:ascii="Arial" w:cs="Arial" w:eastAsia="Arial" w:hAnsi="Arial"/>
          <w:sz w:val="18"/>
          <w:szCs w:val="18"/>
          <w:color w:val="auto"/>
        </w:rPr>
        <w:t>In July 2020, we entered into a Collaboration and License Agreement with GSK, which we refer to as the GSK Agreement, pursuant to which we are collaborating with GSK to research, develop and commercialize prophylactic and therapeutic non-replicating mRNA-based vaccines and antibodies targeting infectious disease pathogens.</w:t>
      </w:r>
    </w:p>
    <w:p>
      <w:pPr>
        <w:spacing w:after="0" w:line="107" w:lineRule="exact"/>
        <w:rPr>
          <w:sz w:val="20"/>
          <w:szCs w:val="20"/>
          <w:color w:val="auto"/>
        </w:rPr>
      </w:pPr>
    </w:p>
    <w:p>
      <w:pPr>
        <w:ind w:left="1260" w:right="419" w:firstLine="648"/>
        <w:spacing w:after="0" w:line="253" w:lineRule="auto"/>
        <w:rPr>
          <w:sz w:val="20"/>
          <w:szCs w:val="20"/>
          <w:color w:val="auto"/>
        </w:rPr>
      </w:pPr>
      <w:r>
        <w:rPr>
          <w:rFonts w:ascii="Arial" w:cs="Arial" w:eastAsia="Arial" w:hAnsi="Arial"/>
          <w:sz w:val="17"/>
          <w:szCs w:val="17"/>
          <w:color w:val="auto"/>
        </w:rPr>
        <w:t>GSK paid us an upfront payment of €120 million and is required to pay us a manufacturing capacity reservation fee of €30 million following a certain regulatory milestone event, which is creditable against future milestone payments. We are eligible to receive up to between €28 million to €45 million in development milestone payments, €32 million to €35 million in regulatory milestone payments and</w:t>
      </w:r>
    </w:p>
    <w:p>
      <w:pPr>
        <w:spacing w:after="0" w:line="2" w:lineRule="exact"/>
        <w:rPr>
          <w:sz w:val="20"/>
          <w:szCs w:val="20"/>
          <w:color w:val="auto"/>
        </w:rPr>
      </w:pPr>
    </w:p>
    <w:p>
      <w:pPr>
        <w:ind w:left="1260" w:right="419"/>
        <w:spacing w:after="0" w:line="250" w:lineRule="auto"/>
        <w:rPr>
          <w:sz w:val="20"/>
          <w:szCs w:val="20"/>
          <w:color w:val="auto"/>
        </w:rPr>
      </w:pPr>
      <w:r>
        <w:rPr>
          <w:rFonts w:ascii="Arial" w:cs="Arial" w:eastAsia="Arial" w:hAnsi="Arial"/>
          <w:sz w:val="17"/>
          <w:szCs w:val="17"/>
          <w:color w:val="auto"/>
        </w:rPr>
        <w:t>€70 million to €100 million in commercial milestone payments, depending on the product. Under the GSK Agreement, we granted GSK an exclusive option to add additional products in the field of infectious diseases to the license granted under the GSK Agreement and upon each exercise of such option, GSK is required to compensate us for certain development costs and pay any accrued milestone payments. GSK additionally has the right to replace products licensed under the GSK Agreement and if the replacement product was already under development by us, GSK must compensate us for certain development costs and pay any accrued milestone payments. We are additionally eligible to receive tiered royalty payments ranging from a single-digit percentage to a low teens percentage on net sales, subject to certain customary reductions. GSK is required to compensate us for certain development and regulatory costs we may incur in connection with our performance of our obligations under the GSK Agreement and we are eligible to receive up to €20,000 in reimbursements for expenses incurred recording or registering the licenses granted under the GSK Agreement. We retain the right to commercialize products developed under the GSK Agreement in Germany, Austria and Switzerland, as GSK’s exclusive distributor in these markets. Under any such distribution agreement to be entered into between us and GSK, we will be required to purchase supply from GSK and pay GSK a low thirties percentage royalty on net sales. As of September 30, 2020, we have received the upfront payment amounting to €120 million.</w:t>
      </w: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3" w:name="page104"/>
    <w:bookmarkEnd w:id="10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Genmab</w:t>
      </w:r>
    </w:p>
    <w:p>
      <w:pPr>
        <w:spacing w:after="0" w:line="158" w:lineRule="exact"/>
        <w:rPr>
          <w:sz w:val="20"/>
          <w:szCs w:val="20"/>
          <w:color w:val="auto"/>
        </w:rPr>
      </w:pPr>
    </w:p>
    <w:p>
      <w:pPr>
        <w:ind w:left="1260" w:right="539" w:firstLine="648"/>
        <w:spacing w:after="0" w:line="269" w:lineRule="auto"/>
        <w:rPr>
          <w:sz w:val="20"/>
          <w:szCs w:val="20"/>
          <w:color w:val="auto"/>
        </w:rPr>
      </w:pPr>
      <w:r>
        <w:rPr>
          <w:rFonts w:ascii="Arial" w:cs="Arial" w:eastAsia="Arial" w:hAnsi="Arial"/>
          <w:sz w:val="17"/>
          <w:szCs w:val="17"/>
          <w:color w:val="auto"/>
        </w:rPr>
        <w:t>In December 2019, we entered into a Collaboration and License Agreement, which we refer to as the Genmab Agreement, with Genmab to research and develop up to four potential differentiated mRNA-based antibody products, to be selected by Genmab, based on the combination of our proprietary RNAntibody technology with Genmab’s proprietary antibody technology for the treatment of human diseases. We will collaborate on research to identify an initial product candidate designed to express a certain Genmab proprietary antibody and we will contribute a portion of the overall costs for the development of such product candidate, until submission of an IND. Genmab will thereafter be responsible for the development and commercialization of the product candidate. Under the Genmab Agreement we further grant Genmab a license for the preclinical development of up to four additional mRNA antibody product concepts and options to obtain commercial licenses under our mRNA technology to develop, manufacture and commercialize product candidates for up to three of such product concepts.</w:t>
      </w:r>
    </w:p>
    <w:p>
      <w:pPr>
        <w:spacing w:after="0" w:line="114" w:lineRule="exact"/>
        <w:rPr>
          <w:sz w:val="20"/>
          <w:szCs w:val="20"/>
          <w:color w:val="auto"/>
        </w:rPr>
      </w:pPr>
    </w:p>
    <w:p>
      <w:pPr>
        <w:ind w:left="1260" w:right="439" w:firstLine="648"/>
        <w:spacing w:after="0" w:line="267" w:lineRule="auto"/>
        <w:rPr>
          <w:sz w:val="20"/>
          <w:szCs w:val="20"/>
          <w:color w:val="auto"/>
        </w:rPr>
      </w:pPr>
      <w:r>
        <w:rPr>
          <w:rFonts w:ascii="Arial" w:cs="Arial" w:eastAsia="Arial" w:hAnsi="Arial"/>
          <w:sz w:val="17"/>
          <w:szCs w:val="17"/>
          <w:color w:val="auto"/>
        </w:rPr>
        <w:t>Under the terms of the Genmab Agreement, Genmab paid us a $10 million upfront fee and made a €20 million equity investment in March 2020. Genmab will be obligated to pay us a $0.5 million reservation fee upon the selection of each additional product concept for development under the Genmab Agreement and $5 million upon selection of a product targeting Genmab’s proprietary antibody for further development and commercialization. Genmab is additionally required to pay us up to $30 million in option exercise fees. If Genmab exercises any of its options to obtain commercial licenses for the additional mRNA antibody concepts, Genmab would fund all research and would develop and commercialize any resulting product candidates. We are additionally eligible to receive up to between $25 million and $43 million in development milestone payments, $100 million and $125 million in regulatory milestone payments and $150 million and $200 million in commercial milestone payments for each product, depending on the specific product concept. In addition, we are eligible to receive a mid single-digit to low teens percentage tiered royalty on aggregate net sales of licensed products, on a per-product basis and subject to certain customary reductions. If Genmab grants a sublicense to the initial product candidate developed under the Genmab Agreement before a certain milestone event, Genmab must pay us a one-time $10 million payment. We are responsible for any payments to third parties related to the LNP technology we license to Genmab for use in relation to the initial product candidate developed under the Genmab Agreement and a portion of such payments with respect to LNP technology used in the additional product concepts. We retain an option to participate in development and commercialization of one of the potential additional mRNA antibody product concepts under predefined terms and conditions. In the event we exercise such right, we must pay Genmab a one-time payment of $3 million and refund any option fee paid by Genmab with respect to such product. As of September 30, 2020, we have received approximately $0.6 million in development cost reimbursements and we have not received any reservation, product selection, option exercise or sublicense fees or milestone or royalty payments.</w:t>
      </w:r>
    </w:p>
    <w:p>
      <w:pPr>
        <w:spacing w:after="0" w:line="400"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Arcturus</w:t>
      </w:r>
    </w:p>
    <w:p>
      <w:pPr>
        <w:spacing w:after="0" w:line="144" w:lineRule="exact"/>
        <w:rPr>
          <w:sz w:val="20"/>
          <w:szCs w:val="20"/>
          <w:color w:val="auto"/>
        </w:rPr>
      </w:pPr>
    </w:p>
    <w:p>
      <w:pPr>
        <w:ind w:left="1260" w:right="439" w:firstLine="648"/>
        <w:spacing w:after="0" w:line="252" w:lineRule="auto"/>
        <w:rPr>
          <w:sz w:val="20"/>
          <w:szCs w:val="20"/>
          <w:color w:val="auto"/>
        </w:rPr>
      </w:pPr>
      <w:r>
        <w:rPr>
          <w:rFonts w:ascii="Arial" w:cs="Arial" w:eastAsia="Arial" w:hAnsi="Arial"/>
          <w:sz w:val="18"/>
          <w:szCs w:val="18"/>
          <w:color w:val="auto"/>
        </w:rPr>
        <w:t>In January 2018, we entered into a Development and Option Agreement, which we refer to as the Arcturus Agreement, with Arcturus, which provides us with access to Arcturus LNP formulation technology which we use in combination with our mRNA technology. We paid Arcturus an upfront fee of $5 million and must pay an extension fee of $1 million if we exercise our option to extend the initial term of the Arcturus Agreement beyond July 2023. We are required to reimburse Arcturus for certain costs incurred in connection with development activities and provide certain FTE funding. We are additionally required to pay up to an aggregate of $5 million in connection with our acceptance of the irrevocable offer to obtain licenses for further development and commercialization of selected targets. Under each license agreement to be entered into in connection with our acceptance of the irrevocable offer, we will additionally be required to make certain royalty payments, which are not in excess of 10% on net sales of licensed products, and pay Arcturus up to $6 million in development milestone payments, $9 million in regulatory milestone payments and $8 million in commercial milestone payments. As of September 30, 2020, we have made payments totaling approximately $5.3 million to Arcturus reimbursing Arcturus for development costs and in connection with our FTE funding obligations, and we have not accepted the irrevocable offer with respect to any target and therefore have not paid any acceptance fees or made any milestone or royalty payments to Arcturus.</w:t>
      </w:r>
    </w:p>
    <w:p>
      <w:pPr>
        <w:sectPr>
          <w:pgSz w:w="11900" w:h="16838" w:orient="portrait"/>
          <w:cols w:equalWidth="0" w:num="1">
            <w:col w:w="9879"/>
          </w:cols>
          <w:pgMar w:left="580" w:top="131" w:right="1440" w:bottom="1440" w:gutter="0" w:footer="0" w:header="0"/>
        </w:sectPr>
      </w:pPr>
    </w:p>
    <w:p>
      <w:pPr>
        <w:spacing w:after="0" w:line="38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4" w:name="page105"/>
    <w:bookmarkEnd w:id="10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Acuitas</w:t>
      </w:r>
    </w:p>
    <w:p>
      <w:pPr>
        <w:spacing w:after="0" w:line="158" w:lineRule="exact"/>
        <w:rPr>
          <w:sz w:val="20"/>
          <w:szCs w:val="20"/>
          <w:color w:val="auto"/>
        </w:rPr>
      </w:pPr>
    </w:p>
    <w:p>
      <w:pPr>
        <w:ind w:left="1260" w:right="419" w:firstLine="648"/>
        <w:spacing w:after="0" w:line="250" w:lineRule="auto"/>
        <w:rPr>
          <w:sz w:val="20"/>
          <w:szCs w:val="20"/>
          <w:color w:val="auto"/>
        </w:rPr>
      </w:pPr>
      <w:r>
        <w:rPr>
          <w:rFonts w:ascii="Arial" w:cs="Arial" w:eastAsia="Arial" w:hAnsi="Arial"/>
          <w:sz w:val="17"/>
          <w:szCs w:val="17"/>
          <w:color w:val="auto"/>
        </w:rPr>
        <w:t>In April 2016, we entered into a Development and Option Agreement, which as amended we refer to as the Acuitas Agreement, with Acuitas, which provides us with access to Acuitas LNP formulation technology that we use in combination with our mRNA technology. We are required to pay Acuitas annual target reservation and maintenance fees of up to approximately $ 1.4 million if we reserve the maximum number of targets permitted under the Acuitas Agreement and to reimburse Acuitas for certain costs incurred in connection with development activities and certain FTE costs. We are additionally required to pay an option exercise fee ranging from $50,000 to $2 million upon each exercise of our option to obtain a license for further development and commercialization with respect to a selected target, subject to certain additional fees ranging from $10,000 to $200,000 for the exercise of our option for certain other vaccine targets. We paid Acuitas a $ 5 million upfront fee in connection with an amendment to the Acuitas Agreement dated July 2020 and, upon each exercise of our option to exchange a vaccine target licensed under any non-exclusive license, we are required to pay an exchange fee of $3 million. We additionally are required to pay Acuitas a $3 million upfront fee in connection with an amendment to the Acuitas Agreement dated December 2020 and are required to pay an additional $250,000 in April 2022 and April 2023 for each of certain options not yet exercised. Under each license agreement in connection with our exercise of our option, we will additionally be required to make low single -digit percentage tiered royalty payments and must pay up to between approximately $1.1 million and $9 million in development milestone payments, $1.3 million and $7 million in regulatory milestone payments and $ 1.3 million and $ 7 million in commercial milestone payments, depending on whether the license is exclusive or non-exclusive and the number of options exercised to date. As of September 30, 2020 we have exercised our option to obtain a non-exclusive license to thirteen targets. As of September 30, 2020, we have paid Acuitas approximately $3.3 million in reservation and option exercise fees and have made payments totaling approximately $5.9 million reimbursing Acuitas for development costs and LNP batches and in connection with our FTE funding obligations.</w:t>
      </w:r>
    </w:p>
    <w:p>
      <w:pPr>
        <w:spacing w:after="0" w:line="325" w:lineRule="exact"/>
        <w:rPr>
          <w:sz w:val="20"/>
          <w:szCs w:val="20"/>
          <w:color w:val="auto"/>
        </w:rPr>
      </w:pPr>
    </w:p>
    <w:p>
      <w:pPr>
        <w:ind w:left="1260" w:right="459" w:firstLine="648"/>
        <w:spacing w:after="0" w:line="268" w:lineRule="auto"/>
        <w:rPr>
          <w:sz w:val="20"/>
          <w:szCs w:val="20"/>
          <w:color w:val="auto"/>
        </w:rPr>
      </w:pPr>
      <w:r>
        <w:rPr>
          <w:rFonts w:ascii="Arial" w:cs="Arial" w:eastAsia="Arial" w:hAnsi="Arial"/>
          <w:sz w:val="17"/>
          <w:szCs w:val="17"/>
          <w:color w:val="auto"/>
        </w:rPr>
        <w:t>For each option that we have exercised under the Acuitas Agreement, we have entered into a non-exclusive license agreement with Acuitas with respect to such optioned target, all based on the same form agreement, which we refer to as the Acuitas License Agreements. We are required to pay Acuitas up to between approximately $1.1 million and $1.6 million in development milestone payments, $1.3 million and $1.8 million in regulatory milestone payments and $1.3 million and $1.8 million in commercial milestone payments under each Acuitas License Agreement and we must pay Acuitas annual fees ranging from $5,000 to $10,000 for any additional protein targeted by a vaccine product licensed under each Acuitas License Agreement after a certain milestone event. We additionally are obligated to pay Acuitas a low single-digit percentage royalty on net sales of licensed products. As of September 30, 2020, we have made $100,000 in development milestone payments to Acuitas with respect to the license agreement relating to Rabies RAV-G and we have made $0.6 million in development milestone payments (Phase I and Phase II milestone payments) to Acuitas with respect to the license agreement relating to the SARS-CoV-2 Spike protein S and have not made any royalty payments.</w:t>
      </w:r>
    </w:p>
    <w:p>
      <w:pPr>
        <w:spacing w:after="0" w:line="186"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CRISPR Therapeutics</w:t>
      </w:r>
    </w:p>
    <w:p>
      <w:pPr>
        <w:spacing w:after="0" w:line="144" w:lineRule="exact"/>
        <w:rPr>
          <w:sz w:val="20"/>
          <w:szCs w:val="20"/>
          <w:color w:val="auto"/>
        </w:rPr>
      </w:pPr>
    </w:p>
    <w:p>
      <w:pPr>
        <w:ind w:left="1260" w:right="419" w:firstLine="648"/>
        <w:spacing w:after="0" w:line="255" w:lineRule="auto"/>
        <w:rPr>
          <w:sz w:val="20"/>
          <w:szCs w:val="20"/>
          <w:color w:val="auto"/>
        </w:rPr>
      </w:pPr>
      <w:r>
        <w:rPr>
          <w:rFonts w:ascii="Arial" w:cs="Arial" w:eastAsia="Arial" w:hAnsi="Arial"/>
          <w:sz w:val="18"/>
          <w:szCs w:val="18"/>
          <w:color w:val="auto"/>
        </w:rPr>
        <w:t xml:space="preserve">In November 2017, we entered into a Development and License Agreement, which, as amended, we refer to as the CRISPR Therapeutics Agreement, with CRISPR Therapeutics, pursuant to which we will develop novel Cas9 mRNA constructs for use in gene editing therapeutics. Under the CRISPR Therapeutics Agreement, we granted CRISPR Therapeutics an exclusive worldwide license to use our improved Cas9 constructs for the development and commercialization of three of its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gene-editing programs for certain diseases.</w:t>
      </w:r>
    </w:p>
    <w:p>
      <w:pPr>
        <w:spacing w:after="0" w:line="125"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CRISPR Therapeutics was required to pay us an upfront one-time technology access fee of</w:t>
      </w:r>
    </w:p>
    <w:p>
      <w:pPr>
        <w:spacing w:after="0" w:line="23" w:lineRule="exact"/>
        <w:rPr>
          <w:sz w:val="20"/>
          <w:szCs w:val="20"/>
          <w:color w:val="auto"/>
        </w:rPr>
      </w:pPr>
    </w:p>
    <w:p>
      <w:pPr>
        <w:ind w:left="1260" w:right="479"/>
        <w:spacing w:after="0" w:line="251" w:lineRule="auto"/>
        <w:rPr>
          <w:sz w:val="20"/>
          <w:szCs w:val="20"/>
          <w:color w:val="auto"/>
        </w:rPr>
      </w:pPr>
      <w:r>
        <w:rPr>
          <w:rFonts w:ascii="Arial" w:cs="Arial" w:eastAsia="Arial" w:hAnsi="Arial"/>
          <w:sz w:val="18"/>
          <w:szCs w:val="18"/>
          <w:color w:val="auto"/>
        </w:rPr>
        <w:t>$3 million and we are eligible to receive up to $13 million in development milestone payments, $33 million in regulatory milestone payments and $133 million in commercial milestone payments, as well as mid single-digit percentage royalties from CRISPR Therapeutics on the net sales of licensed products on a product-by-product and country-by-country basis, subject to certain potential customary reductions. Additionally, CRISPR Therapeutics will make payments to us for services provided by us in conjunction with research programs under the CRISPR Therapeutics Agreement. In the event CRISPR Therapeutics exercises its right to sublicense under the agreement, CRISPR Therapeutics must pay us a low teens to mid-twenties percentage</w:t>
      </w:r>
    </w:p>
    <w:p>
      <w:pPr>
        <w:sectPr>
          <w:pgSz w:w="11900" w:h="16838" w:orient="portrait"/>
          <w:cols w:equalWidth="0" w:num="1">
            <w:col w:w="9879"/>
          </w:cols>
          <w:pgMar w:left="580" w:top="131" w:right="1440" w:bottom="1440" w:gutter="0" w:footer="0" w:header="0"/>
        </w:sectPr>
      </w:pPr>
    </w:p>
    <w:p>
      <w:pPr>
        <w:spacing w:after="0" w:line="37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5" w:name="page106"/>
    <w:bookmarkEnd w:id="10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39"/>
        <w:spacing w:after="0" w:line="259" w:lineRule="auto"/>
        <w:rPr>
          <w:sz w:val="20"/>
          <w:szCs w:val="20"/>
          <w:color w:val="auto"/>
        </w:rPr>
      </w:pPr>
      <w:r>
        <w:rPr>
          <w:rFonts w:ascii="Arial" w:cs="Arial" w:eastAsia="Arial" w:hAnsi="Arial"/>
          <w:sz w:val="18"/>
          <w:szCs w:val="18"/>
          <w:color w:val="auto"/>
        </w:rPr>
        <w:t>of any non-royalty sublicense income, depending on the timing of the sublicense and whether the sublicense is granted through an affiliate of CRISPR Therapeutics. As of September 30, 2020, we have received approximately €0.9 million in payments for the supply of materials and FTE cost and development reimbursements and no milestone, royalty or sublicense fee payments.</w:t>
      </w:r>
    </w:p>
    <w:p>
      <w:pPr>
        <w:spacing w:after="0" w:line="187"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Boehringer Ingelheim</w:t>
      </w:r>
    </w:p>
    <w:p>
      <w:pPr>
        <w:spacing w:after="0" w:line="158" w:lineRule="exact"/>
        <w:rPr>
          <w:sz w:val="20"/>
          <w:szCs w:val="20"/>
          <w:color w:val="auto"/>
        </w:rPr>
      </w:pPr>
    </w:p>
    <w:p>
      <w:pPr>
        <w:ind w:left="1260" w:right="499" w:firstLine="648"/>
        <w:spacing w:after="0" w:line="259" w:lineRule="auto"/>
        <w:rPr>
          <w:sz w:val="20"/>
          <w:szCs w:val="20"/>
          <w:color w:val="auto"/>
        </w:rPr>
      </w:pPr>
      <w:r>
        <w:rPr>
          <w:rFonts w:ascii="Arial" w:cs="Arial" w:eastAsia="Arial" w:hAnsi="Arial"/>
          <w:sz w:val="18"/>
          <w:szCs w:val="18"/>
          <w:color w:val="auto"/>
        </w:rPr>
        <w:t>In August 2014, we entered into an Exclusive Collaboration and License Agreement, which we refer to as the Boehringer Agreement, with Boehringer Ingelheim, whereby we granted Boehringer Ingelheim exclusive global rights for development and commercialization of our investigational therapeutic mRNA vaccine BI 1361849 (formerly CV9202).</w:t>
      </w:r>
    </w:p>
    <w:p>
      <w:pPr>
        <w:spacing w:after="0" w:line="119" w:lineRule="exact"/>
        <w:rPr>
          <w:sz w:val="20"/>
          <w:szCs w:val="20"/>
          <w:color w:val="auto"/>
        </w:rPr>
      </w:pPr>
    </w:p>
    <w:p>
      <w:pPr>
        <w:ind w:left="1260" w:right="439" w:firstLine="648"/>
        <w:spacing w:after="0" w:line="271" w:lineRule="auto"/>
        <w:rPr>
          <w:sz w:val="20"/>
          <w:szCs w:val="20"/>
          <w:color w:val="auto"/>
        </w:rPr>
      </w:pPr>
      <w:r>
        <w:rPr>
          <w:rFonts w:ascii="Arial" w:cs="Arial" w:eastAsia="Arial" w:hAnsi="Arial"/>
          <w:sz w:val="17"/>
          <w:szCs w:val="17"/>
          <w:color w:val="auto"/>
        </w:rPr>
        <w:t>We received an upfront payment of €30 million, as well as, an option fee payment of €5 million and an additional €7 million in development milestone payments. We are eligible to receive up to an additional €73 million in development milestone payments, €250 million in regulatory milestone payments and</w:t>
      </w:r>
    </w:p>
    <w:p>
      <w:pPr>
        <w:ind w:left="1260" w:right="499"/>
        <w:spacing w:after="0" w:line="251" w:lineRule="auto"/>
        <w:rPr>
          <w:sz w:val="20"/>
          <w:szCs w:val="20"/>
          <w:color w:val="auto"/>
        </w:rPr>
      </w:pPr>
      <w:r>
        <w:rPr>
          <w:rFonts w:ascii="Arial" w:cs="Arial" w:eastAsia="Arial" w:hAnsi="Arial"/>
          <w:sz w:val="18"/>
          <w:szCs w:val="18"/>
          <w:color w:val="auto"/>
        </w:rPr>
        <w:t>€100 million in commercial milestone payments, as well as royalties in the low teens on net sales of licensed products. We are responsible for any payment obligations arising under certain existing third-party license agreements and costs we incur in relation to the research and development of BI 1361849 (formerly CV9202) manufacturing technology. Boehringer Ingelheim is responsible for all other development and commercialization costs and is required to reimburse us for any such costs we may incur. As of Septemeer 30, 2020, Boehringer Ingelheim has made payments to us for a net amount of approximately €7.4 million for the supply of materials and reimbursing us for development costs. We have received no royalty payments.</w:t>
      </w:r>
    </w:p>
    <w:p>
      <w:pPr>
        <w:spacing w:after="0" w:line="198"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Bill &amp; Melinda Gates Foundation</w:t>
      </w:r>
    </w:p>
    <w:p>
      <w:pPr>
        <w:spacing w:after="0" w:line="144" w:lineRule="exact"/>
        <w:rPr>
          <w:sz w:val="20"/>
          <w:szCs w:val="20"/>
          <w:color w:val="auto"/>
        </w:rPr>
      </w:pPr>
    </w:p>
    <w:p>
      <w:pPr>
        <w:ind w:left="1260" w:right="1199" w:firstLine="648"/>
        <w:spacing w:after="0" w:line="274" w:lineRule="auto"/>
        <w:rPr>
          <w:sz w:val="20"/>
          <w:szCs w:val="20"/>
          <w:color w:val="auto"/>
        </w:rPr>
      </w:pPr>
      <w:r>
        <w:rPr>
          <w:rFonts w:ascii="Arial" w:cs="Arial" w:eastAsia="Arial" w:hAnsi="Arial"/>
          <w:sz w:val="17"/>
          <w:szCs w:val="17"/>
          <w:color w:val="auto"/>
        </w:rPr>
        <w:t>In May 2014, we were awarded a grant from the Bill &amp; Melinda Gates Foundation for the development of a vaccine for rotaviruses, as amended in November 2020, for up to approximately</w:t>
      </w:r>
    </w:p>
    <w:p>
      <w:pPr>
        <w:ind w:left="1260" w:right="519"/>
        <w:spacing w:after="0" w:line="268" w:lineRule="auto"/>
        <w:rPr>
          <w:sz w:val="20"/>
          <w:szCs w:val="20"/>
          <w:color w:val="auto"/>
        </w:rPr>
      </w:pPr>
      <w:r>
        <w:rPr>
          <w:rFonts w:ascii="Arial" w:cs="Arial" w:eastAsia="Arial" w:hAnsi="Arial"/>
          <w:sz w:val="17"/>
          <w:szCs w:val="17"/>
          <w:color w:val="auto"/>
        </w:rPr>
        <w:t>$2.8 million. As of September 30, 2020, we have received approximately $2.0 million in funding under the agreement. In March 2015, the Bill &amp; Melinda Gates Foundation made an equity investment of $40 million to support continued development of our RNA technology platform and the construction of an industrial scale cGMP production facility. We entered into a Global Access Commitments Agreement with the Bill &amp; Melinda Gates Foundation in February 2015 pursuant to which we are required to take certain actions to support the Bill &amp; Melinda Gates Foundation mission. In connection with the investment by the Bill &amp; Melinda Gates Foundation, we are required to conduct development activities for up to three concurrent projects to be proposed by the Bill &amp; Melinda Gates Foundation. The costs of such projects will be allocated on a project-by-project basis in proportion to the allocation of the expected benefits.</w:t>
      </w:r>
    </w:p>
    <w:p>
      <w:pPr>
        <w:spacing w:after="0" w:line="114" w:lineRule="exact"/>
        <w:rPr>
          <w:sz w:val="20"/>
          <w:szCs w:val="20"/>
          <w:color w:val="auto"/>
        </w:rPr>
      </w:pPr>
    </w:p>
    <w:p>
      <w:pPr>
        <w:ind w:left="1260" w:right="519" w:firstLine="648"/>
        <w:spacing w:after="0" w:line="253" w:lineRule="auto"/>
        <w:rPr>
          <w:sz w:val="20"/>
          <w:szCs w:val="20"/>
          <w:color w:val="auto"/>
        </w:rPr>
      </w:pPr>
      <w:r>
        <w:rPr>
          <w:rFonts w:ascii="Arial" w:cs="Arial" w:eastAsia="Arial" w:hAnsi="Arial"/>
          <w:sz w:val="18"/>
          <w:szCs w:val="18"/>
          <w:color w:val="auto"/>
        </w:rPr>
        <w:t>In November 2016, in connection with the Global Access Commitments Agreement, we were awarded a grant for up to approximately $0.9 million in funding from the Bill &amp; Melinda Gates Foundation for the development of a vaccine for picornaviruses. As of September 30, 2020, we have received approximately $0.7 million in funding under the picornaviruses grant agreement. In November 2017, we were awarded two additional grants each for up to approximately $1.9 million and $1.5 million in funding from the Bill &amp; Melinda Gates Foundation for the development of a universal influenza and a malaria vaccine, respectively. By an amendment entered into November 2020, our grant for the development of a malaria vaccine was increased by an additional approximately $0.8 million. As of September 30, 2020, we have received approximately $1.5 million and $0.8 million, respectively, in funding under each grant agreement.</w:t>
      </w:r>
    </w:p>
    <w:p>
      <w:pPr>
        <w:spacing w:after="0" w:line="194"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Coalition for Epidemic Preparedness Innovations</w:t>
      </w:r>
    </w:p>
    <w:p>
      <w:pPr>
        <w:spacing w:after="0" w:line="158" w:lineRule="exact"/>
        <w:rPr>
          <w:sz w:val="20"/>
          <w:szCs w:val="20"/>
          <w:color w:val="auto"/>
        </w:rPr>
      </w:pPr>
    </w:p>
    <w:p>
      <w:pPr>
        <w:ind w:left="1260" w:right="459" w:firstLine="648"/>
        <w:spacing w:after="0" w:line="271" w:lineRule="auto"/>
        <w:rPr>
          <w:sz w:val="20"/>
          <w:szCs w:val="20"/>
          <w:color w:val="auto"/>
        </w:rPr>
      </w:pPr>
      <w:r>
        <w:rPr>
          <w:rFonts w:ascii="Arial" w:cs="Arial" w:eastAsia="Arial" w:hAnsi="Arial"/>
          <w:sz w:val="17"/>
          <w:szCs w:val="17"/>
          <w:color w:val="auto"/>
        </w:rPr>
        <w:t>In February 2019, we entered into a framework partnership agreement, which as amended we refer to as the CEPI Agreement, with CEPI, to develop our RNA Printer using certain intellectual property controlled by us covering the development and manufacture of mRNA products, as well as certain additional intellectual property licensed to us. In connection with the CEPI Agreement we have entered into work orders for the preclinical development of a Lassa virus vaccine, a yellow fever vaccine and our rabies virus vaccine. In addition, we entered into a work package for the preclinical development and a Phase 1 clinical trial for our COVID-19 vaccine candidate, CVnCoV. CEPI agreed to contribute up to approximately $34 million in funding for projects undertaken under the CEPI Agreement and an additional $15.3 million</w:t>
      </w:r>
    </w:p>
    <w:p>
      <w:pPr>
        <w:sectPr>
          <w:pgSz w:w="11900" w:h="16838" w:orient="portrait"/>
          <w:cols w:equalWidth="0" w:num="1">
            <w:col w:w="9879"/>
          </w:cols>
          <w:pgMar w:left="580" w:top="131" w:right="1440" w:bottom="1440" w:gutter="0" w:footer="0" w:header="0"/>
        </w:sectPr>
      </w:pPr>
    </w:p>
    <w:p>
      <w:pPr>
        <w:spacing w:after="0" w:line="35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6" w:name="page107"/>
    <w:bookmarkEnd w:id="10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308" w:lineRule="auto"/>
        <w:rPr>
          <w:sz w:val="20"/>
          <w:szCs w:val="20"/>
          <w:color w:val="auto"/>
        </w:rPr>
      </w:pPr>
      <w:r>
        <w:rPr>
          <w:rFonts w:ascii="Arial" w:cs="Arial" w:eastAsia="Arial" w:hAnsi="Arial"/>
          <w:sz w:val="17"/>
          <w:szCs w:val="17"/>
          <w:color w:val="auto"/>
        </w:rPr>
        <w:t>in connection with development of the COVID-19 vaccine. As of September 30, 2020, we have received approximately €26.4 million in funding for projects undertaken under the CEPI Agreement.</w:t>
      </w:r>
    </w:p>
    <w:p>
      <w:pPr>
        <w:spacing w:after="0" w:line="146"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Tesla Grohmann</w:t>
      </w:r>
    </w:p>
    <w:p>
      <w:pPr>
        <w:spacing w:after="0" w:line="158" w:lineRule="exact"/>
        <w:rPr>
          <w:sz w:val="20"/>
          <w:szCs w:val="20"/>
          <w:color w:val="auto"/>
        </w:rPr>
      </w:pPr>
    </w:p>
    <w:p>
      <w:pPr>
        <w:ind w:left="1260" w:right="419" w:firstLine="648"/>
        <w:spacing w:after="0" w:line="269" w:lineRule="auto"/>
        <w:rPr>
          <w:sz w:val="20"/>
          <w:szCs w:val="20"/>
          <w:color w:val="auto"/>
        </w:rPr>
      </w:pPr>
      <w:r>
        <w:rPr>
          <w:rFonts w:ascii="Arial" w:cs="Arial" w:eastAsia="Arial" w:hAnsi="Arial"/>
          <w:sz w:val="17"/>
          <w:szCs w:val="17"/>
          <w:color w:val="auto"/>
        </w:rPr>
        <w:t>In November 2015, we entered into a development and intellectual property agreement, which we refer to as the Tesla Grohmann Agreement, with Tesla Grohmann, pursuant to which Tesla Grohmann agreed to design, develop and manufacture certain automated manufacturing machines on our behalf. We are obligated to pay Tesla Grohmann a fee for each machine delivered by Tesla Grohmann and up to</w:t>
      </w:r>
    </w:p>
    <w:p>
      <w:pPr>
        <w:spacing w:after="0" w:line="2" w:lineRule="exact"/>
        <w:rPr>
          <w:sz w:val="20"/>
          <w:szCs w:val="20"/>
          <w:color w:val="auto"/>
        </w:rPr>
      </w:pPr>
    </w:p>
    <w:p>
      <w:pPr>
        <w:ind w:left="1260" w:right="679"/>
        <w:spacing w:after="0" w:line="265" w:lineRule="auto"/>
        <w:rPr>
          <w:sz w:val="20"/>
          <w:szCs w:val="20"/>
          <w:color w:val="auto"/>
        </w:rPr>
      </w:pPr>
      <w:r>
        <w:rPr>
          <w:rFonts w:ascii="Arial" w:cs="Arial" w:eastAsia="Arial" w:hAnsi="Arial"/>
          <w:sz w:val="17"/>
          <w:szCs w:val="17"/>
          <w:color w:val="auto"/>
        </w:rPr>
        <w:t>$50 million to $60 million in commercial milestone payments as well as certain development costs under each associated work order. As of September 30, 2020, we have paid Tesla Grohmann approximately</w:t>
      </w:r>
    </w:p>
    <w:p>
      <w:pPr>
        <w:ind w:left="1260" w:right="559"/>
        <w:spacing w:after="0" w:line="260" w:lineRule="auto"/>
        <w:rPr>
          <w:sz w:val="20"/>
          <w:szCs w:val="20"/>
          <w:color w:val="auto"/>
        </w:rPr>
      </w:pPr>
      <w:r>
        <w:rPr>
          <w:rFonts w:ascii="Arial" w:cs="Arial" w:eastAsia="Arial" w:hAnsi="Arial"/>
          <w:sz w:val="18"/>
          <w:szCs w:val="18"/>
          <w:color w:val="auto"/>
        </w:rPr>
        <w:t>€5 million to €6 million in development costs under various work orders and we have not paid any fees for machines provided under the Tesla Grohmann Agreement or made any milestone payments.</w:t>
      </w:r>
    </w:p>
    <w:p>
      <w:pPr>
        <w:spacing w:after="0" w:line="185"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Eli Lilly License and Collaboration Agreement</w:t>
      </w:r>
    </w:p>
    <w:p>
      <w:pPr>
        <w:spacing w:after="0" w:line="158" w:lineRule="exact"/>
        <w:rPr>
          <w:sz w:val="20"/>
          <w:szCs w:val="20"/>
          <w:color w:val="auto"/>
        </w:rPr>
      </w:pPr>
    </w:p>
    <w:p>
      <w:pPr>
        <w:ind w:left="1260" w:right="459" w:firstLine="648"/>
        <w:spacing w:after="0" w:line="254" w:lineRule="auto"/>
        <w:rPr>
          <w:sz w:val="20"/>
          <w:szCs w:val="20"/>
          <w:color w:val="auto"/>
        </w:rPr>
      </w:pPr>
      <w:r>
        <w:rPr>
          <w:rFonts w:ascii="Arial" w:cs="Arial" w:eastAsia="Arial" w:hAnsi="Arial"/>
          <w:sz w:val="18"/>
          <w:szCs w:val="18"/>
          <w:color w:val="auto"/>
        </w:rPr>
        <w:t>In November 2017, we entered into a global immuno-oncology collaboration with Eli Lilly focused on the development and commercialization of cancer vaccine products based on our proprietary RNActive® technology, which we refer to as the Eli Lilly Agreement. In 2017, we received an upfront payment of $50 million and an equity investment of €45 million and as of September 30, 2020, we have received approximately €14.6 million in payments for the supply of materials and reimbursements for development costs. In June 2020, we entered into a termination agreement with Eli Lilly, which we refer to as the Eli Lilly Termination Agreement, and all licenses, and Eli Lilly’s payment obligations, under the Eli Lilly Agreement terminated.</w:t>
      </w:r>
    </w:p>
    <w:p>
      <w:pPr>
        <w:spacing w:after="0" w:line="192"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Advance Purchase Agreement for our COVID-19 Vaccine Candidate</w:t>
      </w:r>
    </w:p>
    <w:p>
      <w:pPr>
        <w:spacing w:after="0" w:line="144" w:lineRule="exact"/>
        <w:rPr>
          <w:sz w:val="20"/>
          <w:szCs w:val="20"/>
          <w:color w:val="auto"/>
        </w:rPr>
      </w:pPr>
    </w:p>
    <w:p>
      <w:pPr>
        <w:ind w:left="1260" w:right="439" w:firstLine="648"/>
        <w:spacing w:after="0" w:line="268" w:lineRule="auto"/>
        <w:rPr>
          <w:sz w:val="20"/>
          <w:szCs w:val="20"/>
          <w:color w:val="auto"/>
        </w:rPr>
      </w:pPr>
      <w:r>
        <w:rPr>
          <w:rFonts w:ascii="Arial" w:cs="Arial" w:eastAsia="Arial" w:hAnsi="Arial"/>
          <w:sz w:val="17"/>
          <w:szCs w:val="17"/>
          <w:color w:val="auto"/>
        </w:rPr>
        <w:t>On November 30, 2020, we entered into an APA with the EC, acting on behalf and in the name of all Member States of the European Union, which provides for the advance purchase by the Member States of 225 million doses of the vaccine to be allocated among the Member States and the option to purchase up to an additional 180 million doses. The option may be exercised by the EC on behalf and in the name of the Member States. The APA provides for support to our operations in the form of two up-front payments. The first up-front payment of a mid nine-figure euro amount has already been paid by the EC on behalf of the Member States. The second up-front payment of a mid nine-figure euro amount is to be paid directly by the Member States and is due after an interim data package has been submitted by us to the EMA for the purpose of obtaining EU marketing authorization for CVnCoV. Such up-front payments must be used solely for the development and commercial supply of CVnCoV. We will be required to return any unspent amounts of the up-front payments if, among others, we fail to successfully develop CVnCoV or if we successfully develop CVnCoV, but we do not receive EU marketing authorization or fail to supply any doses of CVnCoV to any of the Member States by late 2021, unless we and the EC mutually agree to a later date. In addition, if any Member State decides to purchase additional doses pursuant to the option granted under the APA, we will be entitled to additional up-front payments that are not subject to such restrictions on use or return of unused amounts upon termination of the APA.</w:t>
      </w:r>
    </w:p>
    <w:p>
      <w:pPr>
        <w:spacing w:after="0" w:line="112" w:lineRule="exact"/>
        <w:rPr>
          <w:sz w:val="20"/>
          <w:szCs w:val="20"/>
          <w:color w:val="auto"/>
        </w:rPr>
      </w:pPr>
    </w:p>
    <w:p>
      <w:pPr>
        <w:ind w:left="1260" w:right="599" w:firstLine="648"/>
        <w:spacing w:after="0" w:line="259" w:lineRule="auto"/>
        <w:rPr>
          <w:sz w:val="20"/>
          <w:szCs w:val="20"/>
          <w:color w:val="auto"/>
        </w:rPr>
      </w:pPr>
      <w:r>
        <w:rPr>
          <w:rFonts w:ascii="Arial" w:cs="Arial" w:eastAsia="Arial" w:hAnsi="Arial"/>
          <w:sz w:val="18"/>
          <w:szCs w:val="18"/>
          <w:color w:val="auto"/>
        </w:rPr>
        <w:t>We currently estimate the total value of the APA to be in the low 10-figure euro amount assuming no exercise of the option discussed above, but this estimate is subject to our ability to successfully deliver CVnCoV pursuant to the terms of the APA, including obtaining EU marketing authorization and establishing manufacturing capacities to supply sufficient quantities of CVnCoV.</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Revenue</w:t>
      </w:r>
    </w:p>
    <w:p>
      <w:pPr>
        <w:spacing w:after="0" w:line="158" w:lineRule="exact"/>
        <w:rPr>
          <w:sz w:val="20"/>
          <w:szCs w:val="20"/>
          <w:color w:val="auto"/>
        </w:rPr>
      </w:pPr>
    </w:p>
    <w:p>
      <w:pPr>
        <w:ind w:left="1260" w:right="599" w:firstLine="648"/>
        <w:spacing w:after="0" w:line="259" w:lineRule="auto"/>
        <w:rPr>
          <w:sz w:val="20"/>
          <w:szCs w:val="20"/>
          <w:color w:val="auto"/>
        </w:rPr>
      </w:pPr>
      <w:r>
        <w:rPr>
          <w:rFonts w:ascii="Arial" w:cs="Arial" w:eastAsia="Arial" w:hAnsi="Arial"/>
          <w:sz w:val="18"/>
          <w:szCs w:val="18"/>
          <w:color w:val="auto"/>
        </w:rPr>
        <w:t>To date, our revenues have consisted of upfront licensing payments, product sales and compensation for research and development services, all of which relate to our license and collaboration agreements. Certain of these payments are initially recorded on our statement of financial position and are subsequently</w:t>
      </w:r>
    </w:p>
    <w:p>
      <w:pPr>
        <w:sectPr>
          <w:pgSz w:w="11900" w:h="16838" w:orient="portrait"/>
          <w:cols w:equalWidth="0" w:num="1">
            <w:col w:w="9879"/>
          </w:cols>
          <w:pgMar w:left="580" w:top="131" w:right="1440" w:bottom="1440" w:gutter="0" w:footer="0" w:header="0"/>
        </w:sectPr>
      </w:pP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7" w:name="page108"/>
    <w:bookmarkEnd w:id="10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19"/>
        <w:spacing w:after="0" w:line="263" w:lineRule="auto"/>
        <w:rPr>
          <w:sz w:val="20"/>
          <w:szCs w:val="20"/>
          <w:color w:val="auto"/>
        </w:rPr>
      </w:pPr>
      <w:r>
        <w:rPr>
          <w:rFonts w:ascii="Arial" w:cs="Arial" w:eastAsia="Arial" w:hAnsi="Arial"/>
          <w:sz w:val="18"/>
          <w:szCs w:val="18"/>
          <w:color w:val="auto"/>
        </w:rPr>
        <w:t>recognized as revenue in accordance with our accounting policy as described further in “Critical Accounting Policies and Estimates” and note 2 to our consolidated financial statements included elsewhere in this prospectus.</w:t>
      </w:r>
    </w:p>
    <w:p>
      <w:pPr>
        <w:spacing w:after="0" w:line="184"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Cost of Sales</w:t>
      </w:r>
    </w:p>
    <w:p>
      <w:pPr>
        <w:spacing w:after="0" w:line="158" w:lineRule="exact"/>
        <w:rPr>
          <w:sz w:val="20"/>
          <w:szCs w:val="20"/>
          <w:color w:val="auto"/>
        </w:rPr>
      </w:pPr>
    </w:p>
    <w:p>
      <w:pPr>
        <w:ind w:left="1260" w:right="579" w:firstLine="648"/>
        <w:spacing w:after="0" w:line="254" w:lineRule="auto"/>
        <w:rPr>
          <w:sz w:val="20"/>
          <w:szCs w:val="20"/>
          <w:color w:val="auto"/>
        </w:rPr>
      </w:pPr>
      <w:r>
        <w:rPr>
          <w:rFonts w:ascii="Arial" w:cs="Arial" w:eastAsia="Arial" w:hAnsi="Arial"/>
          <w:sz w:val="18"/>
          <w:szCs w:val="18"/>
          <w:color w:val="auto"/>
        </w:rPr>
        <w:t>Cost of sales consists primarily of personnel costs, costs for materials and third-party services, as well as maintenance and lease costs (for 2018), and depreciation and amortization. Costs of sales includes costs of product sales, idle production costs and costs from set-up and quality assurance activities for our production processes, including those relating to pharmaceutical products which are under development in our collaboration agreements and for which we have not yet generated revenues. See “Research and Development Expenses” below for additional information on recognition of costs relating to pre-launch products.</w:t>
      </w:r>
    </w:p>
    <w:p>
      <w:pPr>
        <w:spacing w:after="0" w:line="195"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Selling and Distribution Expenses</w:t>
      </w:r>
    </w:p>
    <w:p>
      <w:pPr>
        <w:spacing w:after="0" w:line="158" w:lineRule="exact"/>
        <w:rPr>
          <w:sz w:val="20"/>
          <w:szCs w:val="20"/>
          <w:color w:val="auto"/>
        </w:rPr>
      </w:pPr>
    </w:p>
    <w:p>
      <w:pPr>
        <w:ind w:left="1260" w:right="499" w:firstLine="648"/>
        <w:spacing w:after="0" w:line="277" w:lineRule="auto"/>
        <w:rPr>
          <w:sz w:val="20"/>
          <w:szCs w:val="20"/>
          <w:color w:val="auto"/>
        </w:rPr>
      </w:pPr>
      <w:r>
        <w:rPr>
          <w:rFonts w:ascii="Arial" w:cs="Arial" w:eastAsia="Arial" w:hAnsi="Arial"/>
          <w:sz w:val="18"/>
          <w:szCs w:val="18"/>
          <w:color w:val="auto"/>
        </w:rPr>
        <w:t>Selling and distribution expenses primarily consist of personnel expenses which include salary and salary-related expenses and expenses from share-based compensation.</w:t>
      </w:r>
    </w:p>
    <w:p>
      <w:pPr>
        <w:spacing w:after="0" w:line="170"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44" w:lineRule="exact"/>
        <w:rPr>
          <w:sz w:val="20"/>
          <w:szCs w:val="20"/>
          <w:color w:val="auto"/>
        </w:rPr>
      </w:pPr>
    </w:p>
    <w:p>
      <w:pPr>
        <w:ind w:left="1260" w:right="439" w:firstLine="648"/>
        <w:spacing w:after="0" w:line="268" w:lineRule="auto"/>
        <w:rPr>
          <w:sz w:val="20"/>
          <w:szCs w:val="20"/>
          <w:color w:val="auto"/>
        </w:rPr>
      </w:pPr>
      <w:r>
        <w:rPr>
          <w:rFonts w:ascii="Arial" w:cs="Arial" w:eastAsia="Arial" w:hAnsi="Arial"/>
          <w:sz w:val="17"/>
          <w:szCs w:val="17"/>
          <w:color w:val="auto"/>
        </w:rPr>
        <w:t>Research and development expenses consist primarily of costs incurred for our research and preclinical and clinical development activities, including our product discovery efforts and certain activities relating to the design of GMP-manufacturing facilities. Research and development expenses contain wages and salaries, share-based compensation, fringe benefits and other personnel costs, the costs of clinical testing and the associated clinical production costs, research material production costs, fees for contractual partners, consultants and other third parties, fees to register legal rights, amortization of licensed software and intellectual property as well as costs for plant and facilities. Research and development expenses contain costs for independent research and development work as well as work carried out in the context of collaboration and licensing agreements; such expenses include all costs related to research and development services delivered under our collaboration arrangements. Additionally, prior to initial regulatory approval, if any, costs relating to production of products are expensed as research and development expenses in the period incurred. If pre-launch products are sold, the respective product gross margin may be higher compared to the expected recurring margin as the underlying costs will not be included in cost of sales as they will have been recognized in research and development expense in the period incurred.</w:t>
      </w:r>
    </w:p>
    <w:p>
      <w:pPr>
        <w:spacing w:after="0" w:line="117" w:lineRule="exact"/>
        <w:rPr>
          <w:sz w:val="20"/>
          <w:szCs w:val="20"/>
          <w:color w:val="auto"/>
        </w:rPr>
      </w:pPr>
    </w:p>
    <w:p>
      <w:pPr>
        <w:ind w:left="1260" w:right="859" w:firstLine="648"/>
        <w:spacing w:after="0" w:line="275" w:lineRule="auto"/>
        <w:rPr>
          <w:sz w:val="20"/>
          <w:szCs w:val="20"/>
          <w:color w:val="auto"/>
        </w:rPr>
      </w:pPr>
      <w:r>
        <w:rPr>
          <w:rFonts w:ascii="Arial" w:cs="Arial" w:eastAsia="Arial" w:hAnsi="Arial"/>
          <w:sz w:val="17"/>
          <w:szCs w:val="17"/>
          <w:color w:val="auto"/>
        </w:rPr>
        <w:t>We also have partnered programs as further described under “Business — Collaborations” and Business — Advance Purchase Agreements,” for which we incur additional expenses. In addition, our research and development expenses relate to our preclinical studies of further product candidates and discovery activities. These expenses mainly consist of salaries, share based-compensation, costs for production of preclinical compounds and costs paid to contract research organizations.</w:t>
      </w:r>
    </w:p>
    <w:p>
      <w:pPr>
        <w:spacing w:after="0" w:line="109" w:lineRule="exact"/>
        <w:rPr>
          <w:sz w:val="20"/>
          <w:szCs w:val="20"/>
          <w:color w:val="auto"/>
        </w:rPr>
      </w:pPr>
    </w:p>
    <w:p>
      <w:pPr>
        <w:ind w:left="1260" w:right="499" w:firstLine="648"/>
        <w:spacing w:after="0" w:line="273" w:lineRule="auto"/>
        <w:rPr>
          <w:sz w:val="20"/>
          <w:szCs w:val="20"/>
          <w:color w:val="auto"/>
        </w:rPr>
      </w:pPr>
      <w:r>
        <w:rPr>
          <w:rFonts w:ascii="Arial" w:cs="Arial" w:eastAsia="Arial" w:hAnsi="Arial"/>
          <w:sz w:val="17"/>
          <w:szCs w:val="17"/>
          <w:color w:val="auto"/>
        </w:rPr>
        <w:t>We expense research and development expenses as incurred. We recognize costs for certain development activities, such as preclinical studies and clinical trials, based on an evaluation of the progress to completion of specific tasks. We use information provided to us by our vendors such as patient enrollment or clinical site activations for services received and efforts expended. We expect research and development costs, including manufacturing, to support these activities, to increase significantly for the foreseeable future as our current development programs progress and new programs are added.</w:t>
      </w:r>
    </w:p>
    <w:p>
      <w:pPr>
        <w:spacing w:after="0" w:line="178"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44" w:lineRule="exact"/>
        <w:rPr>
          <w:sz w:val="20"/>
          <w:szCs w:val="20"/>
          <w:color w:val="auto"/>
        </w:rPr>
      </w:pPr>
    </w:p>
    <w:p>
      <w:pPr>
        <w:ind w:left="1260" w:right="539" w:firstLine="648"/>
        <w:spacing w:after="0" w:line="254" w:lineRule="auto"/>
        <w:rPr>
          <w:sz w:val="20"/>
          <w:szCs w:val="20"/>
          <w:color w:val="auto"/>
        </w:rPr>
      </w:pPr>
      <w:r>
        <w:rPr>
          <w:rFonts w:ascii="Arial" w:cs="Arial" w:eastAsia="Arial" w:hAnsi="Arial"/>
          <w:sz w:val="18"/>
          <w:szCs w:val="18"/>
          <w:color w:val="auto"/>
        </w:rPr>
        <w:t>General and administrative expenses generally include wages and salaries, share-based compensation, fringe benefits and other personnel costs of our senior management and administrative personnel, costs for professional services, including legal, audit and consulting services and costs of facilities and office expenses. We expect that our general and administrative costs will continue to increase as a result of a greater level of support for our increasing research and development activities, potential commercialization of our product candidates and costs associated with being a public company in the United States.</w:t>
      </w:r>
    </w:p>
    <w:p>
      <w:pPr>
        <w:sectPr>
          <w:pgSz w:w="11900" w:h="16838" w:orient="portrait"/>
          <w:cols w:equalWidth="0" w:num="1">
            <w:col w:w="9879"/>
          </w:cols>
          <w:pgMar w:left="580" w:top="131" w:right="1440" w:bottom="1440" w:gutter="0" w:footer="0" w:header="0"/>
        </w:sectPr>
      </w:pPr>
    </w:p>
    <w:p>
      <w:pPr>
        <w:spacing w:after="0" w:line="38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8" w:name="page109"/>
    <w:bookmarkEnd w:id="10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Comparison of the Nine Months Ended September 30, 2019 and 2020</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The following table summarizes our results of operations for the nine months ended September 30,</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2019 and 2020:</w:t>
      </w:r>
    </w:p>
    <w:p>
      <w:pPr>
        <w:spacing w:after="0" w:line="2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22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For the Nine Months Ended</w:t>
            </w: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1540" w:type="dxa"/>
            <w:vAlign w:val="bottom"/>
            <w:tcBorders>
              <w:bottom w:val="single" w:sz="8" w:color="auto"/>
            </w:tcBorders>
            <w:gridSpan w:val="3"/>
          </w:tcPr>
          <w:p>
            <w:pPr>
              <w:jc w:val="center"/>
              <w:ind w:left="555"/>
              <w:spacing w:after="0"/>
              <w:rPr>
                <w:sz w:val="20"/>
                <w:szCs w:val="20"/>
                <w:color w:val="auto"/>
              </w:rPr>
            </w:pPr>
            <w:r>
              <w:rPr>
                <w:rFonts w:ascii="Arial" w:cs="Arial" w:eastAsia="Arial" w:hAnsi="Arial"/>
                <w:sz w:val="14"/>
                <w:szCs w:val="14"/>
                <w:b w:val="1"/>
                <w:bCs w:val="1"/>
                <w:color w:val="auto"/>
                <w:w w:val="89"/>
              </w:rPr>
              <w:t>September 30,</w:t>
            </w:r>
          </w:p>
        </w:tc>
        <w:tc>
          <w:tcPr>
            <w:tcW w:w="6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10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020" w:type="dxa"/>
            <w:vAlign w:val="bottom"/>
          </w:tcPr>
          <w:p>
            <w:pPr>
              <w:spacing w:after="0"/>
              <w:rPr>
                <w:sz w:val="16"/>
                <w:szCs w:val="16"/>
                <w:color w:val="auto"/>
              </w:rPr>
            </w:pPr>
          </w:p>
        </w:tc>
        <w:tc>
          <w:tcPr>
            <w:tcW w:w="1540" w:type="dxa"/>
            <w:vAlign w:val="bottom"/>
            <w:gridSpan w:val="3"/>
          </w:tcPr>
          <w:p>
            <w:pPr>
              <w:jc w:val="center"/>
              <w:ind w:left="555"/>
              <w:spacing w:after="0"/>
              <w:rPr>
                <w:sz w:val="20"/>
                <w:szCs w:val="20"/>
                <w:color w:val="auto"/>
              </w:rPr>
            </w:pPr>
            <w:r>
              <w:rPr>
                <w:rFonts w:ascii="Arial" w:cs="Arial" w:eastAsia="Arial" w:hAnsi="Arial"/>
                <w:sz w:val="14"/>
                <w:szCs w:val="14"/>
                <w:b w:val="1"/>
                <w:bCs w:val="1"/>
                <w:color w:val="auto"/>
                <w:w w:val="91"/>
              </w:rPr>
              <w:t>(unaudited)</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6020" w:type="dxa"/>
            <w:vAlign w:val="bottom"/>
          </w:tcPr>
          <w:p>
            <w:pPr>
              <w:spacing w:after="0"/>
              <w:rPr>
                <w:sz w:val="15"/>
                <w:szCs w:val="15"/>
                <w:color w:val="auto"/>
              </w:rPr>
            </w:pPr>
          </w:p>
        </w:tc>
        <w:tc>
          <w:tcPr>
            <w:tcW w:w="22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6"/>
              </w:rPr>
              <w:t>(in thousands of euros,</w:t>
            </w: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22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7"/>
              </w:rPr>
              <w:t>except per share data)</w:t>
            </w:r>
          </w:p>
        </w:tc>
        <w:tc>
          <w:tcPr>
            <w:tcW w:w="0" w:type="dxa"/>
            <w:vAlign w:val="bottom"/>
          </w:tcPr>
          <w:p>
            <w:pPr>
              <w:spacing w:after="0"/>
              <w:rPr>
                <w:sz w:val="1"/>
                <w:szCs w:val="1"/>
                <w:color w:val="auto"/>
              </w:rPr>
            </w:pPr>
          </w:p>
        </w:tc>
      </w:tr>
      <w:tr>
        <w:trPr>
          <w:trHeight w:val="222"/>
        </w:trPr>
        <w:tc>
          <w:tcPr>
            <w:tcW w:w="6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and Comprehensive Income (Loss) Data:</w:t>
            </w: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Revenue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10,600</w:t>
            </w:r>
          </w:p>
        </w:tc>
        <w:tc>
          <w:tcPr>
            <w:tcW w:w="3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42,830</w:t>
            </w:r>
          </w:p>
        </w:tc>
        <w:tc>
          <w:tcPr>
            <w:tcW w:w="0" w:type="dxa"/>
            <w:vAlign w:val="bottom"/>
          </w:tcPr>
          <w:p>
            <w:pPr>
              <w:spacing w:after="0"/>
              <w:rPr>
                <w:sz w:val="1"/>
                <w:szCs w:val="1"/>
                <w:color w:val="auto"/>
              </w:rPr>
            </w:pPr>
          </w:p>
        </w:tc>
      </w:tr>
      <w:tr>
        <w:trPr>
          <w:trHeight w:val="216"/>
        </w:trPr>
        <w:tc>
          <w:tcPr>
            <w:tcW w:w="6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(18,872)</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Selling and distribution expenses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(485)</w:t>
            </w:r>
          </w:p>
        </w:tc>
        <w:tc>
          <w:tcPr>
            <w:tcW w:w="3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6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(30,665)</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(76,337)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(28,504)</w:t>
            </w:r>
          </w:p>
        </w:tc>
        <w:tc>
          <w:tcPr>
            <w:tcW w:w="3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(33,147)</w:t>
            </w:r>
          </w:p>
        </w:tc>
        <w:tc>
          <w:tcPr>
            <w:tcW w:w="0" w:type="dxa"/>
            <w:vAlign w:val="bottom"/>
          </w:tcPr>
          <w:p>
            <w:pPr>
              <w:spacing w:after="0"/>
              <w:rPr>
                <w:sz w:val="1"/>
                <w:szCs w:val="1"/>
                <w:color w:val="auto"/>
              </w:rPr>
            </w:pPr>
          </w:p>
        </w:tc>
      </w:tr>
      <w:tr>
        <w:trPr>
          <w:trHeight w:val="216"/>
        </w:trPr>
        <w:tc>
          <w:tcPr>
            <w:tcW w:w="6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3,838</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2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(339)</w:t>
            </w:r>
          </w:p>
        </w:tc>
        <w:tc>
          <w:tcPr>
            <w:tcW w:w="3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0"/>
        </w:trPr>
        <w:tc>
          <w:tcPr>
            <w:tcW w:w="6020" w:type="dxa"/>
            <w:vAlign w:val="bottom"/>
            <w:tcBorders>
              <w:right w:val="single" w:sz="8" w:color="CCEEFF"/>
            </w:tcBorders>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(64,427)</w:t>
            </w: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(63,174)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20" w:type="dxa"/>
            <w:vAlign w:val="bottom"/>
            <w:tcBorders>
              <w:right w:val="single" w:sz="8" w:color="CCEEFF"/>
            </w:tcBorders>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20" w:type="dxa"/>
            <w:vAlign w:val="bottom"/>
          </w:tcPr>
          <w:p>
            <w:pPr>
              <w:spacing w:after="0"/>
              <w:rPr>
                <w:sz w:val="20"/>
                <w:szCs w:val="20"/>
                <w:color w:val="auto"/>
              </w:rPr>
            </w:pPr>
            <w:r>
              <w:rPr>
                <w:rFonts w:ascii="Arial" w:cs="Arial" w:eastAsia="Arial" w:hAnsi="Arial"/>
                <w:sz w:val="18"/>
                <w:szCs w:val="18"/>
                <w:color w:val="auto"/>
              </w:rPr>
              <w:t>Finance income</w:t>
            </w:r>
          </w:p>
        </w:tc>
        <w:tc>
          <w:tcPr>
            <w:tcW w:w="1020" w:type="dxa"/>
            <w:vAlign w:val="bottom"/>
          </w:tcPr>
          <w:p>
            <w:pPr>
              <w:jc w:val="right"/>
              <w:spacing w:after="0"/>
              <w:rPr>
                <w:sz w:val="20"/>
                <w:szCs w:val="20"/>
                <w:color w:val="auto"/>
              </w:rPr>
            </w:pPr>
            <w:r>
              <w:rPr>
                <w:rFonts w:ascii="Arial" w:cs="Arial" w:eastAsia="Arial" w:hAnsi="Arial"/>
                <w:sz w:val="18"/>
                <w:szCs w:val="18"/>
                <w:color w:val="auto"/>
              </w:rPr>
              <w:t>3,133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5,103</w:t>
            </w:r>
          </w:p>
        </w:tc>
        <w:tc>
          <w:tcPr>
            <w:tcW w:w="0" w:type="dxa"/>
            <w:vAlign w:val="bottom"/>
          </w:tcPr>
          <w:p>
            <w:pPr>
              <w:spacing w:after="0"/>
              <w:rPr>
                <w:sz w:val="1"/>
                <w:szCs w:val="1"/>
                <w:color w:val="auto"/>
              </w:rPr>
            </w:pPr>
          </w:p>
        </w:tc>
      </w:tr>
      <w:tr>
        <w:trPr>
          <w:trHeight w:val="243"/>
        </w:trPr>
        <w:tc>
          <w:tcPr>
            <w:tcW w:w="6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(2,924)</w:t>
            </w:r>
          </w:p>
        </w:tc>
        <w:tc>
          <w:tcPr>
            <w:tcW w:w="3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(14,519)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20" w:type="dxa"/>
            <w:vAlign w:val="bottom"/>
            <w:tcBorders>
              <w:right w:val="single" w:sz="8" w:color="CCEEFF"/>
            </w:tcBorders>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020" w:type="dxa"/>
            <w:vAlign w:val="bottom"/>
          </w:tcPr>
          <w:p>
            <w:pPr>
              <w:spacing w:after="0"/>
              <w:rPr>
                <w:sz w:val="20"/>
                <w:szCs w:val="20"/>
                <w:color w:val="auto"/>
              </w:rPr>
            </w:pPr>
            <w:r>
              <w:rPr>
                <w:rFonts w:ascii="Arial" w:cs="Arial" w:eastAsia="Arial" w:hAnsi="Arial"/>
                <w:sz w:val="18"/>
                <w:szCs w:val="18"/>
                <w:b w:val="1"/>
                <w:bCs w:val="1"/>
                <w:color w:val="auto"/>
              </w:rPr>
              <w:t>Loss before income tax</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(64,218)</w:t>
            </w:r>
          </w:p>
        </w:tc>
        <w:tc>
          <w:tcPr>
            <w:tcW w:w="3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(72,590)</w:t>
            </w:r>
          </w:p>
        </w:tc>
        <w:tc>
          <w:tcPr>
            <w:tcW w:w="0" w:type="dxa"/>
            <w:vAlign w:val="bottom"/>
          </w:tcPr>
          <w:p>
            <w:pPr>
              <w:spacing w:after="0"/>
              <w:rPr>
                <w:sz w:val="1"/>
                <w:szCs w:val="1"/>
                <w:color w:val="auto"/>
              </w:rPr>
            </w:pPr>
          </w:p>
        </w:tc>
      </w:tr>
      <w:tr>
        <w:trPr>
          <w:trHeight w:val="237"/>
        </w:trPr>
        <w:tc>
          <w:tcPr>
            <w:tcW w:w="60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(63,883)</w:t>
            </w:r>
          </w:p>
        </w:tc>
        <w:tc>
          <w:tcPr>
            <w:tcW w:w="3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(70,975)</w:t>
            </w:r>
          </w:p>
        </w:tc>
        <w:tc>
          <w:tcPr>
            <w:tcW w:w="0" w:type="dxa"/>
            <w:vAlign w:val="bottom"/>
          </w:tcPr>
          <w:p>
            <w:pPr>
              <w:spacing w:after="0"/>
              <w:rPr>
                <w:sz w:val="1"/>
                <w:szCs w:val="1"/>
                <w:color w:val="auto"/>
              </w:rPr>
            </w:pPr>
          </w:p>
        </w:tc>
      </w:tr>
      <w:tr>
        <w:trPr>
          <w:trHeight w:val="210"/>
        </w:trPr>
        <w:tc>
          <w:tcPr>
            <w:tcW w:w="602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income/loss:</w:t>
            </w: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80"/>
              <w:spacing w:after="0"/>
              <w:rPr>
                <w:sz w:val="20"/>
                <w:szCs w:val="20"/>
                <w:color w:val="auto"/>
              </w:rPr>
            </w:pPr>
            <w:r>
              <w:rPr>
                <w:rFonts w:ascii="Arial" w:cs="Arial" w:eastAsia="Arial" w:hAnsi="Arial"/>
                <w:sz w:val="18"/>
                <w:szCs w:val="18"/>
                <w:i w:val="1"/>
                <w:iCs w:val="1"/>
                <w:color w:val="auto"/>
              </w:rPr>
              <w:t>Items that may be subsequently reclassified to profit or loss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adjustments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20" w:type="dxa"/>
            <w:vAlign w:val="bottom"/>
            <w:tcBorders>
              <w:right w:val="single" w:sz="8" w:color="CCEEFF"/>
            </w:tcBorders>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20" w:type="dxa"/>
            <w:vAlign w:val="bottom"/>
          </w:tcPr>
          <w:p>
            <w:pPr>
              <w:spacing w:after="0"/>
              <w:rPr>
                <w:sz w:val="20"/>
                <w:szCs w:val="20"/>
                <w:color w:val="auto"/>
              </w:rPr>
            </w:pPr>
            <w:r>
              <w:rPr>
                <w:rFonts w:ascii="Arial" w:cs="Arial" w:eastAsia="Arial" w:hAnsi="Arial"/>
                <w:sz w:val="18"/>
                <w:szCs w:val="18"/>
                <w:b w:val="1"/>
                <w:bCs w:val="1"/>
                <w:color w:val="auto"/>
              </w:rPr>
              <w:t>Total comprehensive loss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(63,903)</w:t>
            </w:r>
          </w:p>
        </w:tc>
        <w:tc>
          <w:tcPr>
            <w:tcW w:w="3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(70,899)</w:t>
            </w: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vMerge w:val="continue"/>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(0.66)</w:t>
            </w:r>
          </w:p>
        </w:tc>
        <w:tc>
          <w:tcPr>
            <w:tcW w:w="3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(0.61)</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-187960</wp:posOffset>
            </wp:positionV>
            <wp:extent cx="5212080"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-796290</wp:posOffset>
            </wp:positionV>
            <wp:extent cx="461200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6120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-1122680</wp:posOffset>
            </wp:positionV>
            <wp:extent cx="461200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61200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-1748155</wp:posOffset>
            </wp:positionV>
            <wp:extent cx="461200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612005" cy="8255"/>
                    </a:xfrm>
                    <a:prstGeom prst="rect">
                      <a:avLst/>
                    </a:prstGeom>
                    <a:noFill/>
                  </pic:spPr>
                </pic:pic>
              </a:graphicData>
            </a:graphic>
          </wp:anchor>
        </w:drawing>
        <w:drawing>
          <wp:anchor simplePos="0" relativeHeight="251657728" behindDoc="1" locked="0" layoutInCell="0" allowOverlap="1">
            <wp:simplePos x="0" y="0"/>
            <wp:positionH relativeFrom="column">
              <wp:posOffset>5266055</wp:posOffset>
            </wp:positionH>
            <wp:positionV relativeFrom="paragraph">
              <wp:posOffset>-3231515</wp:posOffset>
            </wp:positionV>
            <wp:extent cx="13716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63"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Revenue</w:t>
      </w:r>
    </w:p>
    <w:p>
      <w:pPr>
        <w:spacing w:after="0" w:line="158" w:lineRule="exact"/>
        <w:rPr>
          <w:sz w:val="20"/>
          <w:szCs w:val="20"/>
          <w:color w:val="auto"/>
        </w:rPr>
      </w:pPr>
    </w:p>
    <w:p>
      <w:pPr>
        <w:ind w:left="1260" w:right="419" w:firstLine="648"/>
        <w:spacing w:after="0" w:line="287" w:lineRule="auto"/>
        <w:rPr>
          <w:sz w:val="20"/>
          <w:szCs w:val="20"/>
          <w:color w:val="auto"/>
        </w:rPr>
      </w:pPr>
      <w:r>
        <w:rPr>
          <w:rFonts w:ascii="Arial" w:cs="Arial" w:eastAsia="Arial" w:hAnsi="Arial"/>
          <w:sz w:val="16"/>
          <w:szCs w:val="16"/>
          <w:color w:val="auto"/>
        </w:rPr>
        <w:t>Revenue was €42.8 million for the nine months ended September 30, 2020, representing an increase of €32.2 million, or 304%, from €10.6 million for the nine months ended September 30, 2019. The increase was primarily attributable to the new collaboration with GlaxoSmith Kline, or GSK, and the termination of our collaboration with Eli Lilly. In July 2020, we entered into a strategic collaboration agreement with GSK for the research and development, manufacturing and commercialization of mRNA-based vaccines and monoclonal antibodies targeting infectious disease pathogens. Pursuant to the agreement, GSK made a non-refundable payment of €120 million, which has been received, deferred and recognized as contract liability. For the nine-month period ending September 30, 2020, €3.7 million was released from contract liabilities and recognized as revenue. In addition, in June 2020, the License and Collaboration Agreement with Eli Lilly was terminated. As a result, on the termination date, €33.1 million in contract liabilities from an upfront payment was recognized as revenue as no further associated performance obligations remained.</w:t>
      </w:r>
    </w:p>
    <w:p>
      <w:pPr>
        <w:spacing w:after="0" w:line="172"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Cost of Sales</w:t>
      </w:r>
    </w:p>
    <w:p>
      <w:pPr>
        <w:spacing w:after="0" w:line="158" w:lineRule="exact"/>
        <w:rPr>
          <w:sz w:val="20"/>
          <w:szCs w:val="20"/>
          <w:color w:val="auto"/>
        </w:rPr>
      </w:pPr>
    </w:p>
    <w:p>
      <w:pPr>
        <w:ind w:left="1260" w:right="639" w:firstLine="648"/>
        <w:spacing w:after="0" w:line="254" w:lineRule="auto"/>
        <w:rPr>
          <w:sz w:val="20"/>
          <w:szCs w:val="20"/>
          <w:color w:val="auto"/>
        </w:rPr>
      </w:pPr>
      <w:r>
        <w:rPr>
          <w:rFonts w:ascii="Arial" w:cs="Arial" w:eastAsia="Arial" w:hAnsi="Arial"/>
          <w:sz w:val="18"/>
          <w:szCs w:val="18"/>
          <w:color w:val="auto"/>
        </w:rPr>
        <w:t>Cost of sales was €7.1 million for the nine months ended September 30, 2020, representing a decrease of €11.8 million, or 63%, from €18.9 million for nine months ended September 30, 2019. The decrease was primarily attributable to the lower product costs as a result of the termination of the License and Collaboration Agreement with Eli Lilly. Additionally, during the nine months ended September 30, 2020, the Company recognized lower inventory write-downs in cost of sales and lower set-up and quality assurance activities for the production processes as compared to in the nine months ended September 30, 2019.</w:t>
      </w:r>
    </w:p>
    <w:p>
      <w:pPr>
        <w:sectPr>
          <w:pgSz w:w="11900" w:h="16838" w:orient="portrait"/>
          <w:cols w:equalWidth="0" w:num="1">
            <w:col w:w="9879"/>
          </w:cols>
          <w:pgMar w:left="580" w:top="131"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9" w:name="page110"/>
    <w:bookmarkEnd w:id="10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16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87"/>
              </w:rPr>
              <w:t>For the nine months ended</w:t>
            </w:r>
          </w:p>
        </w:tc>
      </w:tr>
      <w:tr>
        <w:trPr>
          <w:trHeight w:val="186"/>
        </w:trPr>
        <w:tc>
          <w:tcPr>
            <w:tcW w:w="5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September 30,</w:t>
            </w:r>
          </w:p>
        </w:tc>
      </w:tr>
      <w:tr>
        <w:trPr>
          <w:trHeight w:val="26"/>
        </w:trPr>
        <w:tc>
          <w:tcPr>
            <w:tcW w:w="5860" w:type="dxa"/>
            <w:vAlign w:val="bottom"/>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97"/>
        </w:trPr>
        <w:tc>
          <w:tcPr>
            <w:tcW w:w="5860" w:type="dxa"/>
            <w:vAlign w:val="bottom"/>
          </w:tcPr>
          <w:p>
            <w:pPr>
              <w:spacing w:after="0"/>
              <w:rPr>
                <w:sz w:val="17"/>
                <w:szCs w:val="17"/>
                <w:color w:val="auto"/>
              </w:rPr>
            </w:pPr>
          </w:p>
        </w:tc>
        <w:tc>
          <w:tcPr>
            <w:tcW w:w="660" w:type="dxa"/>
            <w:vAlign w:val="bottom"/>
            <w:gridSpan w:val="2"/>
          </w:tcPr>
          <w:p>
            <w:pPr>
              <w:jc w:val="right"/>
              <w:ind w:right="61"/>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7"/>
                <w:szCs w:val="17"/>
                <w:color w:val="auto"/>
              </w:rPr>
            </w:pPr>
          </w:p>
        </w:tc>
        <w:tc>
          <w:tcPr>
            <w:tcW w:w="480" w:type="dxa"/>
            <w:vAlign w:val="bottom"/>
          </w:tcPr>
          <w:p>
            <w:pPr>
              <w:jc w:val="right"/>
              <w:ind w:right="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6"/>
        </w:trPr>
        <w:tc>
          <w:tcPr>
            <w:tcW w:w="58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4"/>
          </w:tcPr>
          <w:p>
            <w:pPr>
              <w:spacing w:after="0"/>
              <w:rPr>
                <w:sz w:val="2"/>
                <w:szCs w:val="2"/>
                <w:color w:val="auto"/>
              </w:rPr>
            </w:pPr>
          </w:p>
        </w:tc>
      </w:tr>
      <w:tr>
        <w:trPr>
          <w:trHeight w:val="173"/>
        </w:trPr>
        <w:tc>
          <w:tcPr>
            <w:tcW w:w="5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6"/>
              </w:rPr>
              <w:t>(in thousands of euros)</w:t>
            </w:r>
          </w:p>
        </w:tc>
      </w:tr>
      <w:tr>
        <w:trPr>
          <w:trHeight w:val="186"/>
        </w:trPr>
        <w:tc>
          <w:tcPr>
            <w:tcW w:w="5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(unaudited)</w:t>
            </w:r>
          </w:p>
        </w:tc>
      </w:tr>
      <w:tr>
        <w:trPr>
          <w:trHeight w:val="26"/>
        </w:trPr>
        <w:tc>
          <w:tcPr>
            <w:tcW w:w="5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(7,249)</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(2,171)</w:t>
            </w:r>
          </w:p>
        </w:tc>
      </w:tr>
      <w:tr>
        <w:trPr>
          <w:trHeight w:val="257"/>
        </w:trPr>
        <w:tc>
          <w:tcPr>
            <w:tcW w:w="5860" w:type="dxa"/>
            <w:vAlign w:val="bottom"/>
          </w:tcPr>
          <w:p>
            <w:pPr>
              <w:spacing w:after="0"/>
              <w:rPr>
                <w:sz w:val="20"/>
                <w:szCs w:val="20"/>
                <w:color w:val="auto"/>
              </w:rPr>
            </w:pPr>
            <w:r>
              <w:rPr>
                <w:rFonts w:ascii="Arial" w:cs="Arial" w:eastAsia="Arial" w:hAnsi="Arial"/>
                <w:sz w:val="18"/>
                <w:szCs w:val="18"/>
                <w:color w:val="auto"/>
              </w:rPr>
              <w:t>Materials</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(4,022)</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(1,380)</w:t>
            </w:r>
          </w:p>
        </w:tc>
      </w:tr>
      <w:tr>
        <w:trPr>
          <w:trHeight w:val="257"/>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Third-party services</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(5,339)</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(2,432)</w:t>
            </w:r>
          </w:p>
        </w:tc>
      </w:tr>
      <w:tr>
        <w:trPr>
          <w:trHeight w:val="256"/>
        </w:trPr>
        <w:tc>
          <w:tcPr>
            <w:tcW w:w="5860" w:type="dxa"/>
            <w:vAlign w:val="bottom"/>
          </w:tcPr>
          <w:p>
            <w:pPr>
              <w:spacing w:after="0"/>
              <w:rPr>
                <w:sz w:val="20"/>
                <w:szCs w:val="20"/>
                <w:color w:val="auto"/>
              </w:rPr>
            </w:pPr>
            <w:r>
              <w:rPr>
                <w:rFonts w:ascii="Arial" w:cs="Arial" w:eastAsia="Arial" w:hAnsi="Arial"/>
                <w:sz w:val="18"/>
                <w:szCs w:val="18"/>
                <w:color w:val="auto"/>
              </w:rPr>
              <w:t>Maintenance and lease</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(770)</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(752)</w:t>
            </w:r>
          </w:p>
        </w:tc>
      </w:tr>
      <w:tr>
        <w:trPr>
          <w:trHeight w:val="257"/>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Amortization and depreciation</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(1,259)</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r>
      <w:tr>
        <w:trPr>
          <w:trHeight w:val="263"/>
        </w:trPr>
        <w:tc>
          <w:tcPr>
            <w:tcW w:w="586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22"/>
                <w:szCs w:val="22"/>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(233)</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r>
      <w:tr>
        <w:trPr>
          <w:trHeight w:val="20"/>
        </w:trPr>
        <w:tc>
          <w:tcPr>
            <w:tcW w:w="5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64"/>
        </w:trPr>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2"/>
              </w:rPr>
              <w:t>(18,872)</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1"/>
              </w:rPr>
              <w:t>(7,049)</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-205105</wp:posOffset>
            </wp:positionV>
            <wp:extent cx="474916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-1448435</wp:posOffset>
            </wp:positionV>
            <wp:extent cx="13716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03"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Selling and Distribution Expenses</w:t>
      </w:r>
    </w:p>
    <w:p>
      <w:pPr>
        <w:spacing w:after="0" w:line="144" w:lineRule="exact"/>
        <w:rPr>
          <w:sz w:val="20"/>
          <w:szCs w:val="20"/>
          <w:color w:val="auto"/>
        </w:rPr>
      </w:pPr>
    </w:p>
    <w:p>
      <w:pPr>
        <w:ind w:left="1260" w:right="459" w:firstLine="648"/>
        <w:spacing w:after="0" w:line="301" w:lineRule="auto"/>
        <w:rPr>
          <w:sz w:val="20"/>
          <w:szCs w:val="20"/>
          <w:color w:val="auto"/>
        </w:rPr>
      </w:pPr>
      <w:r>
        <w:rPr>
          <w:rFonts w:ascii="Arial" w:cs="Arial" w:eastAsia="Arial" w:hAnsi="Arial"/>
          <w:sz w:val="16"/>
          <w:szCs w:val="16"/>
          <w:color w:val="auto"/>
        </w:rPr>
        <w:t>Selling and distribution expenses were €0.8 million for the nine months ended September 30, 2020, representing an increase of €0.3 million, or 67%, from €0.5 million in the nine months ended September 30, 2019. The increase was primarily attributable to higher personnel expenses resulting from expense recognized on share-based payment awards made subsequent to the nine months ended September 30, 2019.</w:t>
      </w:r>
    </w:p>
    <w:p>
      <w:pPr>
        <w:spacing w:after="0" w:line="122" w:lineRule="exact"/>
        <w:rPr>
          <w:sz w:val="20"/>
          <w:szCs w:val="20"/>
          <w:color w:val="auto"/>
        </w:rPr>
      </w:pPr>
    </w:p>
    <w:p>
      <w:pPr>
        <w:jc w:val="center"/>
        <w:ind w:left="5800"/>
        <w:spacing w:after="0"/>
        <w:rPr>
          <w:sz w:val="20"/>
          <w:szCs w:val="20"/>
          <w:color w:val="auto"/>
        </w:rPr>
      </w:pPr>
      <w:r>
        <w:rPr>
          <w:rFonts w:ascii="Arial" w:cs="Arial" w:eastAsia="Arial" w:hAnsi="Arial"/>
          <w:sz w:val="14"/>
          <w:szCs w:val="14"/>
          <w:b w:val="1"/>
          <w:bCs w:val="1"/>
          <w:color w:val="auto"/>
        </w:rPr>
        <w:t>For the nine months ended</w:t>
      </w:r>
    </w:p>
    <w:p>
      <w:pPr>
        <w:spacing w:after="0" w:line="17" w:lineRule="exact"/>
        <w:rPr>
          <w:sz w:val="20"/>
          <w:szCs w:val="20"/>
          <w:color w:val="auto"/>
        </w:rPr>
      </w:pPr>
    </w:p>
    <w:p>
      <w:pPr>
        <w:jc w:val="center"/>
        <w:ind w:left="58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4751705</wp:posOffset>
            </wp:positionH>
            <wp:positionV relativeFrom="paragraph">
              <wp:posOffset>22225</wp:posOffset>
            </wp:positionV>
            <wp:extent cx="10287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4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640" w:type="dxa"/>
            <w:vAlign w:val="bottom"/>
          </w:tcPr>
          <w:p>
            <w:pPr>
              <w:spacing w:after="0"/>
              <w:rPr>
                <w:sz w:val="16"/>
                <w:szCs w:val="16"/>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6"/>
                <w:szCs w:val="16"/>
                <w:color w:val="auto"/>
              </w:rPr>
            </w:pPr>
          </w:p>
        </w:tc>
      </w:tr>
      <w:tr>
        <w:trPr>
          <w:trHeight w:val="26"/>
        </w:trPr>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Borders>
              <w:bottom w:val="single" w:sz="8" w:color="auto"/>
            </w:tcBorders>
            <w:gridSpan w:val="5"/>
          </w:tcPr>
          <w:p>
            <w:pPr>
              <w:spacing w:after="0"/>
              <w:rPr>
                <w:sz w:val="2"/>
                <w:szCs w:val="2"/>
                <w:color w:val="auto"/>
              </w:rPr>
            </w:pPr>
          </w:p>
        </w:tc>
      </w:tr>
      <w:tr>
        <w:trPr>
          <w:trHeight w:val="173"/>
        </w:trPr>
        <w:tc>
          <w:tcPr>
            <w:tcW w:w="5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2"/>
              </w:rPr>
              <w:t>(in thousands of euros)</w:t>
            </w:r>
          </w:p>
        </w:tc>
      </w:tr>
      <w:tr>
        <w:trPr>
          <w:trHeight w:val="186"/>
        </w:trPr>
        <w:tc>
          <w:tcPr>
            <w:tcW w:w="5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(unaudited)</w:t>
            </w:r>
          </w:p>
        </w:tc>
      </w:tr>
      <w:tr>
        <w:trPr>
          <w:trHeight w:val="25"/>
        </w:trPr>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130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(257)</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(755)</w:t>
            </w:r>
          </w:p>
        </w:tc>
      </w:tr>
      <w:tr>
        <w:trPr>
          <w:trHeight w:val="257"/>
        </w:trPr>
        <w:tc>
          <w:tcPr>
            <w:tcW w:w="5640" w:type="dxa"/>
            <w:vAlign w:val="bottom"/>
          </w:tcPr>
          <w:p>
            <w:pPr>
              <w:spacing w:after="0"/>
              <w:rPr>
                <w:sz w:val="20"/>
                <w:szCs w:val="20"/>
                <w:color w:val="auto"/>
              </w:rPr>
            </w:pPr>
            <w:r>
              <w:rPr>
                <w:rFonts w:ascii="Arial" w:cs="Arial" w:eastAsia="Arial" w:hAnsi="Arial"/>
                <w:sz w:val="18"/>
                <w:szCs w:val="18"/>
                <w:color w:val="auto"/>
              </w:rPr>
              <w:t>Amortization and depreciation</w:t>
            </w:r>
          </w:p>
        </w:tc>
        <w:tc>
          <w:tcPr>
            <w:tcW w:w="1300" w:type="dxa"/>
            <w:vAlign w:val="bottom"/>
            <w:gridSpan w:val="4"/>
          </w:tcPr>
          <w:p>
            <w:pPr>
              <w:jc w:val="right"/>
              <w:ind w:right="500"/>
              <w:spacing w:after="0"/>
              <w:rPr>
                <w:sz w:val="20"/>
                <w:szCs w:val="20"/>
                <w:color w:val="auto"/>
              </w:rPr>
            </w:pPr>
            <w:r>
              <w:rPr>
                <w:rFonts w:ascii="Arial" w:cs="Arial" w:eastAsia="Arial" w:hAnsi="Arial"/>
                <w:sz w:val="18"/>
                <w:szCs w:val="18"/>
                <w:color w:val="auto"/>
              </w:rPr>
              <w:t>(61)</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(77)</w:t>
            </w:r>
          </w:p>
        </w:tc>
      </w:tr>
      <w:tr>
        <w:trPr>
          <w:trHeight w:val="263"/>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00" w:type="dxa"/>
            <w:vAlign w:val="bottom"/>
            <w:gridSpan w:val="2"/>
            <w:shd w:val="clear" w:color="auto" w:fill="CCEEFF"/>
          </w:tcPr>
          <w:p>
            <w:pPr>
              <w:spacing w:after="0"/>
              <w:rPr>
                <w:sz w:val="22"/>
                <w:szCs w:val="22"/>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0"/>
              </w:rPr>
              <w:t>(167)</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22"/>
                <w:szCs w:val="22"/>
                <w:color w:val="auto"/>
              </w:rPr>
            </w:pPr>
          </w:p>
        </w:tc>
      </w:tr>
      <w:tr>
        <w:trPr>
          <w:trHeight w:val="20"/>
        </w:trPr>
        <w:tc>
          <w:tcPr>
            <w:tcW w:w="56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63"/>
        </w:trPr>
        <w:tc>
          <w:tcPr>
            <w:tcW w:w="56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00" w:type="dxa"/>
            <w:vAlign w:val="bottom"/>
            <w:gridSpan w:val="2"/>
          </w:tcPr>
          <w:p>
            <w:pPr>
              <w:spacing w:after="0"/>
              <w:rPr>
                <w:sz w:val="22"/>
                <w:szCs w:val="22"/>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0"/>
              </w:rPr>
              <w:t>(485)</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5"/>
              </w:rPr>
              <w:t>(809)</w:t>
            </w:r>
          </w:p>
        </w:tc>
      </w:tr>
      <w:tr>
        <w:trPr>
          <w:trHeight w:val="20"/>
        </w:trPr>
        <w:tc>
          <w:tcPr>
            <w:tcW w:w="5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5189220</wp:posOffset>
            </wp:positionH>
            <wp:positionV relativeFrom="paragraph">
              <wp:posOffset>-959485</wp:posOffset>
            </wp:positionV>
            <wp:extent cx="13716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90"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Research and Development Expenses</w:t>
      </w:r>
    </w:p>
    <w:p>
      <w:pPr>
        <w:spacing w:after="0" w:line="144" w:lineRule="exact"/>
        <w:rPr>
          <w:sz w:val="20"/>
          <w:szCs w:val="20"/>
          <w:color w:val="auto"/>
        </w:rPr>
      </w:pPr>
    </w:p>
    <w:p>
      <w:pPr>
        <w:ind w:left="1260" w:right="419" w:firstLine="648"/>
        <w:spacing w:after="0" w:line="254" w:lineRule="auto"/>
        <w:rPr>
          <w:sz w:val="20"/>
          <w:szCs w:val="20"/>
          <w:color w:val="auto"/>
        </w:rPr>
      </w:pPr>
      <w:r>
        <w:rPr>
          <w:rFonts w:ascii="Arial" w:cs="Arial" w:eastAsia="Arial" w:hAnsi="Arial"/>
          <w:sz w:val="18"/>
          <w:szCs w:val="18"/>
          <w:color w:val="auto"/>
        </w:rPr>
        <w:t>Research and development costs were €76.3 million for the nine months ended September 30, 2020, representing an increase of €45.6 million, or 149%, from €30.7 million in the nine months ended September 30, 2019. The increase was primarily attributable to higher development expenses from the CVnCoV program. These expenses consist primarily of cost incurred to clinical research organizations and for personnel costs for employees involved in the CVnCoV development, as well as materials used in the administration of CVnCoV clinical trials. Additionally, in the nine months ended September 30, 2020, we recognized €3 million in share-based payment expense (included in personnel), whereas none was recognized in the same period of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0" w:name="page111"/>
    <w:bookmarkEnd w:id="1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left="5820"/>
        <w:spacing w:after="0"/>
        <w:rPr>
          <w:sz w:val="20"/>
          <w:szCs w:val="20"/>
          <w:color w:val="auto"/>
        </w:rPr>
      </w:pPr>
      <w:r>
        <w:rPr>
          <w:rFonts w:ascii="Arial" w:cs="Arial" w:eastAsia="Arial" w:hAnsi="Arial"/>
          <w:sz w:val="14"/>
          <w:szCs w:val="14"/>
          <w:b w:val="1"/>
          <w:bCs w:val="1"/>
          <w:color w:val="auto"/>
        </w:rPr>
        <w:t>For the nine months ended</w:t>
      </w:r>
    </w:p>
    <w:p>
      <w:pPr>
        <w:spacing w:after="0" w:line="17" w:lineRule="exact"/>
        <w:rPr>
          <w:sz w:val="20"/>
          <w:szCs w:val="20"/>
          <w:color w:val="auto"/>
        </w:rPr>
      </w:pPr>
    </w:p>
    <w:p>
      <w:pPr>
        <w:jc w:val="center"/>
        <w:ind w:left="58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4751705</wp:posOffset>
            </wp:positionH>
            <wp:positionV relativeFrom="paragraph">
              <wp:posOffset>22225</wp:posOffset>
            </wp:positionV>
            <wp:extent cx="10287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4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ind w:right="55"/>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6"/>
                <w:szCs w:val="16"/>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b w:val="1"/>
                <w:bCs w:val="1"/>
                <w:color w:val="auto"/>
              </w:rPr>
              <w:t>2020</w:t>
            </w:r>
          </w:p>
        </w:tc>
      </w:tr>
      <w:tr>
        <w:trPr>
          <w:trHeight w:val="26"/>
        </w:trPr>
        <w:tc>
          <w:tcPr>
            <w:tcW w:w="58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r>
      <w:tr>
        <w:trPr>
          <w:trHeight w:val="173"/>
        </w:trPr>
        <w:tc>
          <w:tcPr>
            <w:tcW w:w="5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w w:val="87"/>
              </w:rPr>
              <w:t>(in thousands of euros)</w:t>
            </w:r>
          </w:p>
        </w:tc>
      </w:tr>
      <w:tr>
        <w:trPr>
          <w:trHeight w:val="186"/>
        </w:trPr>
        <w:tc>
          <w:tcPr>
            <w:tcW w:w="5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3"/>
          </w:tcPr>
          <w:p>
            <w:pPr>
              <w:jc w:val="right"/>
              <w:ind w:right="372"/>
              <w:spacing w:after="0"/>
              <w:rPr>
                <w:sz w:val="20"/>
                <w:szCs w:val="20"/>
                <w:color w:val="auto"/>
              </w:rPr>
            </w:pPr>
            <w:r>
              <w:rPr>
                <w:rFonts w:ascii="Arial" w:cs="Arial" w:eastAsia="Arial" w:hAnsi="Arial"/>
                <w:sz w:val="14"/>
                <w:szCs w:val="14"/>
                <w:b w:val="1"/>
                <w:bCs w:val="1"/>
                <w:color w:val="auto"/>
              </w:rPr>
              <w:t>(unaudited)</w:t>
            </w:r>
          </w:p>
        </w:tc>
      </w:tr>
      <w:tr>
        <w:trPr>
          <w:trHeight w:val="26"/>
        </w:trPr>
        <w:tc>
          <w:tcPr>
            <w:tcW w:w="5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7"/>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Materials</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(2,605)</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(21,595)</w:t>
            </w:r>
          </w:p>
        </w:tc>
      </w:tr>
      <w:tr>
        <w:trPr>
          <w:trHeight w:val="257"/>
        </w:trPr>
        <w:tc>
          <w:tcPr>
            <w:tcW w:w="5940" w:type="dxa"/>
            <w:vAlign w:val="bottom"/>
            <w:gridSpan w:val="2"/>
          </w:tcPr>
          <w:p>
            <w:pPr>
              <w:spacing w:after="0"/>
              <w:rPr>
                <w:sz w:val="20"/>
                <w:szCs w:val="20"/>
                <w:color w:val="auto"/>
              </w:rPr>
            </w:pPr>
            <w:r>
              <w:rPr>
                <w:rFonts w:ascii="Arial" w:cs="Arial" w:eastAsia="Arial" w:hAnsi="Arial"/>
                <w:sz w:val="18"/>
                <w:szCs w:val="18"/>
                <w:color w:val="auto"/>
              </w:rPr>
              <w:t>Personnel</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(9,321)</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(16,213)</w:t>
            </w:r>
          </w:p>
        </w:tc>
      </w:tr>
      <w:tr>
        <w:trPr>
          <w:trHeight w:val="257"/>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and depreciation</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(895)</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(2,589)</w:t>
            </w:r>
          </w:p>
        </w:tc>
      </w:tr>
      <w:tr>
        <w:trPr>
          <w:trHeight w:val="256"/>
        </w:trPr>
        <w:tc>
          <w:tcPr>
            <w:tcW w:w="5940" w:type="dxa"/>
            <w:vAlign w:val="bottom"/>
            <w:gridSpan w:val="2"/>
          </w:tcPr>
          <w:p>
            <w:pPr>
              <w:spacing w:after="0"/>
              <w:rPr>
                <w:sz w:val="20"/>
                <w:szCs w:val="20"/>
                <w:color w:val="auto"/>
              </w:rPr>
            </w:pPr>
            <w:r>
              <w:rPr>
                <w:rFonts w:ascii="Arial" w:cs="Arial" w:eastAsia="Arial" w:hAnsi="Arial"/>
                <w:sz w:val="18"/>
                <w:szCs w:val="18"/>
                <w:color w:val="auto"/>
              </w:rPr>
              <w:t>Patents and fees to register a legal right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(3,143)</w:t>
            </w:r>
          </w:p>
        </w:tc>
        <w:tc>
          <w:tcPr>
            <w:tcW w:w="640" w:type="dxa"/>
            <w:vAlign w:val="bottom"/>
          </w:tcPr>
          <w:p>
            <w:pPr>
              <w:jc w:val="right"/>
              <w:spacing w:after="0"/>
              <w:rPr>
                <w:sz w:val="20"/>
                <w:szCs w:val="20"/>
                <w:color w:val="auto"/>
              </w:rPr>
            </w:pPr>
            <w:r>
              <w:rPr>
                <w:rFonts w:ascii="Arial" w:cs="Arial" w:eastAsia="Arial" w:hAnsi="Arial"/>
                <w:sz w:val="18"/>
                <w:szCs w:val="18"/>
                <w:color w:val="auto"/>
              </w:rPr>
              <w:t>(3,525)</w:t>
            </w:r>
          </w:p>
        </w:tc>
      </w:tr>
      <w:tr>
        <w:trPr>
          <w:trHeight w:val="257"/>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Third-party services</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(14,426)</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(27,973)</w:t>
            </w:r>
          </w:p>
        </w:tc>
      </w:tr>
      <w:tr>
        <w:trPr>
          <w:trHeight w:val="257"/>
        </w:trPr>
        <w:tc>
          <w:tcPr>
            <w:tcW w:w="5940" w:type="dxa"/>
            <w:vAlign w:val="bottom"/>
            <w:gridSpan w:val="2"/>
          </w:tcPr>
          <w:p>
            <w:pPr>
              <w:spacing w:after="0"/>
              <w:rPr>
                <w:sz w:val="20"/>
                <w:szCs w:val="20"/>
                <w:color w:val="auto"/>
              </w:rPr>
            </w:pPr>
            <w:r>
              <w:rPr>
                <w:rFonts w:ascii="Arial" w:cs="Arial" w:eastAsia="Arial" w:hAnsi="Arial"/>
                <w:sz w:val="18"/>
                <w:szCs w:val="18"/>
                <w:color w:val="auto"/>
              </w:rPr>
              <w:t>Maintenance and lease</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640" w:type="dxa"/>
            <w:vAlign w:val="bottom"/>
          </w:tcPr>
          <w:p>
            <w:pPr>
              <w:jc w:val="right"/>
              <w:spacing w:after="0"/>
              <w:rPr>
                <w:sz w:val="20"/>
                <w:szCs w:val="20"/>
                <w:color w:val="auto"/>
              </w:rPr>
            </w:pPr>
            <w:r>
              <w:rPr>
                <w:rFonts w:ascii="Arial" w:cs="Arial" w:eastAsia="Arial" w:hAnsi="Arial"/>
                <w:sz w:val="18"/>
                <w:szCs w:val="18"/>
                <w:color w:val="auto"/>
              </w:rPr>
              <w:t>(560)</w:t>
            </w:r>
          </w:p>
        </w:tc>
      </w:tr>
      <w:tr>
        <w:trPr>
          <w:trHeight w:val="263"/>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(3,882)</w:t>
            </w:r>
          </w:p>
        </w:tc>
      </w:tr>
      <w:tr>
        <w:trPr>
          <w:trHeight w:val="20"/>
        </w:trPr>
        <w:tc>
          <w:tcPr>
            <w:tcW w:w="5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r>
      <w:tr>
        <w:trPr>
          <w:trHeight w:val="263"/>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(30,665)</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2"/>
              </w:rPr>
              <w:t>(76,337)</w:t>
            </w:r>
          </w:p>
        </w:tc>
      </w:tr>
      <w:tr>
        <w:trPr>
          <w:trHeight w:val="20"/>
        </w:trPr>
        <w:tc>
          <w:tcPr>
            <w:tcW w:w="5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5197475</wp:posOffset>
            </wp:positionH>
            <wp:positionV relativeFrom="paragraph">
              <wp:posOffset>-1610995</wp:posOffset>
            </wp:positionV>
            <wp:extent cx="13716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5" w:lineRule="exact"/>
        <w:rPr>
          <w:sz w:val="20"/>
          <w:szCs w:val="20"/>
          <w:color w:val="auto"/>
        </w:rPr>
      </w:pPr>
    </w:p>
    <w:p>
      <w:pPr>
        <w:ind w:left="1260" w:right="679" w:firstLine="648"/>
        <w:spacing w:after="0" w:line="261" w:lineRule="auto"/>
        <w:rPr>
          <w:sz w:val="20"/>
          <w:szCs w:val="20"/>
          <w:color w:val="auto"/>
        </w:rPr>
      </w:pPr>
      <w:r>
        <w:rPr>
          <w:rFonts w:ascii="Arial" w:cs="Arial" w:eastAsia="Arial" w:hAnsi="Arial"/>
          <w:sz w:val="18"/>
          <w:szCs w:val="18"/>
          <w:color w:val="auto"/>
        </w:rPr>
        <w:t>The following table reflects our research and development costs for each of our programs for the nine months ended September 30, 2019 and 2020:</w:t>
      </w:r>
    </w:p>
    <w:p>
      <w:pPr>
        <w:spacing w:after="0" w:line="135" w:lineRule="exact"/>
        <w:rPr>
          <w:sz w:val="20"/>
          <w:szCs w:val="20"/>
          <w:color w:val="auto"/>
        </w:rPr>
      </w:pPr>
    </w:p>
    <w:p>
      <w:pPr>
        <w:jc w:val="center"/>
        <w:ind w:left="5820"/>
        <w:spacing w:after="0"/>
        <w:rPr>
          <w:sz w:val="20"/>
          <w:szCs w:val="20"/>
          <w:color w:val="auto"/>
        </w:rPr>
      </w:pPr>
      <w:r>
        <w:rPr>
          <w:rFonts w:ascii="Arial" w:cs="Arial" w:eastAsia="Arial" w:hAnsi="Arial"/>
          <w:sz w:val="14"/>
          <w:szCs w:val="14"/>
          <w:b w:val="1"/>
          <w:bCs w:val="1"/>
          <w:color w:val="auto"/>
        </w:rPr>
        <w:t>For the nine months ended</w:t>
      </w:r>
    </w:p>
    <w:p>
      <w:pPr>
        <w:spacing w:after="0" w:line="17" w:lineRule="exact"/>
        <w:rPr>
          <w:sz w:val="20"/>
          <w:szCs w:val="20"/>
          <w:color w:val="auto"/>
        </w:rPr>
      </w:pPr>
    </w:p>
    <w:p>
      <w:pPr>
        <w:jc w:val="center"/>
        <w:ind w:left="58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4751705</wp:posOffset>
            </wp:positionH>
            <wp:positionV relativeFrom="paragraph">
              <wp:posOffset>22225</wp:posOffset>
            </wp:positionV>
            <wp:extent cx="10287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4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6"/>
                <w:szCs w:val="16"/>
                <w:color w:val="auto"/>
              </w:rPr>
            </w:pPr>
          </w:p>
        </w:tc>
        <w:tc>
          <w:tcPr>
            <w:tcW w:w="520" w:type="dxa"/>
            <w:vAlign w:val="bottom"/>
          </w:tcPr>
          <w:p>
            <w:pPr>
              <w:jc w:val="right"/>
              <w:ind w:right="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6"/>
        </w:trPr>
        <w:tc>
          <w:tcPr>
            <w:tcW w:w="3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4"/>
          </w:tcPr>
          <w:p>
            <w:pPr>
              <w:spacing w:after="0"/>
              <w:rPr>
                <w:sz w:val="2"/>
                <w:szCs w:val="2"/>
                <w:color w:val="auto"/>
              </w:rPr>
            </w:pPr>
          </w:p>
        </w:tc>
      </w:tr>
      <w:tr>
        <w:trPr>
          <w:trHeight w:val="173"/>
        </w:trPr>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6"/>
              </w:rPr>
              <w:t>(in thousands of euros)</w:t>
            </w:r>
          </w:p>
        </w:tc>
      </w:tr>
      <w:tr>
        <w:trPr>
          <w:trHeight w:val="186"/>
        </w:trPr>
        <w:tc>
          <w:tcPr>
            <w:tcW w:w="3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(unaudited)</w:t>
            </w:r>
          </w:p>
        </w:tc>
      </w:tr>
      <w:tr>
        <w:trPr>
          <w:trHeight w:val="26"/>
        </w:trPr>
        <w:tc>
          <w:tcPr>
            <w:tcW w:w="2600" w:type="dxa"/>
            <w:vAlign w:val="bottom"/>
            <w:gridSpan w:val="2"/>
          </w:tcPr>
          <w:p>
            <w:pPr>
              <w:spacing w:after="0"/>
              <w:rPr>
                <w:sz w:val="2"/>
                <w:szCs w:val="2"/>
                <w:color w:val="auto"/>
              </w:rPr>
            </w:pPr>
          </w:p>
        </w:tc>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6"/>
        </w:trPr>
        <w:tc>
          <w:tcPr>
            <w:tcW w:w="360" w:type="dxa"/>
            <w:vAlign w:val="bottom"/>
          </w:tcPr>
          <w:p>
            <w:pPr>
              <w:spacing w:after="0"/>
              <w:rPr>
                <w:sz w:val="22"/>
                <w:szCs w:val="22"/>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Key Programs (CV8102, CV7202 and CVnCoV)</w:t>
            </w:r>
          </w:p>
        </w:tc>
        <w:tc>
          <w:tcPr>
            <w:tcW w:w="5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57"/>
        </w:trPr>
        <w:tc>
          <w:tcPr>
            <w:tcW w:w="360" w:type="dxa"/>
            <w:vAlign w:val="bottom"/>
          </w:tcPr>
          <w:p>
            <w:pPr>
              <w:spacing w:after="0"/>
              <w:rPr>
                <w:sz w:val="22"/>
                <w:szCs w:val="22"/>
                <w:color w:val="auto"/>
              </w:rPr>
            </w:pPr>
          </w:p>
        </w:tc>
        <w:tc>
          <w:tcPr>
            <w:tcW w:w="5960" w:type="dxa"/>
            <w:vAlign w:val="bottom"/>
            <w:gridSpan w:val="3"/>
          </w:tcPr>
          <w:p>
            <w:pPr>
              <w:ind w:left="180"/>
              <w:spacing w:after="0"/>
              <w:rPr>
                <w:sz w:val="20"/>
                <w:szCs w:val="20"/>
                <w:color w:val="auto"/>
              </w:rPr>
            </w:pPr>
            <w:r>
              <w:rPr>
                <w:rFonts w:ascii="Arial" w:cs="Arial" w:eastAsia="Arial" w:hAnsi="Arial"/>
                <w:sz w:val="18"/>
                <w:szCs w:val="18"/>
                <w:color w:val="auto"/>
              </w:rPr>
              <w:t>CV8102</w:t>
            </w:r>
          </w:p>
        </w:tc>
        <w:tc>
          <w:tcPr>
            <w:tcW w:w="500" w:type="dxa"/>
            <w:vAlign w:val="bottom"/>
          </w:tcPr>
          <w:p>
            <w:pPr>
              <w:jc w:val="right"/>
              <w:spacing w:after="0"/>
              <w:rPr>
                <w:sz w:val="20"/>
                <w:szCs w:val="20"/>
                <w:color w:val="auto"/>
              </w:rPr>
            </w:pPr>
            <w:r>
              <w:rPr>
                <w:rFonts w:ascii="Arial" w:cs="Arial" w:eastAsia="Arial" w:hAnsi="Arial"/>
                <w:sz w:val="18"/>
                <w:szCs w:val="18"/>
                <w:color w:val="auto"/>
              </w:rPr>
              <w:t>3,871</w:t>
            </w:r>
          </w:p>
        </w:tc>
        <w:tc>
          <w:tcPr>
            <w:tcW w:w="4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5,443</w:t>
            </w:r>
          </w:p>
        </w:tc>
        <w:tc>
          <w:tcPr>
            <w:tcW w:w="100" w:type="dxa"/>
            <w:vAlign w:val="bottom"/>
          </w:tcPr>
          <w:p>
            <w:pPr>
              <w:spacing w:after="0"/>
              <w:rPr>
                <w:sz w:val="22"/>
                <w:szCs w:val="22"/>
                <w:color w:val="auto"/>
              </w:rPr>
            </w:pPr>
          </w:p>
        </w:tc>
      </w:tr>
      <w:tr>
        <w:trPr>
          <w:trHeight w:val="257"/>
        </w:trPr>
        <w:tc>
          <w:tcPr>
            <w:tcW w:w="360" w:type="dxa"/>
            <w:vAlign w:val="bottom"/>
          </w:tcPr>
          <w:p>
            <w:pPr>
              <w:spacing w:after="0"/>
              <w:rPr>
                <w:sz w:val="22"/>
                <w:szCs w:val="22"/>
                <w:color w:val="auto"/>
              </w:rPr>
            </w:pPr>
          </w:p>
        </w:tc>
        <w:tc>
          <w:tcPr>
            <w:tcW w:w="59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CV7202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4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100" w:type="dxa"/>
            <w:vAlign w:val="bottom"/>
            <w:shd w:val="clear" w:color="auto" w:fill="CCEEFF"/>
          </w:tcPr>
          <w:p>
            <w:pPr>
              <w:spacing w:after="0"/>
              <w:rPr>
                <w:sz w:val="22"/>
                <w:szCs w:val="22"/>
                <w:color w:val="auto"/>
              </w:rPr>
            </w:pPr>
          </w:p>
        </w:tc>
      </w:tr>
      <w:tr>
        <w:trPr>
          <w:trHeight w:val="256"/>
        </w:trPr>
        <w:tc>
          <w:tcPr>
            <w:tcW w:w="360" w:type="dxa"/>
            <w:vAlign w:val="bottom"/>
          </w:tcPr>
          <w:p>
            <w:pPr>
              <w:spacing w:after="0"/>
              <w:rPr>
                <w:sz w:val="22"/>
                <w:szCs w:val="22"/>
                <w:color w:val="auto"/>
              </w:rPr>
            </w:pPr>
          </w:p>
        </w:tc>
        <w:tc>
          <w:tcPr>
            <w:tcW w:w="5960" w:type="dxa"/>
            <w:vAlign w:val="bottom"/>
            <w:gridSpan w:val="3"/>
          </w:tcPr>
          <w:p>
            <w:pPr>
              <w:ind w:left="180"/>
              <w:spacing w:after="0"/>
              <w:rPr>
                <w:sz w:val="20"/>
                <w:szCs w:val="20"/>
                <w:color w:val="auto"/>
              </w:rPr>
            </w:pPr>
            <w:r>
              <w:rPr>
                <w:rFonts w:ascii="Arial" w:cs="Arial" w:eastAsia="Arial" w:hAnsi="Arial"/>
                <w:sz w:val="18"/>
                <w:szCs w:val="18"/>
                <w:color w:val="auto"/>
              </w:rPr>
              <w:t>CVnCoV</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27,504</w:t>
            </w:r>
          </w:p>
        </w:tc>
        <w:tc>
          <w:tcPr>
            <w:tcW w:w="100" w:type="dxa"/>
            <w:vAlign w:val="bottom"/>
          </w:tcPr>
          <w:p>
            <w:pPr>
              <w:spacing w:after="0"/>
              <w:rPr>
                <w:sz w:val="22"/>
                <w:szCs w:val="22"/>
                <w:color w:val="auto"/>
              </w:rPr>
            </w:pPr>
          </w:p>
        </w:tc>
      </w:tr>
      <w:tr>
        <w:trPr>
          <w:trHeight w:val="257"/>
        </w:trPr>
        <w:tc>
          <w:tcPr>
            <w:tcW w:w="360" w:type="dxa"/>
            <w:vAlign w:val="bottom"/>
          </w:tcPr>
          <w:p>
            <w:pPr>
              <w:spacing w:after="0"/>
              <w:rPr>
                <w:sz w:val="22"/>
                <w:szCs w:val="22"/>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Research and Development Programs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10,126</w:t>
            </w:r>
          </w:p>
        </w:tc>
        <w:tc>
          <w:tcPr>
            <w:tcW w:w="4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9,050</w:t>
            </w:r>
          </w:p>
        </w:tc>
        <w:tc>
          <w:tcPr>
            <w:tcW w:w="100" w:type="dxa"/>
            <w:vAlign w:val="bottom"/>
            <w:shd w:val="clear" w:color="auto" w:fill="CCEEFF"/>
          </w:tcPr>
          <w:p>
            <w:pPr>
              <w:spacing w:after="0"/>
              <w:rPr>
                <w:sz w:val="22"/>
                <w:szCs w:val="22"/>
                <w:color w:val="auto"/>
              </w:rPr>
            </w:pPr>
          </w:p>
        </w:tc>
      </w:tr>
      <w:tr>
        <w:trPr>
          <w:trHeight w:val="283"/>
        </w:trPr>
        <w:tc>
          <w:tcPr>
            <w:tcW w:w="360" w:type="dxa"/>
            <w:vAlign w:val="bottom"/>
          </w:tcPr>
          <w:p>
            <w:pPr>
              <w:spacing w:after="0"/>
              <w:rPr>
                <w:sz w:val="24"/>
                <w:szCs w:val="24"/>
                <w:color w:val="auto"/>
              </w:rPr>
            </w:pPr>
          </w:p>
        </w:tc>
        <w:tc>
          <w:tcPr>
            <w:tcW w:w="5960" w:type="dxa"/>
            <w:vAlign w:val="bottom"/>
            <w:tcBorders>
              <w:bottom w:val="single" w:sz="8" w:color="CCEEFF"/>
            </w:tcBorders>
            <w:gridSpan w:val="3"/>
          </w:tcPr>
          <w:p>
            <w:pPr>
              <w:spacing w:after="0" w:line="283" w:lineRule="exact"/>
              <w:rPr>
                <w:sz w:val="20"/>
                <w:szCs w:val="20"/>
                <w:color w:val="auto"/>
              </w:rPr>
            </w:pPr>
            <w:r>
              <w:rPr>
                <w:rFonts w:ascii="Arial" w:cs="Arial" w:eastAsia="Arial" w:hAnsi="Arial"/>
                <w:sz w:val="18"/>
                <w:szCs w:val="18"/>
                <w:color w:val="auto"/>
              </w:rPr>
              <w:t>Unallocated costs</w:t>
            </w:r>
            <w:r>
              <w:rPr>
                <w:rFonts w:ascii="Arial" w:cs="Arial" w:eastAsia="Arial" w:hAnsi="Arial"/>
                <w:sz w:val="26"/>
                <w:szCs w:val="26"/>
                <w:color w:val="auto"/>
                <w:vertAlign w:val="superscript"/>
              </w:rPr>
              <w:t>(1)</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15,294</w:t>
            </w:r>
          </w:p>
        </w:tc>
        <w:tc>
          <w:tcPr>
            <w:tcW w:w="4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30,864</w:t>
            </w:r>
          </w:p>
        </w:tc>
        <w:tc>
          <w:tcPr>
            <w:tcW w:w="100" w:type="dxa"/>
            <w:vAlign w:val="bottom"/>
            <w:tcBorders>
              <w:bottom w:val="single" w:sz="8" w:color="CCEEFF"/>
            </w:tcBorders>
          </w:tcPr>
          <w:p>
            <w:pPr>
              <w:spacing w:after="0"/>
              <w:rPr>
                <w:sz w:val="24"/>
                <w:szCs w:val="24"/>
                <w:color w:val="auto"/>
              </w:rPr>
            </w:pPr>
          </w:p>
        </w:tc>
      </w:tr>
      <w:tr>
        <w:trPr>
          <w:trHeight w:val="257"/>
        </w:trPr>
        <w:tc>
          <w:tcPr>
            <w:tcW w:w="360" w:type="dxa"/>
            <w:vAlign w:val="bottom"/>
          </w:tcPr>
          <w:p>
            <w:pPr>
              <w:spacing w:after="0"/>
              <w:rPr>
                <w:sz w:val="22"/>
                <w:szCs w:val="22"/>
                <w:color w:val="auto"/>
              </w:rPr>
            </w:pPr>
          </w:p>
        </w:tc>
        <w:tc>
          <w:tcPr>
            <w:tcW w:w="5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30,665</w:t>
            </w:r>
          </w:p>
        </w:tc>
        <w:tc>
          <w:tcPr>
            <w:tcW w:w="4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76,337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3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2"/>
        </w:trPr>
        <w:tc>
          <w:tcPr>
            <w:tcW w:w="360" w:type="dxa"/>
            <w:vAlign w:val="bottom"/>
            <w:tcBorders>
              <w:bottom w:val="single" w:sz="8" w:color="auto"/>
            </w:tcBorders>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3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-273685</wp:posOffset>
            </wp:positionV>
            <wp:extent cx="474916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-1525270</wp:posOffset>
            </wp:positionV>
            <wp:extent cx="137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01" w:lineRule="exact"/>
        <w:rPr>
          <w:sz w:val="20"/>
          <w:szCs w:val="20"/>
          <w:color w:val="auto"/>
        </w:rPr>
      </w:pPr>
    </w:p>
    <w:p>
      <w:pPr>
        <w:ind w:left="1900" w:right="459" w:hanging="640"/>
        <w:spacing w:after="0" w:line="263" w:lineRule="auto"/>
        <w:tabs>
          <w:tab w:leader="none" w:pos="1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Unallocated costs primarily consist of costs associated with personnel expenses, patents and fees to register a legal right, amortization and depreciation, maintenance and lease expenses, certain third party service expenses and certain material expenses.</w:t>
      </w:r>
    </w:p>
    <w:p>
      <w:pPr>
        <w:spacing w:after="0" w:line="103" w:lineRule="exact"/>
        <w:rPr>
          <w:sz w:val="20"/>
          <w:szCs w:val="20"/>
          <w:color w:val="auto"/>
        </w:rPr>
      </w:pPr>
    </w:p>
    <w:p>
      <w:pPr>
        <w:jc w:val="both"/>
        <w:ind w:left="1260" w:right="579" w:firstLine="648"/>
        <w:spacing w:after="0" w:line="243" w:lineRule="auto"/>
        <w:rPr>
          <w:sz w:val="20"/>
          <w:szCs w:val="20"/>
          <w:color w:val="auto"/>
        </w:rPr>
      </w:pPr>
      <w:r>
        <w:rPr>
          <w:rFonts w:ascii="Arial" w:cs="Arial" w:eastAsia="Arial" w:hAnsi="Arial"/>
          <w:sz w:val="18"/>
          <w:szCs w:val="18"/>
          <w:color w:val="auto"/>
        </w:rPr>
        <w:t>We expect our research and development expenses to increase in the fourth quarter of 2020 and in 2021 and thus that total research and development expenses in 2020 and 2021 will be significantly higher compared to our expenses in 2018 and 2019. Such increased research and development expenses primarily relate to the following key programs:</w:t>
      </w:r>
    </w:p>
    <w:p>
      <w:pPr>
        <w:spacing w:after="0" w:line="80" w:lineRule="exact"/>
        <w:rPr>
          <w:sz w:val="20"/>
          <w:szCs w:val="20"/>
          <w:color w:val="auto"/>
        </w:rPr>
      </w:pPr>
    </w:p>
    <w:p>
      <w:pPr>
        <w:ind w:left="2260" w:right="419" w:hanging="352"/>
        <w:spacing w:after="0" w:line="257" w:lineRule="auto"/>
        <w:tabs>
          <w:tab w:leader="none" w:pos="2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mRNA vaccine program, CVnCoV against SARS-CoV-2, for which we initiated a Phase 1 clinical trial in June 2020 and a Phase 2a clinical trial in older adults in September 2020. For the Phase 1 clinical trial, we reported positive interim results on November 10, 2020, enabling us to select a recommended dose of 12µg to evaluate in a pivotal Phase 2b/3 trial. In December 2020, we initiated our pivotal Phase 2b/3 trial.</w:t>
      </w:r>
    </w:p>
    <w:p>
      <w:pPr>
        <w:spacing w:after="0" w:line="66" w:lineRule="exact"/>
        <w:rPr>
          <w:rFonts w:ascii="Arial" w:cs="Arial" w:eastAsia="Arial" w:hAnsi="Arial"/>
          <w:sz w:val="18"/>
          <w:szCs w:val="18"/>
          <w:color w:val="auto"/>
        </w:rPr>
      </w:pPr>
    </w:p>
    <w:p>
      <w:pPr>
        <w:ind w:left="2260" w:right="579" w:hanging="352"/>
        <w:spacing w:after="0" w:line="308" w:lineRule="auto"/>
        <w:tabs>
          <w:tab w:leader="none" w:pos="22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Our lead oncology program, CV8102, which is currently in a Phase 1 dose escalating clinical trial for four types of solid tumors as a monotherapy and in combination with anti-PD-1.</w:t>
      </w:r>
    </w:p>
    <w:p>
      <w:pPr>
        <w:spacing w:after="0" w:line="11" w:lineRule="exact"/>
        <w:rPr>
          <w:rFonts w:ascii="Arial" w:cs="Arial" w:eastAsia="Arial" w:hAnsi="Arial"/>
          <w:sz w:val="17"/>
          <w:szCs w:val="17"/>
          <w:color w:val="auto"/>
        </w:rPr>
      </w:pPr>
    </w:p>
    <w:p>
      <w:pPr>
        <w:ind w:left="2260" w:right="939" w:hanging="352"/>
        <w:spacing w:after="0" w:line="277" w:lineRule="auto"/>
        <w:tabs>
          <w:tab w:leader="none" w:pos="2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vaccine program, CV7202, which is currently in a Phase 1 clinical trial as a vaccine candidate for rabies.</w:t>
      </w:r>
    </w:p>
    <w:p>
      <w:pPr>
        <w:spacing w:after="0" w:line="157"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58" w:lineRule="exact"/>
        <w:rPr>
          <w:sz w:val="20"/>
          <w:szCs w:val="20"/>
          <w:color w:val="auto"/>
        </w:rPr>
      </w:pPr>
    </w:p>
    <w:p>
      <w:pPr>
        <w:ind w:left="1260" w:right="579" w:firstLine="648"/>
        <w:spacing w:after="0" w:line="291" w:lineRule="auto"/>
        <w:rPr>
          <w:sz w:val="20"/>
          <w:szCs w:val="20"/>
          <w:color w:val="auto"/>
        </w:rPr>
      </w:pPr>
      <w:r>
        <w:rPr>
          <w:rFonts w:ascii="Arial" w:cs="Arial" w:eastAsia="Arial" w:hAnsi="Arial"/>
          <w:sz w:val="17"/>
          <w:szCs w:val="17"/>
          <w:color w:val="auto"/>
        </w:rPr>
        <w:t>General and administrative expenses were €33.1 million for the nine months ended September 30, 2020, representing an increase of €4.6 million, or 16%, from €28.5 million in the nine months ended</w:t>
      </w:r>
    </w:p>
    <w:p>
      <w:pPr>
        <w:sectPr>
          <w:pgSz w:w="11900" w:h="16838" w:orient="portrait"/>
          <w:cols w:equalWidth="0" w:num="1">
            <w:col w:w="9879"/>
          </w:cols>
          <w:pgMar w:left="580" w:top="131" w:right="1440" w:bottom="1440" w:gutter="0" w:footer="0" w:header="0"/>
        </w:sectPr>
      </w:pP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1" w:name="page112"/>
    <w:bookmarkEnd w:id="1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79"/>
        <w:spacing w:after="0" w:line="261" w:lineRule="auto"/>
        <w:rPr>
          <w:sz w:val="20"/>
          <w:szCs w:val="20"/>
          <w:color w:val="auto"/>
        </w:rPr>
      </w:pPr>
      <w:r>
        <w:rPr>
          <w:rFonts w:ascii="Arial" w:cs="Arial" w:eastAsia="Arial" w:hAnsi="Arial"/>
          <w:sz w:val="18"/>
          <w:szCs w:val="18"/>
          <w:color w:val="auto"/>
        </w:rPr>
        <w:t>September 30, 2019. The increase was primarily attributable to increased depreciation of right-of-use assets relating to newly leased office space.</w:t>
      </w:r>
    </w:p>
    <w:p>
      <w:pPr>
        <w:spacing w:after="0" w:line="135" w:lineRule="exact"/>
        <w:rPr>
          <w:sz w:val="20"/>
          <w:szCs w:val="20"/>
          <w:color w:val="auto"/>
        </w:rPr>
      </w:pPr>
    </w:p>
    <w:p>
      <w:pPr>
        <w:jc w:val="center"/>
        <w:ind w:left="5800"/>
        <w:spacing w:after="0"/>
        <w:rPr>
          <w:sz w:val="20"/>
          <w:szCs w:val="20"/>
          <w:color w:val="auto"/>
        </w:rPr>
      </w:pPr>
      <w:r>
        <w:rPr>
          <w:rFonts w:ascii="Arial" w:cs="Arial" w:eastAsia="Arial" w:hAnsi="Arial"/>
          <w:sz w:val="14"/>
          <w:szCs w:val="14"/>
          <w:b w:val="1"/>
          <w:bCs w:val="1"/>
          <w:color w:val="auto"/>
        </w:rPr>
        <w:t>For the nine months ended</w:t>
      </w:r>
    </w:p>
    <w:p>
      <w:pPr>
        <w:spacing w:after="0" w:line="17" w:lineRule="exact"/>
        <w:rPr>
          <w:sz w:val="20"/>
          <w:szCs w:val="20"/>
          <w:color w:val="auto"/>
        </w:rPr>
      </w:pPr>
    </w:p>
    <w:p>
      <w:pPr>
        <w:jc w:val="center"/>
        <w:ind w:left="58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4751705</wp:posOffset>
            </wp:positionH>
            <wp:positionV relativeFrom="paragraph">
              <wp:posOffset>22225</wp:posOffset>
            </wp:positionV>
            <wp:extent cx="10287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4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ind w:right="55"/>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6"/>
                <w:szCs w:val="16"/>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b w:val="1"/>
                <w:bCs w:val="1"/>
                <w:color w:val="auto"/>
              </w:rPr>
              <w:t>2020</w:t>
            </w:r>
          </w:p>
        </w:tc>
      </w:tr>
      <w:tr>
        <w:trPr>
          <w:trHeight w:val="26"/>
        </w:trPr>
        <w:tc>
          <w:tcPr>
            <w:tcW w:w="58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r>
      <w:tr>
        <w:trPr>
          <w:trHeight w:val="173"/>
        </w:trPr>
        <w:tc>
          <w:tcPr>
            <w:tcW w:w="5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w w:val="87"/>
              </w:rPr>
              <w:t>(in thousands of euros)</w:t>
            </w:r>
          </w:p>
        </w:tc>
      </w:tr>
      <w:tr>
        <w:trPr>
          <w:trHeight w:val="186"/>
        </w:trPr>
        <w:tc>
          <w:tcPr>
            <w:tcW w:w="5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3"/>
          </w:tcPr>
          <w:p>
            <w:pPr>
              <w:jc w:val="right"/>
              <w:ind w:right="372"/>
              <w:spacing w:after="0"/>
              <w:rPr>
                <w:sz w:val="20"/>
                <w:szCs w:val="20"/>
                <w:color w:val="auto"/>
              </w:rPr>
            </w:pPr>
            <w:r>
              <w:rPr>
                <w:rFonts w:ascii="Arial" w:cs="Arial" w:eastAsia="Arial" w:hAnsi="Arial"/>
                <w:sz w:val="14"/>
                <w:szCs w:val="14"/>
                <w:b w:val="1"/>
                <w:bCs w:val="1"/>
                <w:color w:val="auto"/>
              </w:rPr>
              <w:t>(unaudited)</w:t>
            </w:r>
          </w:p>
        </w:tc>
      </w:tr>
      <w:tr>
        <w:trPr>
          <w:trHeight w:val="26"/>
        </w:trPr>
        <w:tc>
          <w:tcPr>
            <w:tcW w:w="5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7"/>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Personnel</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(16,747)</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(15,847)</w:t>
            </w:r>
          </w:p>
        </w:tc>
      </w:tr>
      <w:tr>
        <w:trPr>
          <w:trHeight w:val="257"/>
        </w:trPr>
        <w:tc>
          <w:tcPr>
            <w:tcW w:w="5940" w:type="dxa"/>
            <w:vAlign w:val="bottom"/>
            <w:gridSpan w:val="2"/>
          </w:tcPr>
          <w:p>
            <w:pPr>
              <w:spacing w:after="0"/>
              <w:rPr>
                <w:sz w:val="20"/>
                <w:szCs w:val="20"/>
                <w:color w:val="auto"/>
              </w:rPr>
            </w:pPr>
            <w:r>
              <w:rPr>
                <w:rFonts w:ascii="Arial" w:cs="Arial" w:eastAsia="Arial" w:hAnsi="Arial"/>
                <w:sz w:val="18"/>
                <w:szCs w:val="18"/>
                <w:color w:val="auto"/>
              </w:rPr>
              <w:t>Maintenance and lease costs</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(2,138)</w:t>
            </w:r>
          </w:p>
        </w:tc>
        <w:tc>
          <w:tcPr>
            <w:tcW w:w="640" w:type="dxa"/>
            <w:vAlign w:val="bottom"/>
          </w:tcPr>
          <w:p>
            <w:pPr>
              <w:jc w:val="right"/>
              <w:spacing w:after="0"/>
              <w:rPr>
                <w:sz w:val="20"/>
                <w:szCs w:val="20"/>
                <w:color w:val="auto"/>
              </w:rPr>
            </w:pPr>
            <w:r>
              <w:rPr>
                <w:rFonts w:ascii="Arial" w:cs="Arial" w:eastAsia="Arial" w:hAnsi="Arial"/>
                <w:sz w:val="18"/>
                <w:szCs w:val="18"/>
                <w:color w:val="auto"/>
              </w:rPr>
              <w:t>(1,571)</w:t>
            </w:r>
          </w:p>
        </w:tc>
      </w:tr>
      <w:tr>
        <w:trPr>
          <w:trHeight w:val="25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Third-party services</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(4,203)</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(5,097)</w:t>
            </w:r>
          </w:p>
        </w:tc>
      </w:tr>
      <w:tr>
        <w:trPr>
          <w:trHeight w:val="257"/>
        </w:trPr>
        <w:tc>
          <w:tcPr>
            <w:tcW w:w="5940" w:type="dxa"/>
            <w:vAlign w:val="bottom"/>
            <w:gridSpan w:val="2"/>
          </w:tcPr>
          <w:p>
            <w:pPr>
              <w:spacing w:after="0"/>
              <w:rPr>
                <w:sz w:val="20"/>
                <w:szCs w:val="20"/>
                <w:color w:val="auto"/>
              </w:rPr>
            </w:pPr>
            <w:r>
              <w:rPr>
                <w:rFonts w:ascii="Arial" w:cs="Arial" w:eastAsia="Arial" w:hAnsi="Arial"/>
                <w:sz w:val="18"/>
                <w:szCs w:val="18"/>
                <w:color w:val="auto"/>
              </w:rPr>
              <w:t>Legal and other professional services</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(825)</w:t>
            </w:r>
          </w:p>
        </w:tc>
        <w:tc>
          <w:tcPr>
            <w:tcW w:w="640" w:type="dxa"/>
            <w:vAlign w:val="bottom"/>
          </w:tcPr>
          <w:p>
            <w:pPr>
              <w:jc w:val="right"/>
              <w:spacing w:after="0"/>
              <w:rPr>
                <w:sz w:val="20"/>
                <w:szCs w:val="20"/>
                <w:color w:val="auto"/>
              </w:rPr>
            </w:pPr>
            <w:r>
              <w:rPr>
                <w:rFonts w:ascii="Arial" w:cs="Arial" w:eastAsia="Arial" w:hAnsi="Arial"/>
                <w:sz w:val="18"/>
                <w:szCs w:val="18"/>
                <w:color w:val="auto"/>
              </w:rPr>
              <w:t>(2,276)</w:t>
            </w:r>
          </w:p>
        </w:tc>
      </w:tr>
      <w:tr>
        <w:trPr>
          <w:trHeight w:val="257"/>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and depreciation</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(2,709)</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(4,382)</w:t>
            </w:r>
          </w:p>
        </w:tc>
      </w:tr>
      <w:tr>
        <w:trPr>
          <w:trHeight w:val="263"/>
        </w:trPr>
        <w:tc>
          <w:tcPr>
            <w:tcW w:w="5940" w:type="dxa"/>
            <w:vAlign w:val="bottom"/>
            <w:gridSpan w:val="2"/>
          </w:tcPr>
          <w:p>
            <w:pPr>
              <w:spacing w:after="0"/>
              <w:rPr>
                <w:sz w:val="20"/>
                <w:szCs w:val="20"/>
                <w:color w:val="auto"/>
              </w:rPr>
            </w:pPr>
            <w:r>
              <w:rPr>
                <w:rFonts w:ascii="Arial" w:cs="Arial" w:eastAsia="Arial" w:hAnsi="Arial"/>
                <w:sz w:val="18"/>
                <w:szCs w:val="18"/>
                <w:color w:val="auto"/>
              </w:rPr>
              <w:t>Other</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(1,882)</w:t>
            </w:r>
          </w:p>
        </w:tc>
        <w:tc>
          <w:tcPr>
            <w:tcW w:w="640" w:type="dxa"/>
            <w:vAlign w:val="bottom"/>
          </w:tcPr>
          <w:p>
            <w:pPr>
              <w:jc w:val="right"/>
              <w:spacing w:after="0"/>
              <w:rPr>
                <w:sz w:val="20"/>
                <w:szCs w:val="20"/>
                <w:color w:val="auto"/>
              </w:rPr>
            </w:pPr>
            <w:r>
              <w:rPr>
                <w:rFonts w:ascii="Arial" w:cs="Arial" w:eastAsia="Arial" w:hAnsi="Arial"/>
                <w:sz w:val="18"/>
                <w:szCs w:val="18"/>
                <w:color w:val="auto"/>
              </w:rPr>
              <w:t>(3,974)</w:t>
            </w:r>
          </w:p>
        </w:tc>
      </w:tr>
      <w:tr>
        <w:trPr>
          <w:trHeight w:val="20"/>
        </w:trPr>
        <w:tc>
          <w:tcPr>
            <w:tcW w:w="5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r>
      <w:tr>
        <w:trPr>
          <w:trHeight w:val="263"/>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9"/>
              </w:rPr>
              <w:t>(28,504)</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(33,147)</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-205105</wp:posOffset>
            </wp:positionV>
            <wp:extent cx="474916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-1448435</wp:posOffset>
            </wp:positionV>
            <wp:extent cx="1371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63"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Other Operating Income</w:t>
      </w:r>
    </w:p>
    <w:p>
      <w:pPr>
        <w:spacing w:after="0" w:line="14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Other operating income was €11.7 million in the nine months ended September 30, 2020,</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representing an increase of €7.9 million or 208%, from €3.8 million for the nine months ended</w:t>
      </w:r>
    </w:p>
    <w:p>
      <w:pPr>
        <w:ind w:left="1260"/>
        <w:spacing w:after="0"/>
        <w:rPr>
          <w:sz w:val="20"/>
          <w:szCs w:val="20"/>
          <w:color w:val="auto"/>
        </w:rPr>
      </w:pPr>
      <w:r>
        <w:rPr>
          <w:rFonts w:ascii="Arial" w:cs="Arial" w:eastAsia="Arial" w:hAnsi="Arial"/>
          <w:sz w:val="16"/>
          <w:szCs w:val="16"/>
          <w:color w:val="auto"/>
        </w:rPr>
        <w:t>September 30, 2019. The increase was due to an increase in amounts recognized from government agencies’</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grant and similar bodies, primarily CEPI.</w:t>
      </w:r>
    </w:p>
    <w:p>
      <w:pPr>
        <w:spacing w:after="0" w:line="196"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Other Operating Expense</w:t>
      </w:r>
    </w:p>
    <w:p>
      <w:pPr>
        <w:spacing w:after="0" w:line="158" w:lineRule="exact"/>
        <w:rPr>
          <w:sz w:val="20"/>
          <w:szCs w:val="20"/>
          <w:color w:val="auto"/>
        </w:rPr>
      </w:pPr>
    </w:p>
    <w:p>
      <w:pPr>
        <w:ind w:left="1260" w:right="619" w:firstLine="648"/>
        <w:spacing w:after="0" w:line="291" w:lineRule="auto"/>
        <w:rPr>
          <w:sz w:val="20"/>
          <w:szCs w:val="20"/>
          <w:color w:val="auto"/>
        </w:rPr>
      </w:pPr>
      <w:r>
        <w:rPr>
          <w:rFonts w:ascii="Arial" w:cs="Arial" w:eastAsia="Arial" w:hAnsi="Arial"/>
          <w:sz w:val="17"/>
          <w:szCs w:val="17"/>
          <w:color w:val="auto"/>
        </w:rPr>
        <w:t>Other operating expense was €0.4 million in both the nine months ended September 30, 2020 and 2019 and related primarily to compensation expense for our supervisory board in both periods.</w:t>
      </w:r>
    </w:p>
    <w:p>
      <w:pPr>
        <w:spacing w:after="0" w:line="147"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Finance Income</w:t>
      </w:r>
    </w:p>
    <w:p>
      <w:pPr>
        <w:spacing w:after="0" w:line="158" w:lineRule="exact"/>
        <w:rPr>
          <w:sz w:val="20"/>
          <w:szCs w:val="20"/>
          <w:color w:val="auto"/>
        </w:rPr>
      </w:pPr>
    </w:p>
    <w:p>
      <w:pPr>
        <w:ind w:left="1260" w:right="639" w:firstLine="648"/>
        <w:spacing w:after="0" w:line="270" w:lineRule="auto"/>
        <w:rPr>
          <w:sz w:val="20"/>
          <w:szCs w:val="20"/>
          <w:color w:val="auto"/>
        </w:rPr>
      </w:pPr>
      <w:r>
        <w:rPr>
          <w:rFonts w:ascii="Arial" w:cs="Arial" w:eastAsia="Arial" w:hAnsi="Arial"/>
          <w:sz w:val="17"/>
          <w:szCs w:val="17"/>
          <w:color w:val="auto"/>
        </w:rPr>
        <w:t>Finance income was €5.1 million for the nine months ended September 30, 2020, representing an increase of € 2 million, or 65%, from €3.1 million for the nine months ended September 30, 2019. The increase was mainly attributable to higher unrealized foreign exchange gains.</w:t>
      </w:r>
    </w:p>
    <w:p>
      <w:pPr>
        <w:spacing w:after="0" w:line="164"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Finance Expenses</w:t>
      </w:r>
    </w:p>
    <w:p>
      <w:pPr>
        <w:spacing w:after="0" w:line="144" w:lineRule="exact"/>
        <w:rPr>
          <w:sz w:val="20"/>
          <w:szCs w:val="20"/>
          <w:color w:val="auto"/>
        </w:rPr>
      </w:pPr>
    </w:p>
    <w:p>
      <w:pPr>
        <w:ind w:left="1260" w:right="579" w:firstLine="648"/>
        <w:spacing w:after="0" w:line="243" w:lineRule="auto"/>
        <w:rPr>
          <w:sz w:val="20"/>
          <w:szCs w:val="20"/>
          <w:color w:val="auto"/>
        </w:rPr>
      </w:pPr>
      <w:r>
        <w:rPr>
          <w:rFonts w:ascii="Arial" w:cs="Arial" w:eastAsia="Arial" w:hAnsi="Arial"/>
          <w:sz w:val="18"/>
          <w:szCs w:val="18"/>
          <w:color w:val="auto"/>
        </w:rPr>
        <w:t>Finance expenses were €14.5 million for the nine months ended September 30, 2020, representing an increase of €11.6 million, or 400%, from €2.9 million for the nine months ended September 30, 2019. The increase mainly related to interest incurred on convertible loans, which were fully repaid prior to the consummation of our initial public offering.</w:t>
      </w:r>
    </w:p>
    <w:p>
      <w:pPr>
        <w:spacing w:after="0" w:line="188"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Income Tax Benefit (Expense)</w:t>
      </w:r>
    </w:p>
    <w:p>
      <w:pPr>
        <w:spacing w:after="0" w:line="158" w:lineRule="exact"/>
        <w:rPr>
          <w:sz w:val="20"/>
          <w:szCs w:val="20"/>
          <w:color w:val="auto"/>
        </w:rPr>
      </w:pPr>
    </w:p>
    <w:p>
      <w:pPr>
        <w:ind w:left="1260" w:right="419" w:firstLine="648"/>
        <w:spacing w:after="0" w:line="248" w:lineRule="auto"/>
        <w:rPr>
          <w:sz w:val="20"/>
          <w:szCs w:val="20"/>
          <w:color w:val="auto"/>
        </w:rPr>
      </w:pPr>
      <w:r>
        <w:rPr>
          <w:rFonts w:ascii="Arial" w:cs="Arial" w:eastAsia="Arial" w:hAnsi="Arial"/>
          <w:sz w:val="18"/>
          <w:szCs w:val="18"/>
          <w:color w:val="auto"/>
        </w:rPr>
        <w:t>An income tax benefit of €1.6 million was generated for the nine months ended September 30, 2020 compared to €0.3 million for the nine months ended September 30, 2019 as a result of higher deferred tax benefit recognized on taxable temporary differences.</w:t>
      </w:r>
    </w:p>
    <w:p>
      <w:pPr>
        <w:spacing w:after="0" w:line="182"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Year Ended December 31, 2018 Compared to Year Ended December 31, 2019</w:t>
      </w:r>
    </w:p>
    <w:p>
      <w:pPr>
        <w:spacing w:after="0" w:line="158" w:lineRule="exact"/>
        <w:rPr>
          <w:sz w:val="20"/>
          <w:szCs w:val="20"/>
          <w:color w:val="auto"/>
        </w:rPr>
      </w:pPr>
    </w:p>
    <w:p>
      <w:pPr>
        <w:ind w:left="1260" w:right="419" w:firstLine="648"/>
        <w:spacing w:after="0" w:line="259" w:lineRule="auto"/>
        <w:rPr>
          <w:sz w:val="20"/>
          <w:szCs w:val="20"/>
          <w:color w:val="auto"/>
        </w:rPr>
      </w:pPr>
      <w:r>
        <w:rPr>
          <w:rFonts w:ascii="Arial" w:cs="Arial" w:eastAsia="Arial" w:hAnsi="Arial"/>
          <w:sz w:val="17"/>
          <w:szCs w:val="17"/>
          <w:color w:val="auto"/>
        </w:rPr>
        <w:t>We have based the following discussion of our financial condition and results of operations on our audited consolidated financial statements as of and for the years ended December 31, 2018 and 2019 and the notes thereto, included elsewhere in this prospectus and which have been retrospectively adjusted to reflect the impact of the share split resulting from the Corporate Reorganization, as well as the information presented under “Selected Consolidated Financial Information.”</w:t>
      </w:r>
    </w:p>
    <w:p>
      <w:pPr>
        <w:spacing w:after="0" w:line="93" w:lineRule="exact"/>
        <w:rPr>
          <w:sz w:val="20"/>
          <w:szCs w:val="20"/>
          <w:color w:val="auto"/>
        </w:rPr>
      </w:pPr>
    </w:p>
    <w:p>
      <w:pPr>
        <w:ind w:left="1260" w:right="579" w:firstLine="648"/>
        <w:spacing w:after="0" w:line="270" w:lineRule="auto"/>
        <w:rPr>
          <w:sz w:val="20"/>
          <w:szCs w:val="20"/>
          <w:color w:val="auto"/>
        </w:rPr>
      </w:pPr>
      <w:r>
        <w:rPr>
          <w:rFonts w:ascii="Arial" w:cs="Arial" w:eastAsia="Arial" w:hAnsi="Arial"/>
          <w:sz w:val="17"/>
          <w:szCs w:val="17"/>
          <w:color w:val="auto"/>
        </w:rPr>
        <w:t>The following is a discussion of our consolidated results of operations for each of the years ended December 31, 2018 and December 31, 2019. This information is derived from our accompanying consolidated financial statements prepared in accordance with IFRS as issued by IASB.</w:t>
      </w:r>
    </w:p>
    <w:p>
      <w:pPr>
        <w:sectPr>
          <w:pgSz w:w="11900" w:h="16838" w:orient="portrait"/>
          <w:cols w:equalWidth="0" w:num="1">
            <w:col w:w="9879"/>
          </w:cols>
          <w:pgMar w:left="580" w:top="131" w:right="1440" w:bottom="1440" w:gutter="0" w:footer="0" w:header="0"/>
        </w:sectPr>
      </w:pPr>
    </w:p>
    <w:p>
      <w:pPr>
        <w:spacing w:after="0" w:line="35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2" w:name="page113"/>
    <w:bookmarkEnd w:id="1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39" w:firstLine="648"/>
        <w:spacing w:after="0" w:line="277" w:lineRule="auto"/>
        <w:rPr>
          <w:sz w:val="20"/>
          <w:szCs w:val="20"/>
          <w:color w:val="auto"/>
        </w:rPr>
      </w:pPr>
      <w:r>
        <w:rPr>
          <w:rFonts w:ascii="Arial" w:cs="Arial" w:eastAsia="Arial" w:hAnsi="Arial"/>
          <w:sz w:val="18"/>
          <w:szCs w:val="18"/>
          <w:color w:val="auto"/>
        </w:rPr>
        <w:t>The following table summarizes our results of operations for the years ended December 31, 2018 and 2019:</w:t>
      </w:r>
    </w:p>
    <w:p>
      <w:pPr>
        <w:spacing w:after="0" w:line="135" w:lineRule="exact"/>
        <w:rPr>
          <w:sz w:val="20"/>
          <w:szCs w:val="20"/>
          <w:color w:val="auto"/>
        </w:rPr>
      </w:pPr>
    </w:p>
    <w:p>
      <w:pPr>
        <w:ind w:left="7940"/>
        <w:spacing w:after="0"/>
        <w:rPr>
          <w:sz w:val="20"/>
          <w:szCs w:val="20"/>
          <w:color w:val="auto"/>
        </w:rPr>
      </w:pPr>
      <w:r>
        <w:rPr>
          <w:rFonts w:ascii="Arial" w:cs="Arial" w:eastAsia="Arial" w:hAnsi="Arial"/>
          <w:sz w:val="14"/>
          <w:szCs w:val="14"/>
          <w:b w:val="1"/>
          <w:bCs w:val="1"/>
          <w:color w:val="auto"/>
        </w:rPr>
        <w:t>For the Years Ended</w:t>
      </w:r>
    </w:p>
    <w:p>
      <w:pPr>
        <w:spacing w:after="0" w:line="17" w:lineRule="exact"/>
        <w:rPr>
          <w:sz w:val="20"/>
          <w:szCs w:val="20"/>
          <w:color w:val="auto"/>
        </w:rPr>
      </w:pPr>
    </w:p>
    <w:p>
      <w:pPr>
        <w:ind w:left="81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4863465</wp:posOffset>
            </wp:positionH>
            <wp:positionV relativeFrom="paragraph">
              <wp:posOffset>22225</wp:posOffset>
            </wp:positionV>
            <wp:extent cx="11487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4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88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6"/>
                <w:szCs w:val="16"/>
                <w:color w:val="auto"/>
              </w:rPr>
            </w:pPr>
          </w:p>
        </w:tc>
        <w:tc>
          <w:tcPr>
            <w:tcW w:w="660" w:type="dxa"/>
            <w:vAlign w:val="bottom"/>
          </w:tcPr>
          <w:p>
            <w:pPr>
              <w:jc w:val="right"/>
              <w:ind w:right="9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r>
      <w:tr>
        <w:trPr>
          <w:trHeight w:val="26"/>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Borders>
              <w:bottom w:val="single" w:sz="8" w:color="auto"/>
            </w:tcBorders>
            <w:gridSpan w:val="5"/>
          </w:tcPr>
          <w:p>
            <w:pPr>
              <w:spacing w:after="0"/>
              <w:rPr>
                <w:sz w:val="2"/>
                <w:szCs w:val="2"/>
                <w:color w:val="auto"/>
              </w:rPr>
            </w:pPr>
          </w:p>
        </w:tc>
      </w:tr>
      <w:tr>
        <w:trPr>
          <w:trHeight w:val="173"/>
        </w:trPr>
        <w:tc>
          <w:tcPr>
            <w:tcW w:w="6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w w:val="85"/>
              </w:rPr>
              <w:t>(in thousands of euros, except</w:t>
            </w:r>
          </w:p>
        </w:tc>
      </w:tr>
      <w:tr>
        <w:trPr>
          <w:trHeight w:val="186"/>
        </w:trPr>
        <w:tc>
          <w:tcPr>
            <w:tcW w:w="6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per share data)</w:t>
            </w:r>
          </w:p>
        </w:tc>
      </w:tr>
      <w:tr>
        <w:trPr>
          <w:trHeight w:val="26"/>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6"/>
        </w:trPr>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and Comprehensive Income (Loss) Data:</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57"/>
        </w:trPr>
        <w:tc>
          <w:tcPr>
            <w:tcW w:w="6180" w:type="dxa"/>
            <w:vAlign w:val="bottom"/>
          </w:tcPr>
          <w:p>
            <w:pPr>
              <w:spacing w:after="0"/>
              <w:rPr>
                <w:sz w:val="20"/>
                <w:szCs w:val="20"/>
                <w:color w:val="auto"/>
              </w:rPr>
            </w:pPr>
            <w:r>
              <w:rPr>
                <w:rFonts w:ascii="Arial" w:cs="Arial" w:eastAsia="Arial" w:hAnsi="Arial"/>
                <w:sz w:val="18"/>
                <w:szCs w:val="18"/>
                <w:color w:val="auto"/>
              </w:rPr>
              <w:t>Revenue</w:t>
            </w:r>
          </w:p>
        </w:tc>
        <w:tc>
          <w:tcPr>
            <w:tcW w:w="1280" w:type="dxa"/>
            <w:vAlign w:val="bottom"/>
            <w:gridSpan w:val="4"/>
          </w:tcPr>
          <w:p>
            <w:pPr>
              <w:jc w:val="right"/>
              <w:ind w:right="400"/>
              <w:spacing w:after="0"/>
              <w:rPr>
                <w:sz w:val="20"/>
                <w:szCs w:val="20"/>
                <w:color w:val="auto"/>
              </w:rPr>
            </w:pPr>
            <w:r>
              <w:rPr>
                <w:rFonts w:ascii="Arial" w:cs="Arial" w:eastAsia="Arial" w:hAnsi="Arial"/>
                <w:sz w:val="18"/>
                <w:szCs w:val="18"/>
                <w:color w:val="auto"/>
              </w:rPr>
              <w:t>12,871</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17,416</w:t>
            </w:r>
          </w:p>
        </w:tc>
      </w:tr>
      <w:tr>
        <w:trPr>
          <w:trHeight w:val="257"/>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2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(17,744)</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(27,983)</w:t>
            </w:r>
          </w:p>
        </w:tc>
      </w:tr>
      <w:tr>
        <w:trPr>
          <w:trHeight w:val="257"/>
        </w:trPr>
        <w:tc>
          <w:tcPr>
            <w:tcW w:w="6180" w:type="dxa"/>
            <w:vAlign w:val="bottom"/>
          </w:tcPr>
          <w:p>
            <w:pPr>
              <w:spacing w:after="0"/>
              <w:rPr>
                <w:sz w:val="20"/>
                <w:szCs w:val="20"/>
                <w:color w:val="auto"/>
              </w:rPr>
            </w:pPr>
            <w:r>
              <w:rPr>
                <w:rFonts w:ascii="Arial" w:cs="Arial" w:eastAsia="Arial" w:hAnsi="Arial"/>
                <w:sz w:val="18"/>
                <w:szCs w:val="18"/>
                <w:color w:val="auto"/>
              </w:rPr>
              <w:t>Selling and distribution expenses</w:t>
            </w:r>
          </w:p>
        </w:tc>
        <w:tc>
          <w:tcPr>
            <w:tcW w:w="1280" w:type="dxa"/>
            <w:vAlign w:val="bottom"/>
            <w:gridSpan w:val="4"/>
          </w:tcPr>
          <w:p>
            <w:pPr>
              <w:jc w:val="right"/>
              <w:ind w:right="340"/>
              <w:spacing w:after="0"/>
              <w:rPr>
                <w:sz w:val="20"/>
                <w:szCs w:val="20"/>
                <w:color w:val="auto"/>
              </w:rPr>
            </w:pPr>
            <w:r>
              <w:rPr>
                <w:rFonts w:ascii="Arial" w:cs="Arial" w:eastAsia="Arial" w:hAnsi="Arial"/>
                <w:sz w:val="18"/>
                <w:szCs w:val="18"/>
                <w:color w:val="auto"/>
              </w:rPr>
              <w:t>(1,085)</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(1,755)</w:t>
            </w:r>
          </w:p>
        </w:tc>
      </w:tr>
      <w:tr>
        <w:trPr>
          <w:trHeight w:val="25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2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(41,722)</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(43,242)</w:t>
            </w:r>
          </w:p>
        </w:tc>
      </w:tr>
      <w:tr>
        <w:trPr>
          <w:trHeight w:val="257"/>
        </w:trPr>
        <w:tc>
          <w:tcPr>
            <w:tcW w:w="61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280" w:type="dxa"/>
            <w:vAlign w:val="bottom"/>
            <w:gridSpan w:val="4"/>
          </w:tcPr>
          <w:p>
            <w:pPr>
              <w:jc w:val="right"/>
              <w:ind w:right="340"/>
              <w:spacing w:after="0"/>
              <w:rPr>
                <w:sz w:val="20"/>
                <w:szCs w:val="20"/>
                <w:color w:val="auto"/>
              </w:rPr>
            </w:pPr>
            <w:r>
              <w:rPr>
                <w:rFonts w:ascii="Arial" w:cs="Arial" w:eastAsia="Arial" w:hAnsi="Arial"/>
                <w:sz w:val="18"/>
                <w:szCs w:val="18"/>
                <w:color w:val="auto"/>
              </w:rPr>
              <w:t>(25,289)</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(48,969)</w:t>
            </w:r>
          </w:p>
        </w:tc>
      </w:tr>
      <w:tr>
        <w:trPr>
          <w:trHeight w:val="257"/>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128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808</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5,587</w:t>
            </w:r>
          </w:p>
        </w:tc>
      </w:tr>
      <w:tr>
        <w:trPr>
          <w:trHeight w:val="263"/>
        </w:trPr>
        <w:tc>
          <w:tcPr>
            <w:tcW w:w="618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320" w:type="dxa"/>
            <w:vAlign w:val="bottom"/>
            <w:gridSpan w:val="2"/>
          </w:tcPr>
          <w:p>
            <w:pPr>
              <w:spacing w:after="0"/>
              <w:rPr>
                <w:sz w:val="22"/>
                <w:szCs w:val="22"/>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(663)</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(552)</w:t>
            </w:r>
          </w:p>
        </w:tc>
      </w:tr>
      <w:tr>
        <w:trPr>
          <w:trHeight w:val="20"/>
        </w:trPr>
        <w:tc>
          <w:tcPr>
            <w:tcW w:w="6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63"/>
        </w:trPr>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320" w:type="dxa"/>
            <w:vAlign w:val="bottom"/>
            <w:gridSpan w:val="2"/>
            <w:shd w:val="clear" w:color="auto" w:fill="CCEEFF"/>
          </w:tcPr>
          <w:p>
            <w:pPr>
              <w:spacing w:after="0"/>
              <w:rPr>
                <w:sz w:val="22"/>
                <w:szCs w:val="22"/>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9"/>
              </w:rPr>
              <w:t>(72,824)</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(99,498)</w:t>
            </w:r>
          </w:p>
        </w:tc>
      </w:tr>
      <w:tr>
        <w:trPr>
          <w:trHeight w:val="20"/>
        </w:trPr>
        <w:tc>
          <w:tcPr>
            <w:tcW w:w="6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57"/>
        </w:trPr>
        <w:tc>
          <w:tcPr>
            <w:tcW w:w="6180" w:type="dxa"/>
            <w:vAlign w:val="bottom"/>
          </w:tcPr>
          <w:p>
            <w:pPr>
              <w:spacing w:after="0"/>
              <w:rPr>
                <w:sz w:val="20"/>
                <w:szCs w:val="20"/>
                <w:color w:val="auto"/>
              </w:rPr>
            </w:pPr>
            <w:r>
              <w:rPr>
                <w:rFonts w:ascii="Arial" w:cs="Arial" w:eastAsia="Arial" w:hAnsi="Arial"/>
                <w:sz w:val="18"/>
                <w:szCs w:val="18"/>
                <w:color w:val="auto"/>
              </w:rPr>
              <w:t>Finance income</w:t>
            </w:r>
          </w:p>
        </w:tc>
        <w:tc>
          <w:tcPr>
            <w:tcW w:w="320" w:type="dxa"/>
            <w:vAlign w:val="bottom"/>
            <w:gridSpan w:val="2"/>
          </w:tcPr>
          <w:p>
            <w:pPr>
              <w:spacing w:after="0"/>
              <w:rPr>
                <w:sz w:val="22"/>
                <w:szCs w:val="22"/>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1,968</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833</w:t>
            </w:r>
          </w:p>
        </w:tc>
      </w:tr>
      <w:tr>
        <w:trPr>
          <w:trHeight w:val="263"/>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320" w:type="dxa"/>
            <w:vAlign w:val="bottom"/>
            <w:gridSpan w:val="2"/>
            <w:shd w:val="clear" w:color="auto" w:fill="CCEEFF"/>
          </w:tcPr>
          <w:p>
            <w:pPr>
              <w:spacing w:after="0"/>
              <w:rPr>
                <w:sz w:val="22"/>
                <w:szCs w:val="22"/>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(275)</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(1,460)</w:t>
            </w:r>
          </w:p>
        </w:tc>
      </w:tr>
      <w:tr>
        <w:trPr>
          <w:trHeight w:val="20"/>
        </w:trPr>
        <w:tc>
          <w:tcPr>
            <w:tcW w:w="6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63"/>
        </w:trPr>
        <w:tc>
          <w:tcPr>
            <w:tcW w:w="6180" w:type="dxa"/>
            <w:vAlign w:val="bottom"/>
          </w:tcPr>
          <w:p>
            <w:pPr>
              <w:spacing w:after="0"/>
              <w:rPr>
                <w:sz w:val="20"/>
                <w:szCs w:val="20"/>
                <w:color w:val="auto"/>
              </w:rPr>
            </w:pPr>
            <w:r>
              <w:rPr>
                <w:rFonts w:ascii="Arial" w:cs="Arial" w:eastAsia="Arial" w:hAnsi="Arial"/>
                <w:sz w:val="18"/>
                <w:szCs w:val="18"/>
                <w:b w:val="1"/>
                <w:bCs w:val="1"/>
                <w:color w:val="auto"/>
              </w:rPr>
              <w:t>Loss before income tax</w:t>
            </w:r>
          </w:p>
        </w:tc>
        <w:tc>
          <w:tcPr>
            <w:tcW w:w="320" w:type="dxa"/>
            <w:vAlign w:val="bottom"/>
            <w:gridSpan w:val="2"/>
          </w:tcPr>
          <w:p>
            <w:pPr>
              <w:spacing w:after="0"/>
              <w:rPr>
                <w:sz w:val="22"/>
                <w:szCs w:val="22"/>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9"/>
              </w:rPr>
              <w:t>(71,131)</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0"/>
              </w:rPr>
              <w:t>(100,125)</w:t>
            </w:r>
          </w:p>
        </w:tc>
      </w:tr>
      <w:tr>
        <w:trPr>
          <w:trHeight w:val="20"/>
        </w:trPr>
        <w:tc>
          <w:tcPr>
            <w:tcW w:w="6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63"/>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320" w:type="dxa"/>
            <w:vAlign w:val="bottom"/>
            <w:gridSpan w:val="2"/>
            <w:shd w:val="clear" w:color="auto" w:fill="CCEEFF"/>
          </w:tcPr>
          <w:p>
            <w:pPr>
              <w:spacing w:after="0"/>
              <w:rPr>
                <w:sz w:val="22"/>
                <w:szCs w:val="22"/>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252</w:t>
            </w:r>
          </w:p>
        </w:tc>
      </w:tr>
      <w:tr>
        <w:trPr>
          <w:trHeight w:val="20"/>
        </w:trPr>
        <w:tc>
          <w:tcPr>
            <w:tcW w:w="6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63"/>
        </w:trPr>
        <w:tc>
          <w:tcPr>
            <w:tcW w:w="6180" w:type="dxa"/>
            <w:vAlign w:val="bottom"/>
          </w:tcPr>
          <w:p>
            <w:pPr>
              <w:spacing w:after="0"/>
              <w:rPr>
                <w:sz w:val="20"/>
                <w:szCs w:val="20"/>
                <w:color w:val="auto"/>
              </w:rPr>
            </w:pPr>
            <w:r>
              <w:rPr>
                <w:rFonts w:ascii="Arial" w:cs="Arial" w:eastAsia="Arial" w:hAnsi="Arial"/>
                <w:sz w:val="18"/>
                <w:szCs w:val="18"/>
                <w:b w:val="1"/>
                <w:bCs w:val="1"/>
                <w:color w:val="auto"/>
              </w:rPr>
              <w:t>Net loss for the year</w:t>
            </w:r>
          </w:p>
        </w:tc>
        <w:tc>
          <w:tcPr>
            <w:tcW w:w="320" w:type="dxa"/>
            <w:vAlign w:val="bottom"/>
            <w:gridSpan w:val="2"/>
          </w:tcPr>
          <w:p>
            <w:pPr>
              <w:spacing w:after="0"/>
              <w:rPr>
                <w:sz w:val="22"/>
                <w:szCs w:val="22"/>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9"/>
              </w:rPr>
              <w:t>(71,241)</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(99,873)</w:t>
            </w:r>
          </w:p>
        </w:tc>
      </w:tr>
      <w:tr>
        <w:trPr>
          <w:trHeight w:val="256"/>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income/loss:</w:t>
            </w:r>
          </w:p>
        </w:tc>
        <w:tc>
          <w:tcPr>
            <w:tcW w:w="2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40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r>
      <w:tr>
        <w:trPr>
          <w:trHeight w:val="257"/>
        </w:trPr>
        <w:tc>
          <w:tcPr>
            <w:tcW w:w="6180" w:type="dxa"/>
            <w:vAlign w:val="bottom"/>
          </w:tcPr>
          <w:p>
            <w:pPr>
              <w:ind w:left="180"/>
              <w:spacing w:after="0"/>
              <w:rPr>
                <w:sz w:val="20"/>
                <w:szCs w:val="20"/>
                <w:color w:val="auto"/>
              </w:rPr>
            </w:pPr>
            <w:r>
              <w:rPr>
                <w:rFonts w:ascii="Arial" w:cs="Arial" w:eastAsia="Arial" w:hAnsi="Arial"/>
                <w:sz w:val="18"/>
                <w:szCs w:val="18"/>
                <w:i w:val="1"/>
                <w:iCs w:val="1"/>
                <w:color w:val="auto"/>
              </w:rPr>
              <w:t>Items that may be subsequently reclassified to profit or loss</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3"/>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adjustments</w:t>
            </w:r>
          </w:p>
        </w:tc>
        <w:tc>
          <w:tcPr>
            <w:tcW w:w="320" w:type="dxa"/>
            <w:vAlign w:val="bottom"/>
            <w:gridSpan w:val="2"/>
            <w:shd w:val="clear" w:color="auto" w:fill="CCEEFF"/>
          </w:tcPr>
          <w:p>
            <w:pPr>
              <w:spacing w:after="0"/>
              <w:rPr>
                <w:sz w:val="22"/>
                <w:szCs w:val="22"/>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w:t>
            </w:r>
          </w:p>
        </w:tc>
      </w:tr>
      <w:tr>
        <w:trPr>
          <w:trHeight w:val="20"/>
        </w:trPr>
        <w:tc>
          <w:tcPr>
            <w:tcW w:w="6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97"/>
        </w:trPr>
        <w:tc>
          <w:tcPr>
            <w:tcW w:w="6180" w:type="dxa"/>
            <w:vAlign w:val="bottom"/>
          </w:tcPr>
          <w:p>
            <w:pPr>
              <w:spacing w:after="0"/>
              <w:rPr>
                <w:sz w:val="20"/>
                <w:szCs w:val="20"/>
                <w:color w:val="auto"/>
              </w:rPr>
            </w:pPr>
            <w:r>
              <w:rPr>
                <w:rFonts w:ascii="Arial" w:cs="Arial" w:eastAsia="Arial" w:hAnsi="Arial"/>
                <w:sz w:val="18"/>
                <w:szCs w:val="18"/>
                <w:b w:val="1"/>
                <w:bCs w:val="1"/>
                <w:color w:val="auto"/>
              </w:rPr>
              <w:t>Total comprehensive loss for the year</w:t>
            </w:r>
          </w:p>
        </w:tc>
        <w:tc>
          <w:tcPr>
            <w:tcW w:w="320" w:type="dxa"/>
            <w:vAlign w:val="bottom"/>
            <w:gridSpan w:val="2"/>
          </w:tcPr>
          <w:p>
            <w:pPr>
              <w:spacing w:after="0"/>
              <w:rPr>
                <w:sz w:val="24"/>
                <w:szCs w:val="2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9"/>
              </w:rPr>
              <w:t>(71,175)</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(99,841)</w:t>
            </w:r>
          </w:p>
        </w:tc>
      </w:tr>
      <w:tr>
        <w:trPr>
          <w:trHeight w:val="20"/>
        </w:trPr>
        <w:tc>
          <w:tcPr>
            <w:tcW w:w="6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50"/>
        </w:trPr>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320" w:type="dxa"/>
            <w:vAlign w:val="bottom"/>
            <w:gridSpan w:val="2"/>
            <w:shd w:val="clear" w:color="auto" w:fill="CCEEFF"/>
          </w:tcPr>
          <w:p>
            <w:pPr>
              <w:spacing w:after="0"/>
              <w:rPr>
                <w:sz w:val="21"/>
                <w:szCs w:val="21"/>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(0.74)</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(1.03)</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-916305</wp:posOffset>
            </wp:positionV>
            <wp:extent cx="52120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-1276985</wp:posOffset>
            </wp:positionV>
            <wp:extent cx="52120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-1979295</wp:posOffset>
            </wp:positionV>
            <wp:extent cx="52120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-3548380</wp:posOffset>
            </wp:positionV>
            <wp:extent cx="1371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90"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Revenue</w:t>
      </w:r>
    </w:p>
    <w:p>
      <w:pPr>
        <w:spacing w:after="0" w:line="158" w:lineRule="exact"/>
        <w:rPr>
          <w:sz w:val="20"/>
          <w:szCs w:val="20"/>
          <w:color w:val="auto"/>
        </w:rPr>
      </w:pPr>
    </w:p>
    <w:p>
      <w:pPr>
        <w:ind w:left="1260" w:right="719" w:firstLine="648"/>
        <w:spacing w:after="0" w:line="259" w:lineRule="auto"/>
        <w:rPr>
          <w:sz w:val="20"/>
          <w:szCs w:val="20"/>
          <w:color w:val="auto"/>
        </w:rPr>
      </w:pPr>
      <w:r>
        <w:rPr>
          <w:rFonts w:ascii="Arial" w:cs="Arial" w:eastAsia="Arial" w:hAnsi="Arial"/>
          <w:sz w:val="18"/>
          <w:szCs w:val="18"/>
          <w:color w:val="auto"/>
        </w:rPr>
        <w:t>Revenue was €17.4 million for 2019, representing an increase of €4.5 million, or 35%, from €12.9 million for 2018. The increase was primarily attributable to an increase of €2.7 million in research and development services and an increase of €1.9 million from product sales in 2019 under our collaboration agreements.</w:t>
      </w:r>
    </w:p>
    <w:p>
      <w:pPr>
        <w:spacing w:after="0" w:line="187"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Cost of Sales</w:t>
      </w:r>
    </w:p>
    <w:p>
      <w:pPr>
        <w:spacing w:after="0" w:line="144" w:lineRule="exact"/>
        <w:rPr>
          <w:sz w:val="20"/>
          <w:szCs w:val="20"/>
          <w:color w:val="auto"/>
        </w:rPr>
      </w:pPr>
    </w:p>
    <w:p>
      <w:pPr>
        <w:ind w:left="1260" w:right="419" w:firstLine="648"/>
        <w:spacing w:after="0" w:line="271" w:lineRule="auto"/>
        <w:rPr>
          <w:sz w:val="20"/>
          <w:szCs w:val="20"/>
          <w:color w:val="auto"/>
        </w:rPr>
      </w:pPr>
      <w:r>
        <w:rPr>
          <w:rFonts w:ascii="Arial" w:cs="Arial" w:eastAsia="Arial" w:hAnsi="Arial"/>
          <w:sz w:val="17"/>
          <w:szCs w:val="17"/>
          <w:color w:val="auto"/>
        </w:rPr>
        <w:t>Cost of sales was €28.0 million for 2019, representing an increase of €10.3 million, or 58%, from €17.7 million for 2018. The increase was partially attributable to certain one-time effects as well as to higher product sales under our collaboration agreements, which resulted in increases in materials and third-party services of €2.6 million and €4.9 million, respectively, as compared to 2018. The increase in materials expense was primarily due to €3.6 million higher inventory write-downs, partially offset by lower materials costs from the product sales mix. The increase in third party expenses was primarily due to €2.7 million additional costs for set-up and quality assurance activities for our production processes and €1.5 million as a result of additional costs for required rework of certain products.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3" w:name="page114"/>
    <w:bookmarkEnd w:id="1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7800"/>
        <w:spacing w:after="0"/>
        <w:rPr>
          <w:sz w:val="20"/>
          <w:szCs w:val="20"/>
          <w:color w:val="auto"/>
        </w:rPr>
      </w:pPr>
      <w:r>
        <w:rPr>
          <w:rFonts w:ascii="Arial" w:cs="Arial" w:eastAsia="Arial" w:hAnsi="Arial"/>
          <w:sz w:val="14"/>
          <w:szCs w:val="14"/>
          <w:b w:val="1"/>
          <w:bCs w:val="1"/>
          <w:color w:val="auto"/>
        </w:rPr>
        <w:t>For the years ended</w:t>
      </w:r>
    </w:p>
    <w:p>
      <w:pPr>
        <w:spacing w:after="0" w:line="17"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4888865</wp:posOffset>
            </wp:positionH>
            <wp:positionV relativeFrom="paragraph">
              <wp:posOffset>22225</wp:posOffset>
            </wp:positionV>
            <wp:extent cx="89154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33" w:lineRule="exact"/>
        <w:rPr>
          <w:sz w:val="20"/>
          <w:szCs w:val="20"/>
          <w:color w:val="auto"/>
        </w:rPr>
      </w:pPr>
    </w:p>
    <w:tbl>
      <w:tblPr>
        <w:tblLayout w:type="fixed"/>
        <w:tblInd w:w="162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96"/>
        </w:trPr>
        <w:tc>
          <w:tcPr>
            <w:tcW w:w="6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w w:val="84"/>
              </w:rPr>
              <w:t>(in thousands of euros)</w:t>
            </w:r>
          </w:p>
        </w:tc>
      </w:tr>
      <w:tr>
        <w:trPr>
          <w:trHeight w:val="23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Personnel</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(7,703)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(9,855)</w:t>
            </w:r>
          </w:p>
        </w:tc>
        <w:tc>
          <w:tcPr>
            <w:tcW w:w="40" w:type="dxa"/>
            <w:vAlign w:val="bottom"/>
          </w:tcPr>
          <w:p>
            <w:pPr>
              <w:spacing w:after="0"/>
              <w:rPr>
                <w:sz w:val="20"/>
                <w:szCs w:val="20"/>
                <w:color w:val="auto"/>
              </w:rPr>
            </w:pPr>
          </w:p>
        </w:tc>
      </w:tr>
      <w:tr>
        <w:trPr>
          <w:trHeight w:val="243"/>
        </w:trPr>
        <w:tc>
          <w:tcPr>
            <w:tcW w:w="6100" w:type="dxa"/>
            <w:vAlign w:val="bottom"/>
            <w:gridSpan w:val="2"/>
          </w:tcPr>
          <w:p>
            <w:pPr>
              <w:spacing w:after="0"/>
              <w:rPr>
                <w:sz w:val="20"/>
                <w:szCs w:val="20"/>
                <w:color w:val="auto"/>
              </w:rPr>
            </w:pPr>
            <w:r>
              <w:rPr>
                <w:rFonts w:ascii="Arial" w:cs="Arial" w:eastAsia="Arial" w:hAnsi="Arial"/>
                <w:sz w:val="18"/>
                <w:szCs w:val="18"/>
                <w:color w:val="auto"/>
              </w:rPr>
              <w:t>Materials</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(4,941)</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(7,542)</w:t>
            </w:r>
          </w:p>
        </w:tc>
      </w:tr>
      <w:tr>
        <w:trPr>
          <w:trHeight w:val="243"/>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Third-party services</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(7,268)</w:t>
            </w:r>
          </w:p>
        </w:tc>
        <w:tc>
          <w:tcPr>
            <w:tcW w:w="40" w:type="dxa"/>
            <w:vAlign w:val="bottom"/>
          </w:tcPr>
          <w:p>
            <w:pPr>
              <w:spacing w:after="0"/>
              <w:rPr>
                <w:sz w:val="21"/>
                <w:szCs w:val="21"/>
                <w:color w:val="auto"/>
              </w:rPr>
            </w:pPr>
          </w:p>
        </w:tc>
      </w:tr>
      <w:tr>
        <w:trPr>
          <w:trHeight w:val="243"/>
        </w:trPr>
        <w:tc>
          <w:tcPr>
            <w:tcW w:w="6100" w:type="dxa"/>
            <w:vAlign w:val="bottom"/>
            <w:gridSpan w:val="2"/>
          </w:tcPr>
          <w:p>
            <w:pPr>
              <w:spacing w:after="0"/>
              <w:rPr>
                <w:sz w:val="20"/>
                <w:szCs w:val="20"/>
                <w:color w:val="auto"/>
              </w:rPr>
            </w:pPr>
            <w:r>
              <w:rPr>
                <w:rFonts w:ascii="Arial" w:cs="Arial" w:eastAsia="Arial" w:hAnsi="Arial"/>
                <w:sz w:val="18"/>
                <w:szCs w:val="18"/>
                <w:color w:val="auto"/>
              </w:rPr>
              <w:t>Maintenance and lease</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(1,758)</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(1,060)</w:t>
            </w:r>
          </w:p>
        </w:tc>
      </w:tr>
      <w:tr>
        <w:trPr>
          <w:trHeight w:val="243"/>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and depreciation</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(2,038)</w:t>
            </w:r>
          </w:p>
        </w:tc>
        <w:tc>
          <w:tcPr>
            <w:tcW w:w="40" w:type="dxa"/>
            <w:vAlign w:val="bottom"/>
          </w:tcPr>
          <w:p>
            <w:pPr>
              <w:spacing w:after="0"/>
              <w:rPr>
                <w:sz w:val="21"/>
                <w:szCs w:val="21"/>
                <w:color w:val="auto"/>
              </w:rPr>
            </w:pPr>
          </w:p>
        </w:tc>
      </w:tr>
      <w:tr>
        <w:trPr>
          <w:trHeight w:val="257"/>
        </w:trPr>
        <w:tc>
          <w:tcPr>
            <w:tcW w:w="6100" w:type="dxa"/>
            <w:vAlign w:val="bottom"/>
            <w:gridSpan w:val="2"/>
          </w:tcPr>
          <w:p>
            <w:pPr>
              <w:spacing w:after="0"/>
              <w:rPr>
                <w:sz w:val="20"/>
                <w:szCs w:val="20"/>
                <w:color w:val="auto"/>
              </w:rPr>
            </w:pPr>
            <w:r>
              <w:rPr>
                <w:rFonts w:ascii="Arial" w:cs="Arial" w:eastAsia="Arial" w:hAnsi="Arial"/>
                <w:sz w:val="18"/>
                <w:szCs w:val="18"/>
                <w:color w:val="auto"/>
              </w:rPr>
              <w:t>Other</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(109)</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(220)</w:t>
            </w:r>
          </w:p>
        </w:tc>
      </w:tr>
      <w:tr>
        <w:trPr>
          <w:trHeight w:val="20"/>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9"/>
              </w:rPr>
              <w:t>(17,744)</w:t>
            </w:r>
          </w:p>
        </w:tc>
        <w:tc>
          <w:tcPr>
            <w:tcW w:w="620" w:type="dxa"/>
            <w:vAlign w:val="bottom"/>
            <w:gridSpan w:val="3"/>
          </w:tcPr>
          <w:p>
            <w:pPr>
              <w:jc w:val="right"/>
              <w:spacing w:after="0"/>
              <w:rPr>
                <w:sz w:val="20"/>
                <w:szCs w:val="20"/>
                <w:color w:val="auto"/>
              </w:rPr>
            </w:pPr>
            <w:r>
              <w:rPr>
                <w:rFonts w:ascii="Arial" w:cs="Arial" w:eastAsia="Arial" w:hAnsi="Arial"/>
                <w:sz w:val="18"/>
                <w:szCs w:val="18"/>
                <w:b w:val="1"/>
                <w:bCs w:val="1"/>
                <w:color w:val="auto"/>
                <w:w w:val="89"/>
              </w:rPr>
              <w:t>(27,983)</w:t>
            </w:r>
          </w:p>
        </w:tc>
      </w:tr>
      <w:tr>
        <w:trPr>
          <w:trHeight w:val="20"/>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-187960</wp:posOffset>
            </wp:positionV>
            <wp:extent cx="4749165" cy="171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5266055</wp:posOffset>
            </wp:positionH>
            <wp:positionV relativeFrom="paragraph">
              <wp:posOffset>-1250950</wp:posOffset>
            </wp:positionV>
            <wp:extent cx="1371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76"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Selling and Distribution Expenses</w:t>
      </w:r>
    </w:p>
    <w:p>
      <w:pPr>
        <w:spacing w:after="0" w:line="158" w:lineRule="exact"/>
        <w:rPr>
          <w:sz w:val="20"/>
          <w:szCs w:val="20"/>
          <w:color w:val="auto"/>
        </w:rPr>
      </w:pPr>
    </w:p>
    <w:p>
      <w:pPr>
        <w:ind w:left="1260" w:right="999" w:firstLine="648"/>
        <w:spacing w:after="0" w:line="257" w:lineRule="auto"/>
        <w:rPr>
          <w:sz w:val="20"/>
          <w:szCs w:val="20"/>
          <w:color w:val="auto"/>
        </w:rPr>
      </w:pPr>
      <w:r>
        <w:rPr>
          <w:rFonts w:ascii="Arial" w:cs="Arial" w:eastAsia="Arial" w:hAnsi="Arial"/>
          <w:sz w:val="18"/>
          <w:szCs w:val="18"/>
          <w:color w:val="auto"/>
        </w:rPr>
        <w:t>Selling and distribution expenses were €1.8 million for 2019, representing an increase of €0.7 million, or 64%, from €1.1 million in 2018. The increase was primarily attributable to increased personnel expenses resulting from share-based compensation.</w:t>
      </w:r>
    </w:p>
    <w:p>
      <w:pPr>
        <w:spacing w:after="0" w:line="2" w:lineRule="exact"/>
        <w:rPr>
          <w:sz w:val="20"/>
          <w:szCs w:val="20"/>
          <w:color w:val="auto"/>
        </w:rPr>
      </w:pPr>
    </w:p>
    <w:p>
      <w:pPr>
        <w:ind w:left="7820"/>
        <w:spacing w:after="0"/>
        <w:rPr>
          <w:sz w:val="20"/>
          <w:szCs w:val="20"/>
          <w:color w:val="auto"/>
        </w:rPr>
      </w:pPr>
      <w:r>
        <w:rPr>
          <w:rFonts w:ascii="Arial" w:cs="Arial" w:eastAsia="Arial" w:hAnsi="Arial"/>
          <w:sz w:val="14"/>
          <w:szCs w:val="14"/>
          <w:b w:val="1"/>
          <w:bCs w:val="1"/>
          <w:color w:val="auto"/>
        </w:rPr>
        <w:t>For the years ended</w:t>
      </w:r>
    </w:p>
    <w:p>
      <w:pPr>
        <w:spacing w:after="0" w:line="17"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4906010</wp:posOffset>
            </wp:positionH>
            <wp:positionV relativeFrom="paragraph">
              <wp:posOffset>22225</wp:posOffset>
            </wp:positionV>
            <wp:extent cx="87439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33" w:lineRule="exact"/>
        <w:rPr>
          <w:sz w:val="20"/>
          <w:szCs w:val="20"/>
          <w:color w:val="auto"/>
        </w:rPr>
      </w:pPr>
    </w:p>
    <w:tbl>
      <w:tblPr>
        <w:tblLayout w:type="fixed"/>
        <w:tblInd w:w="162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4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2019</w:t>
            </w:r>
          </w:p>
        </w:tc>
      </w:tr>
      <w:tr>
        <w:trPr>
          <w:trHeight w:val="196"/>
        </w:trPr>
        <w:tc>
          <w:tcPr>
            <w:tcW w:w="616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w w:val="82"/>
              </w:rPr>
              <w:t>(in thousands of euros)</w:t>
            </w:r>
          </w:p>
        </w:tc>
      </w:tr>
      <w:tr>
        <w:trPr>
          <w:trHeight w:val="236"/>
        </w:trPr>
        <w:tc>
          <w:tcPr>
            <w:tcW w:w="6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Personnel</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(581)</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(1,263)</w:t>
            </w:r>
          </w:p>
        </w:tc>
      </w:tr>
      <w:tr>
        <w:trPr>
          <w:trHeight w:val="243"/>
        </w:trPr>
        <w:tc>
          <w:tcPr>
            <w:tcW w:w="6160" w:type="dxa"/>
            <w:vAlign w:val="bottom"/>
          </w:tcPr>
          <w:p>
            <w:pPr>
              <w:spacing w:after="0"/>
              <w:rPr>
                <w:sz w:val="20"/>
                <w:szCs w:val="20"/>
                <w:color w:val="auto"/>
              </w:rPr>
            </w:pPr>
            <w:r>
              <w:rPr>
                <w:rFonts w:ascii="Arial" w:cs="Arial" w:eastAsia="Arial" w:hAnsi="Arial"/>
                <w:sz w:val="18"/>
                <w:szCs w:val="18"/>
                <w:color w:val="auto"/>
              </w:rPr>
              <w:t>Maintenance and lease costs</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(300)</w:t>
            </w:r>
          </w:p>
        </w:tc>
        <w:tc>
          <w:tcPr>
            <w:tcW w:w="52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43"/>
        </w:trPr>
        <w:tc>
          <w:tcPr>
            <w:tcW w:w="6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and depreciation</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57"/>
        </w:trPr>
        <w:tc>
          <w:tcPr>
            <w:tcW w:w="6160" w:type="dxa"/>
            <w:vAlign w:val="bottom"/>
          </w:tcPr>
          <w:p>
            <w:pPr>
              <w:spacing w:after="0"/>
              <w:rPr>
                <w:sz w:val="20"/>
                <w:szCs w:val="20"/>
                <w:color w:val="auto"/>
              </w:rPr>
            </w:pPr>
            <w:r>
              <w:rPr>
                <w:rFonts w:ascii="Arial" w:cs="Arial" w:eastAsia="Arial" w:hAnsi="Arial"/>
                <w:sz w:val="18"/>
                <w:szCs w:val="18"/>
                <w:color w:val="auto"/>
              </w:rPr>
              <w:t>Other</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(109)</w:t>
            </w:r>
          </w:p>
        </w:tc>
        <w:tc>
          <w:tcPr>
            <w:tcW w:w="52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0"/>
        </w:trPr>
        <w:tc>
          <w:tcPr>
            <w:tcW w:w="616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r>
      <w:tr>
        <w:trPr>
          <w:trHeight w:val="236"/>
        </w:trPr>
        <w:tc>
          <w:tcPr>
            <w:tcW w:w="6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7"/>
              </w:rPr>
              <w:t>(1,085)</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(1,755)</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-187960</wp:posOffset>
            </wp:positionV>
            <wp:extent cx="474916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5274945</wp:posOffset>
            </wp:positionH>
            <wp:positionV relativeFrom="paragraph">
              <wp:posOffset>-942340</wp:posOffset>
            </wp:positionV>
            <wp:extent cx="13716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76"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Research and Development Expenses</w:t>
      </w:r>
    </w:p>
    <w:p>
      <w:pPr>
        <w:spacing w:after="0" w:line="158" w:lineRule="exact"/>
        <w:rPr>
          <w:sz w:val="20"/>
          <w:szCs w:val="20"/>
          <w:color w:val="auto"/>
        </w:rPr>
      </w:pPr>
    </w:p>
    <w:p>
      <w:pPr>
        <w:ind w:left="1260" w:right="519" w:firstLine="648"/>
        <w:spacing w:after="0" w:line="257" w:lineRule="auto"/>
        <w:rPr>
          <w:sz w:val="20"/>
          <w:szCs w:val="20"/>
          <w:color w:val="auto"/>
        </w:rPr>
      </w:pPr>
      <w:r>
        <w:rPr>
          <w:rFonts w:ascii="Arial" w:cs="Arial" w:eastAsia="Arial" w:hAnsi="Arial"/>
          <w:sz w:val="18"/>
          <w:szCs w:val="18"/>
          <w:color w:val="auto"/>
        </w:rPr>
        <w:t>Research and development costs were €43.2 million for 2019, representing an increase of 4% from €41.7 million in 2018. The increase was primarily attributable to higher personnel expenses offset by reversal of provisions for share-based compensation in 2018.</w:t>
      </w:r>
    </w:p>
    <w:p>
      <w:pPr>
        <w:spacing w:after="0" w:line="2" w:lineRule="exact"/>
        <w:rPr>
          <w:sz w:val="20"/>
          <w:szCs w:val="20"/>
          <w:color w:val="auto"/>
        </w:rPr>
      </w:pPr>
    </w:p>
    <w:p>
      <w:pPr>
        <w:ind w:left="7800"/>
        <w:spacing w:after="0"/>
        <w:rPr>
          <w:sz w:val="20"/>
          <w:szCs w:val="20"/>
          <w:color w:val="auto"/>
        </w:rPr>
      </w:pPr>
      <w:r>
        <w:rPr>
          <w:rFonts w:ascii="Arial" w:cs="Arial" w:eastAsia="Arial" w:hAnsi="Arial"/>
          <w:sz w:val="14"/>
          <w:szCs w:val="14"/>
          <w:b w:val="1"/>
          <w:bCs w:val="1"/>
          <w:color w:val="auto"/>
        </w:rPr>
        <w:t>For the years ended</w:t>
      </w:r>
    </w:p>
    <w:p>
      <w:pPr>
        <w:spacing w:after="0" w:line="17"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4888865</wp:posOffset>
            </wp:positionH>
            <wp:positionV relativeFrom="paragraph">
              <wp:posOffset>22225</wp:posOffset>
            </wp:positionV>
            <wp:extent cx="89154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33" w:lineRule="exact"/>
        <w:rPr>
          <w:sz w:val="20"/>
          <w:szCs w:val="20"/>
          <w:color w:val="auto"/>
        </w:rPr>
      </w:pPr>
    </w:p>
    <w:tbl>
      <w:tblPr>
        <w:tblLayout w:type="fixed"/>
        <w:tblInd w:w="162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96"/>
        </w:trPr>
        <w:tc>
          <w:tcPr>
            <w:tcW w:w="6100" w:type="dxa"/>
            <w:vAlign w:val="bottom"/>
          </w:tcPr>
          <w:p>
            <w:pPr>
              <w:spacing w:after="0"/>
              <w:rPr>
                <w:sz w:val="17"/>
                <w:szCs w:val="17"/>
                <w:color w:val="auto"/>
              </w:rPr>
            </w:pPr>
          </w:p>
        </w:tc>
        <w:tc>
          <w:tcPr>
            <w:tcW w:w="142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w w:val="84"/>
              </w:rPr>
              <w:t>(in thousands of euros)</w:t>
            </w:r>
          </w:p>
        </w:tc>
      </w:tr>
      <w:tr>
        <w:trPr>
          <w:trHeight w:val="235"/>
        </w:trPr>
        <w:tc>
          <w:tcPr>
            <w:tcW w:w="6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Materials</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(5,867)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(4,015)</w:t>
            </w:r>
          </w:p>
        </w:tc>
        <w:tc>
          <w:tcPr>
            <w:tcW w:w="40" w:type="dxa"/>
            <w:vAlign w:val="bottom"/>
          </w:tcPr>
          <w:p>
            <w:pPr>
              <w:spacing w:after="0"/>
              <w:rPr>
                <w:sz w:val="20"/>
                <w:szCs w:val="20"/>
                <w:color w:val="auto"/>
              </w:rPr>
            </w:pPr>
          </w:p>
        </w:tc>
      </w:tr>
      <w:tr>
        <w:trPr>
          <w:trHeight w:val="243"/>
        </w:trPr>
        <w:tc>
          <w:tcPr>
            <w:tcW w:w="6100" w:type="dxa"/>
            <w:vAlign w:val="bottom"/>
          </w:tcPr>
          <w:p>
            <w:pPr>
              <w:spacing w:after="0"/>
              <w:rPr>
                <w:sz w:val="20"/>
                <w:szCs w:val="20"/>
                <w:color w:val="auto"/>
              </w:rPr>
            </w:pPr>
            <w:r>
              <w:rPr>
                <w:rFonts w:ascii="Arial" w:cs="Arial" w:eastAsia="Arial" w:hAnsi="Arial"/>
                <w:sz w:val="18"/>
                <w:szCs w:val="18"/>
                <w:color w:val="auto"/>
              </w:rPr>
              <w:t>Personnel</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(7,565)</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89"/>
              </w:rPr>
              <w:t>(14,385)</w:t>
            </w:r>
          </w:p>
        </w:tc>
      </w:tr>
      <w:tr>
        <w:trPr>
          <w:trHeight w:val="243"/>
        </w:trPr>
        <w:tc>
          <w:tcPr>
            <w:tcW w:w="6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and depreciation</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40" w:type="dxa"/>
            <w:vAlign w:val="bottom"/>
          </w:tcPr>
          <w:p>
            <w:pPr>
              <w:spacing w:after="0"/>
              <w:rPr>
                <w:sz w:val="21"/>
                <w:szCs w:val="21"/>
                <w:color w:val="auto"/>
              </w:rPr>
            </w:pPr>
          </w:p>
        </w:tc>
      </w:tr>
      <w:tr>
        <w:trPr>
          <w:trHeight w:val="243"/>
        </w:trPr>
        <w:tc>
          <w:tcPr>
            <w:tcW w:w="6100" w:type="dxa"/>
            <w:vAlign w:val="bottom"/>
          </w:tcPr>
          <w:p>
            <w:pPr>
              <w:spacing w:after="0"/>
              <w:rPr>
                <w:sz w:val="20"/>
                <w:szCs w:val="20"/>
                <w:color w:val="auto"/>
              </w:rPr>
            </w:pPr>
            <w:r>
              <w:rPr>
                <w:rFonts w:ascii="Arial" w:cs="Arial" w:eastAsia="Arial" w:hAnsi="Arial"/>
                <w:sz w:val="18"/>
                <w:szCs w:val="18"/>
                <w:color w:val="auto"/>
              </w:rPr>
              <w:t>Patents and fees to register a legal right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(4,847)</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(4,551)</w:t>
            </w:r>
          </w:p>
        </w:tc>
      </w:tr>
      <w:tr>
        <w:trPr>
          <w:trHeight w:val="243"/>
        </w:trPr>
        <w:tc>
          <w:tcPr>
            <w:tcW w:w="6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Third-party services</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(19,921)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(18,626)</w:t>
            </w:r>
          </w:p>
        </w:tc>
        <w:tc>
          <w:tcPr>
            <w:tcW w:w="40" w:type="dxa"/>
            <w:vAlign w:val="bottom"/>
          </w:tcPr>
          <w:p>
            <w:pPr>
              <w:spacing w:after="0"/>
              <w:rPr>
                <w:sz w:val="21"/>
                <w:szCs w:val="21"/>
                <w:color w:val="auto"/>
              </w:rPr>
            </w:pPr>
          </w:p>
        </w:tc>
      </w:tr>
      <w:tr>
        <w:trPr>
          <w:trHeight w:val="243"/>
        </w:trPr>
        <w:tc>
          <w:tcPr>
            <w:tcW w:w="6100" w:type="dxa"/>
            <w:vAlign w:val="bottom"/>
          </w:tcPr>
          <w:p>
            <w:pPr>
              <w:spacing w:after="0"/>
              <w:rPr>
                <w:sz w:val="20"/>
                <w:szCs w:val="20"/>
                <w:color w:val="auto"/>
              </w:rPr>
            </w:pPr>
            <w:r>
              <w:rPr>
                <w:rFonts w:ascii="Arial" w:cs="Arial" w:eastAsia="Arial" w:hAnsi="Arial"/>
                <w:sz w:val="18"/>
                <w:szCs w:val="18"/>
                <w:color w:val="auto"/>
              </w:rPr>
              <w:t>Maintenance and lease</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(1,156)</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(670)</w:t>
            </w:r>
          </w:p>
        </w:tc>
      </w:tr>
      <w:tr>
        <w:trPr>
          <w:trHeight w:val="256"/>
        </w:trPr>
        <w:tc>
          <w:tcPr>
            <w:tcW w:w="6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40" w:type="dxa"/>
            <w:vAlign w:val="bottom"/>
          </w:tcPr>
          <w:p>
            <w:pPr>
              <w:spacing w:after="0"/>
              <w:rPr>
                <w:sz w:val="22"/>
                <w:szCs w:val="22"/>
                <w:color w:val="auto"/>
              </w:rPr>
            </w:pPr>
          </w:p>
        </w:tc>
      </w:tr>
      <w:tr>
        <w:trPr>
          <w:trHeight w:val="20"/>
        </w:trPr>
        <w:tc>
          <w:tcPr>
            <w:tcW w:w="61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37"/>
        </w:trPr>
        <w:tc>
          <w:tcPr>
            <w:tcW w:w="61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9"/>
              </w:rPr>
              <w:t>(41,722)</w:t>
            </w:r>
          </w:p>
        </w:tc>
        <w:tc>
          <w:tcPr>
            <w:tcW w:w="620" w:type="dxa"/>
            <w:vAlign w:val="bottom"/>
            <w:gridSpan w:val="3"/>
          </w:tcPr>
          <w:p>
            <w:pPr>
              <w:jc w:val="right"/>
              <w:spacing w:after="0"/>
              <w:rPr>
                <w:sz w:val="20"/>
                <w:szCs w:val="20"/>
                <w:color w:val="auto"/>
              </w:rPr>
            </w:pPr>
            <w:r>
              <w:rPr>
                <w:rFonts w:ascii="Arial" w:cs="Arial" w:eastAsia="Arial" w:hAnsi="Arial"/>
                <w:sz w:val="18"/>
                <w:szCs w:val="18"/>
                <w:b w:val="1"/>
                <w:bCs w:val="1"/>
                <w:color w:val="auto"/>
                <w:w w:val="89"/>
              </w:rPr>
              <w:t>(43,242)</w:t>
            </w:r>
          </w:p>
        </w:tc>
      </w:tr>
      <w:tr>
        <w:trPr>
          <w:trHeight w:val="20"/>
        </w:trPr>
        <w:tc>
          <w:tcPr>
            <w:tcW w:w="6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5772150</wp:posOffset>
            </wp:positionH>
            <wp:positionV relativeFrom="paragraph">
              <wp:posOffset>-187960</wp:posOffset>
            </wp:positionV>
            <wp:extent cx="88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5266055</wp:posOffset>
            </wp:positionH>
            <wp:positionV relativeFrom="paragraph">
              <wp:posOffset>-1405255</wp:posOffset>
            </wp:positionV>
            <wp:extent cx="1371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9" w:lineRule="exact"/>
        <w:rPr>
          <w:sz w:val="20"/>
          <w:szCs w:val="20"/>
          <w:color w:val="auto"/>
        </w:rPr>
      </w:pPr>
    </w:p>
    <w:p>
      <w:pPr>
        <w:ind w:left="1260" w:right="939" w:firstLine="648"/>
        <w:spacing w:after="0" w:line="277" w:lineRule="auto"/>
        <w:rPr>
          <w:sz w:val="20"/>
          <w:szCs w:val="20"/>
          <w:color w:val="auto"/>
        </w:rPr>
      </w:pPr>
      <w:r>
        <w:rPr>
          <w:rFonts w:ascii="Arial" w:cs="Arial" w:eastAsia="Arial" w:hAnsi="Arial"/>
          <w:sz w:val="18"/>
          <w:szCs w:val="18"/>
          <w:color w:val="auto"/>
        </w:rPr>
        <w:t>The following table reflects our research and development costs for each of our programs for the years ended December 31, 2018 and 2019:</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4" w:name="page115"/>
    <w:bookmarkEnd w:id="1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7800"/>
        <w:spacing w:after="0"/>
        <w:rPr>
          <w:sz w:val="20"/>
          <w:szCs w:val="20"/>
          <w:color w:val="auto"/>
        </w:rPr>
      </w:pPr>
      <w:r>
        <w:rPr>
          <w:rFonts w:ascii="Arial" w:cs="Arial" w:eastAsia="Arial" w:hAnsi="Arial"/>
          <w:sz w:val="14"/>
          <w:szCs w:val="14"/>
          <w:b w:val="1"/>
          <w:bCs w:val="1"/>
          <w:color w:val="auto"/>
        </w:rPr>
        <w:t>For the years ended</w:t>
      </w:r>
    </w:p>
    <w:p>
      <w:pPr>
        <w:spacing w:after="0" w:line="17"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4888865</wp:posOffset>
            </wp:positionH>
            <wp:positionV relativeFrom="paragraph">
              <wp:posOffset>22225</wp:posOffset>
            </wp:positionV>
            <wp:extent cx="89154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4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560" w:type="dxa"/>
            <w:vAlign w:val="bottom"/>
          </w:tcPr>
          <w:p>
            <w:pPr>
              <w:jc w:val="right"/>
              <w:ind w:right="55"/>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6"/>
                <w:szCs w:val="16"/>
                <w:color w:val="auto"/>
              </w:rPr>
            </w:pPr>
          </w:p>
        </w:tc>
        <w:tc>
          <w:tcPr>
            <w:tcW w:w="560" w:type="dxa"/>
            <w:vAlign w:val="bottom"/>
          </w:tcPr>
          <w:p>
            <w:pPr>
              <w:jc w:val="right"/>
              <w:ind w:right="5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r>
      <w:tr>
        <w:trPr>
          <w:trHeight w:val="26"/>
        </w:trPr>
        <w:tc>
          <w:tcPr>
            <w:tcW w:w="3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60" w:type="dxa"/>
            <w:vAlign w:val="bottom"/>
          </w:tcPr>
          <w:p>
            <w:pPr>
              <w:spacing w:after="0"/>
              <w:rPr>
                <w:sz w:val="2"/>
                <w:szCs w:val="2"/>
                <w:color w:val="auto"/>
              </w:rPr>
            </w:pPr>
          </w:p>
        </w:tc>
      </w:tr>
      <w:tr>
        <w:trPr>
          <w:trHeight w:val="197"/>
        </w:trPr>
        <w:tc>
          <w:tcPr>
            <w:tcW w:w="3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4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84"/>
              </w:rPr>
              <w:t>(in thousands of euros)</w:t>
            </w:r>
          </w:p>
        </w:tc>
      </w:tr>
      <w:tr>
        <w:trPr>
          <w:trHeight w:val="26"/>
        </w:trPr>
        <w:tc>
          <w:tcPr>
            <w:tcW w:w="2600" w:type="dxa"/>
            <w:vAlign w:val="bottom"/>
            <w:gridSpan w:val="2"/>
          </w:tcPr>
          <w:p>
            <w:pPr>
              <w:spacing w:after="0"/>
              <w:rPr>
                <w:sz w:val="2"/>
                <w:szCs w:val="2"/>
                <w:color w:val="auto"/>
              </w:rPr>
            </w:pPr>
          </w:p>
        </w:tc>
        <w:tc>
          <w:tcPr>
            <w:tcW w:w="3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7"/>
        </w:trPr>
        <w:tc>
          <w:tcPr>
            <w:tcW w:w="360" w:type="dxa"/>
            <w:vAlign w:val="bottom"/>
          </w:tcPr>
          <w:p>
            <w:pPr>
              <w:spacing w:after="0"/>
              <w:rPr>
                <w:sz w:val="22"/>
                <w:szCs w:val="22"/>
                <w:color w:val="auto"/>
              </w:rPr>
            </w:pPr>
          </w:p>
        </w:tc>
        <w:tc>
          <w:tcPr>
            <w:tcW w:w="61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Key Programs (CV8102 and CV7202)</w:t>
            </w:r>
          </w:p>
        </w:tc>
        <w:tc>
          <w:tcPr>
            <w:tcW w:w="5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60" w:type="dxa"/>
            <w:vAlign w:val="bottom"/>
            <w:tcBorders>
              <w:left w:val="single" w:sz="8" w:color="CCEEFF"/>
            </w:tcBorders>
          </w:tcPr>
          <w:p>
            <w:pPr>
              <w:spacing w:after="0"/>
              <w:rPr>
                <w:sz w:val="22"/>
                <w:szCs w:val="22"/>
                <w:color w:val="auto"/>
              </w:rPr>
            </w:pPr>
          </w:p>
        </w:tc>
      </w:tr>
      <w:tr>
        <w:trPr>
          <w:trHeight w:val="257"/>
        </w:trPr>
        <w:tc>
          <w:tcPr>
            <w:tcW w:w="360" w:type="dxa"/>
            <w:vAlign w:val="bottom"/>
          </w:tcPr>
          <w:p>
            <w:pPr>
              <w:spacing w:after="0"/>
              <w:rPr>
                <w:sz w:val="22"/>
                <w:szCs w:val="22"/>
                <w:color w:val="auto"/>
              </w:rPr>
            </w:pPr>
          </w:p>
        </w:tc>
        <w:tc>
          <w:tcPr>
            <w:tcW w:w="6100" w:type="dxa"/>
            <w:vAlign w:val="bottom"/>
            <w:gridSpan w:val="2"/>
          </w:tcPr>
          <w:p>
            <w:pPr>
              <w:ind w:left="180"/>
              <w:spacing w:after="0"/>
              <w:rPr>
                <w:sz w:val="20"/>
                <w:szCs w:val="20"/>
                <w:color w:val="auto"/>
              </w:rPr>
            </w:pPr>
            <w:r>
              <w:rPr>
                <w:rFonts w:ascii="Arial" w:cs="Arial" w:eastAsia="Arial" w:hAnsi="Arial"/>
                <w:sz w:val="18"/>
                <w:szCs w:val="18"/>
                <w:color w:val="auto"/>
              </w:rPr>
              <w:t>CV8102</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(1,525)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(4,511)</w:t>
            </w:r>
          </w:p>
        </w:tc>
      </w:tr>
      <w:tr>
        <w:trPr>
          <w:trHeight w:val="256"/>
        </w:trPr>
        <w:tc>
          <w:tcPr>
            <w:tcW w:w="360" w:type="dxa"/>
            <w:vAlign w:val="bottom"/>
          </w:tcPr>
          <w:p>
            <w:pPr>
              <w:spacing w:after="0"/>
              <w:rPr>
                <w:sz w:val="22"/>
                <w:szCs w:val="22"/>
                <w:color w:val="auto"/>
              </w:rPr>
            </w:pPr>
          </w:p>
        </w:tc>
        <w:tc>
          <w:tcPr>
            <w:tcW w:w="61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CV7202</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(2,236)</w:t>
            </w:r>
          </w:p>
        </w:tc>
        <w:tc>
          <w:tcPr>
            <w:tcW w:w="60" w:type="dxa"/>
            <w:vAlign w:val="bottom"/>
            <w:tcBorders>
              <w:left w:val="single" w:sz="8" w:color="CCEEFF"/>
            </w:tcBorders>
          </w:tcPr>
          <w:p>
            <w:pPr>
              <w:spacing w:after="0"/>
              <w:rPr>
                <w:sz w:val="22"/>
                <w:szCs w:val="22"/>
                <w:color w:val="auto"/>
              </w:rPr>
            </w:pPr>
          </w:p>
        </w:tc>
      </w:tr>
      <w:tr>
        <w:trPr>
          <w:trHeight w:val="257"/>
        </w:trPr>
        <w:tc>
          <w:tcPr>
            <w:tcW w:w="6460" w:type="dxa"/>
            <w:vAlign w:val="bottom"/>
            <w:gridSpan w:val="3"/>
          </w:tcPr>
          <w:p>
            <w:pPr>
              <w:ind w:left="360"/>
              <w:spacing w:after="0"/>
              <w:rPr>
                <w:sz w:val="20"/>
                <w:szCs w:val="20"/>
                <w:color w:val="auto"/>
              </w:rPr>
            </w:pPr>
            <w:r>
              <w:rPr>
                <w:rFonts w:ascii="Arial" w:cs="Arial" w:eastAsia="Arial" w:hAnsi="Arial"/>
                <w:sz w:val="18"/>
                <w:szCs w:val="18"/>
                <w:color w:val="auto"/>
              </w:rPr>
              <w:t>Other Research and Development Programs</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(14,047)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(14,271)</w:t>
            </w:r>
          </w:p>
        </w:tc>
      </w:tr>
      <w:tr>
        <w:trPr>
          <w:trHeight w:val="283"/>
        </w:trPr>
        <w:tc>
          <w:tcPr>
            <w:tcW w:w="360" w:type="dxa"/>
            <w:vAlign w:val="bottom"/>
          </w:tcPr>
          <w:p>
            <w:pPr>
              <w:spacing w:after="0"/>
              <w:rPr>
                <w:sz w:val="24"/>
                <w:szCs w:val="24"/>
                <w:color w:val="auto"/>
              </w:rPr>
            </w:pPr>
          </w:p>
        </w:tc>
        <w:tc>
          <w:tcPr>
            <w:tcW w:w="6100" w:type="dxa"/>
            <w:vAlign w:val="bottom"/>
            <w:tcBorders>
              <w:right w:val="single" w:sz="8" w:color="CCEEFF"/>
            </w:tcBorders>
            <w:gridSpan w:val="2"/>
            <w:shd w:val="clear" w:color="auto" w:fill="CCEEFF"/>
          </w:tcPr>
          <w:p>
            <w:pPr>
              <w:spacing w:after="0" w:line="283" w:lineRule="exact"/>
              <w:rPr>
                <w:sz w:val="20"/>
                <w:szCs w:val="20"/>
                <w:color w:val="auto"/>
              </w:rPr>
            </w:pPr>
            <w:r>
              <w:rPr>
                <w:rFonts w:ascii="Arial" w:cs="Arial" w:eastAsia="Arial" w:hAnsi="Arial"/>
                <w:sz w:val="18"/>
                <w:szCs w:val="18"/>
                <w:color w:val="auto"/>
              </w:rPr>
              <w:t>Unallocated costs</w:t>
            </w:r>
            <w:r>
              <w:rPr>
                <w:rFonts w:ascii="Arial" w:cs="Arial" w:eastAsia="Arial" w:hAnsi="Arial"/>
                <w:sz w:val="26"/>
                <w:szCs w:val="26"/>
                <w:color w:val="auto"/>
                <w:vertAlign w:val="superscript"/>
              </w:rPr>
              <w:t>(1)</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(24,163)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(22,224)</w:t>
            </w:r>
          </w:p>
        </w:tc>
        <w:tc>
          <w:tcPr>
            <w:tcW w:w="60" w:type="dxa"/>
            <w:vAlign w:val="bottom"/>
            <w:tcBorders>
              <w:left w:val="single" w:sz="8" w:color="CCEEFF"/>
            </w:tcBorders>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386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360" w:type="dxa"/>
            <w:vAlign w:val="bottom"/>
          </w:tcPr>
          <w:p>
            <w:pPr>
              <w:spacing w:after="0"/>
              <w:rPr>
                <w:sz w:val="22"/>
                <w:szCs w:val="22"/>
                <w:color w:val="auto"/>
              </w:rPr>
            </w:pPr>
          </w:p>
        </w:tc>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9"/>
              </w:rPr>
              <w:t>(41,722)</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(43,242)</w:t>
            </w:r>
          </w:p>
        </w:tc>
      </w:tr>
      <w:tr>
        <w:trPr>
          <w:trHeight w:val="20"/>
        </w:trPr>
        <w:tc>
          <w:tcPr>
            <w:tcW w:w="3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5"/>
        </w:trPr>
        <w:tc>
          <w:tcPr>
            <w:tcW w:w="360" w:type="dxa"/>
            <w:vAlign w:val="bottom"/>
            <w:tcBorders>
              <w:bottom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38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5772150</wp:posOffset>
            </wp:positionH>
            <wp:positionV relativeFrom="paragraph">
              <wp:posOffset>-282575</wp:posOffset>
            </wp:positionV>
            <wp:extent cx="88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5266055</wp:posOffset>
            </wp:positionH>
            <wp:positionV relativeFrom="paragraph">
              <wp:posOffset>-1268095</wp:posOffset>
            </wp:positionV>
            <wp:extent cx="1371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4" w:lineRule="exact"/>
        <w:rPr>
          <w:sz w:val="20"/>
          <w:szCs w:val="20"/>
          <w:color w:val="auto"/>
        </w:rPr>
      </w:pPr>
    </w:p>
    <w:p>
      <w:pPr>
        <w:jc w:val="both"/>
        <w:ind w:left="1900" w:right="459" w:hanging="640"/>
        <w:spacing w:after="0" w:line="263" w:lineRule="auto"/>
        <w:tabs>
          <w:tab w:leader="none" w:pos="1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Unallocated costs primarily consist of costs associated with personnel expenses, patents and fees to register a legal right, amortization and depreciation, maintenance and lease expenses, certain third-party service expenses and certain material expenses.</w:t>
      </w:r>
    </w:p>
    <w:p>
      <w:pPr>
        <w:spacing w:after="0" w:line="183" w:lineRule="exact"/>
        <w:rPr>
          <w:rFonts w:ascii="Arial" w:cs="Arial" w:eastAsia="Arial" w:hAnsi="Arial"/>
          <w:sz w:val="18"/>
          <w:szCs w:val="18"/>
          <w:color w:val="auto"/>
        </w:rPr>
      </w:pPr>
    </w:p>
    <w:p>
      <w:pPr>
        <w:ind w:left="1900"/>
        <w:spacing w:after="0"/>
        <w:rPr>
          <w:rFonts w:ascii="Arial" w:cs="Arial" w:eastAsia="Arial" w:hAnsi="Arial"/>
          <w:sz w:val="18"/>
          <w:szCs w:val="18"/>
          <w:color w:val="auto"/>
        </w:rPr>
      </w:pPr>
      <w:r>
        <w:rPr>
          <w:rFonts w:ascii="Arial" w:cs="Arial" w:eastAsia="Arial" w:hAnsi="Arial"/>
          <w:sz w:val="18"/>
          <w:szCs w:val="18"/>
          <w:i w:val="1"/>
          <w:iCs w:val="1"/>
          <w:color w:val="auto"/>
        </w:rPr>
        <w:t>General and Administrative Expenses</w:t>
      </w:r>
    </w:p>
    <w:p>
      <w:pPr>
        <w:spacing w:after="0" w:line="158" w:lineRule="exact"/>
        <w:rPr>
          <w:sz w:val="20"/>
          <w:szCs w:val="20"/>
          <w:color w:val="auto"/>
        </w:rPr>
      </w:pPr>
    </w:p>
    <w:p>
      <w:pPr>
        <w:ind w:left="1260" w:right="799" w:firstLine="648"/>
        <w:spacing w:after="0" w:line="263" w:lineRule="auto"/>
        <w:rPr>
          <w:sz w:val="20"/>
          <w:szCs w:val="20"/>
          <w:color w:val="auto"/>
        </w:rPr>
      </w:pPr>
      <w:r>
        <w:rPr>
          <w:rFonts w:ascii="Arial" w:cs="Arial" w:eastAsia="Arial" w:hAnsi="Arial"/>
          <w:sz w:val="18"/>
          <w:szCs w:val="18"/>
          <w:color w:val="auto"/>
        </w:rPr>
        <w:t>General and administrative expenses were €49.0 million for 2019, representing an increase of €23.7 million, or 94%, from €25.3 million in 2018. The increase was primarily attributable to increased personnel expenses resulting from share-based compensation.</w:t>
      </w:r>
    </w:p>
    <w:p>
      <w:pPr>
        <w:spacing w:after="0" w:line="135" w:lineRule="exact"/>
        <w:rPr>
          <w:sz w:val="20"/>
          <w:szCs w:val="20"/>
          <w:color w:val="auto"/>
        </w:rPr>
      </w:pPr>
    </w:p>
    <w:p>
      <w:pPr>
        <w:ind w:left="7800"/>
        <w:spacing w:after="0"/>
        <w:rPr>
          <w:sz w:val="20"/>
          <w:szCs w:val="20"/>
          <w:color w:val="auto"/>
        </w:rPr>
      </w:pPr>
      <w:r>
        <w:rPr>
          <w:rFonts w:ascii="Arial" w:cs="Arial" w:eastAsia="Arial" w:hAnsi="Arial"/>
          <w:sz w:val="14"/>
          <w:szCs w:val="14"/>
          <w:b w:val="1"/>
          <w:bCs w:val="1"/>
          <w:color w:val="auto"/>
        </w:rPr>
        <w:t>For the years ended</w:t>
      </w:r>
    </w:p>
    <w:p>
      <w:pPr>
        <w:spacing w:after="0" w:line="17"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4888865</wp:posOffset>
            </wp:positionH>
            <wp:positionV relativeFrom="paragraph">
              <wp:posOffset>22225</wp:posOffset>
            </wp:positionV>
            <wp:extent cx="89154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4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6"/>
                <w:szCs w:val="16"/>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r>
      <w:tr>
        <w:trPr>
          <w:trHeight w:val="26"/>
        </w:trPr>
        <w:tc>
          <w:tcPr>
            <w:tcW w:w="6100" w:type="dxa"/>
            <w:vAlign w:val="bottom"/>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40" w:type="dxa"/>
            <w:vAlign w:val="bottom"/>
          </w:tcPr>
          <w:p>
            <w:pPr>
              <w:spacing w:after="0"/>
              <w:rPr>
                <w:sz w:val="2"/>
                <w:szCs w:val="2"/>
                <w:color w:val="auto"/>
              </w:rPr>
            </w:pPr>
          </w:p>
        </w:tc>
      </w:tr>
      <w:tr>
        <w:trPr>
          <w:trHeight w:val="198"/>
        </w:trPr>
        <w:tc>
          <w:tcPr>
            <w:tcW w:w="6100" w:type="dxa"/>
            <w:vAlign w:val="bottom"/>
          </w:tcPr>
          <w:p>
            <w:pPr>
              <w:spacing w:after="0"/>
              <w:rPr>
                <w:sz w:val="17"/>
                <w:szCs w:val="17"/>
                <w:color w:val="auto"/>
              </w:rPr>
            </w:pPr>
          </w:p>
        </w:tc>
        <w:tc>
          <w:tcPr>
            <w:tcW w:w="14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84"/>
              </w:rPr>
              <w:t>(in thousands of euros)</w:t>
            </w:r>
          </w:p>
        </w:tc>
      </w:tr>
      <w:tr>
        <w:trPr>
          <w:trHeight w:val="25"/>
        </w:trPr>
        <w:tc>
          <w:tcPr>
            <w:tcW w:w="6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7"/>
        </w:trPr>
        <w:tc>
          <w:tcPr>
            <w:tcW w:w="6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Personnel</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(10,084)</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3"/>
              </w:rPr>
              <w:t>(31,645)</w:t>
            </w:r>
          </w:p>
        </w:tc>
        <w:tc>
          <w:tcPr>
            <w:tcW w:w="40" w:type="dxa"/>
            <w:vAlign w:val="bottom"/>
          </w:tcPr>
          <w:p>
            <w:pPr>
              <w:spacing w:after="0"/>
              <w:rPr>
                <w:sz w:val="22"/>
                <w:szCs w:val="22"/>
                <w:color w:val="auto"/>
              </w:rPr>
            </w:pPr>
          </w:p>
        </w:tc>
      </w:tr>
      <w:tr>
        <w:trPr>
          <w:trHeight w:val="256"/>
        </w:trPr>
        <w:tc>
          <w:tcPr>
            <w:tcW w:w="6100" w:type="dxa"/>
            <w:vAlign w:val="bottom"/>
          </w:tcPr>
          <w:p>
            <w:pPr>
              <w:spacing w:after="0"/>
              <w:rPr>
                <w:sz w:val="20"/>
                <w:szCs w:val="20"/>
                <w:color w:val="auto"/>
              </w:rPr>
            </w:pPr>
            <w:r>
              <w:rPr>
                <w:rFonts w:ascii="Arial" w:cs="Arial" w:eastAsia="Arial" w:hAnsi="Arial"/>
                <w:sz w:val="18"/>
                <w:szCs w:val="18"/>
                <w:color w:val="auto"/>
              </w:rPr>
              <w:t>Maintenance and lease costs</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(3,239)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(4,604)</w:t>
            </w:r>
          </w:p>
        </w:tc>
      </w:tr>
      <w:tr>
        <w:trPr>
          <w:trHeight w:val="257"/>
        </w:trPr>
        <w:tc>
          <w:tcPr>
            <w:tcW w:w="6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Third-party services</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(4,006)</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(5,970)</w:t>
            </w:r>
          </w:p>
        </w:tc>
        <w:tc>
          <w:tcPr>
            <w:tcW w:w="40" w:type="dxa"/>
            <w:vAlign w:val="bottom"/>
          </w:tcPr>
          <w:p>
            <w:pPr>
              <w:spacing w:after="0"/>
              <w:rPr>
                <w:sz w:val="22"/>
                <w:szCs w:val="22"/>
                <w:color w:val="auto"/>
              </w:rPr>
            </w:pPr>
          </w:p>
        </w:tc>
      </w:tr>
      <w:tr>
        <w:trPr>
          <w:trHeight w:val="257"/>
        </w:trPr>
        <w:tc>
          <w:tcPr>
            <w:tcW w:w="6100" w:type="dxa"/>
            <w:vAlign w:val="bottom"/>
          </w:tcPr>
          <w:p>
            <w:pPr>
              <w:spacing w:after="0"/>
              <w:rPr>
                <w:sz w:val="20"/>
                <w:szCs w:val="20"/>
                <w:color w:val="auto"/>
              </w:rPr>
            </w:pPr>
            <w:r>
              <w:rPr>
                <w:rFonts w:ascii="Arial" w:cs="Arial" w:eastAsia="Arial" w:hAnsi="Arial"/>
                <w:sz w:val="18"/>
                <w:szCs w:val="18"/>
                <w:color w:val="auto"/>
              </w:rPr>
              <w:t>Legal and other professional services</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(4,078)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(2,110)</w:t>
            </w:r>
          </w:p>
        </w:tc>
      </w:tr>
      <w:tr>
        <w:trPr>
          <w:trHeight w:val="256"/>
        </w:trPr>
        <w:tc>
          <w:tcPr>
            <w:tcW w:w="6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and depreciation</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(1,635)</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(2,182)</w:t>
            </w:r>
          </w:p>
        </w:tc>
        <w:tc>
          <w:tcPr>
            <w:tcW w:w="40" w:type="dxa"/>
            <w:vAlign w:val="bottom"/>
          </w:tcPr>
          <w:p>
            <w:pPr>
              <w:spacing w:after="0"/>
              <w:rPr>
                <w:sz w:val="22"/>
                <w:szCs w:val="22"/>
                <w:color w:val="auto"/>
              </w:rPr>
            </w:pPr>
          </w:p>
        </w:tc>
      </w:tr>
      <w:tr>
        <w:trPr>
          <w:trHeight w:val="263"/>
        </w:trPr>
        <w:tc>
          <w:tcPr>
            <w:tcW w:w="6100" w:type="dxa"/>
            <w:vAlign w:val="bottom"/>
          </w:tcPr>
          <w:p>
            <w:pPr>
              <w:spacing w:after="0"/>
              <w:rPr>
                <w:sz w:val="20"/>
                <w:szCs w:val="20"/>
                <w:color w:val="auto"/>
              </w:rPr>
            </w:pPr>
            <w:r>
              <w:rPr>
                <w:rFonts w:ascii="Arial" w:cs="Arial" w:eastAsia="Arial" w:hAnsi="Arial"/>
                <w:sz w:val="18"/>
                <w:szCs w:val="18"/>
                <w:color w:val="auto"/>
              </w:rPr>
              <w:t>Other</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(2,247)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(2,458)</w:t>
            </w:r>
          </w:p>
        </w:tc>
      </w:tr>
      <w:tr>
        <w:trPr>
          <w:trHeight w:val="20"/>
        </w:trPr>
        <w:tc>
          <w:tcPr>
            <w:tcW w:w="61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6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9"/>
              </w:rPr>
              <w:t>(25,289)</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(48,969)</w:t>
            </w:r>
          </w:p>
        </w:tc>
        <w:tc>
          <w:tcPr>
            <w:tcW w:w="40" w:type="dxa"/>
            <w:vAlign w:val="bottom"/>
          </w:tcPr>
          <w:p>
            <w:pPr>
              <w:spacing w:after="0"/>
              <w:rPr>
                <w:sz w:val="22"/>
                <w:szCs w:val="22"/>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-205105</wp:posOffset>
            </wp:positionV>
            <wp:extent cx="474916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5266055</wp:posOffset>
            </wp:positionH>
            <wp:positionV relativeFrom="paragraph">
              <wp:posOffset>-1345565</wp:posOffset>
            </wp:positionV>
            <wp:extent cx="1371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76"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Other Operating Income</w:t>
      </w:r>
    </w:p>
    <w:p>
      <w:pPr>
        <w:spacing w:after="0" w:line="144" w:lineRule="exact"/>
        <w:rPr>
          <w:sz w:val="20"/>
          <w:szCs w:val="20"/>
          <w:color w:val="auto"/>
        </w:rPr>
      </w:pPr>
    </w:p>
    <w:p>
      <w:pPr>
        <w:ind w:left="1260" w:right="699" w:firstLine="648"/>
        <w:spacing w:after="0" w:line="263" w:lineRule="auto"/>
        <w:rPr>
          <w:sz w:val="20"/>
          <w:szCs w:val="20"/>
          <w:color w:val="auto"/>
        </w:rPr>
      </w:pPr>
      <w:r>
        <w:rPr>
          <w:rFonts w:ascii="Arial" w:cs="Arial" w:eastAsia="Arial" w:hAnsi="Arial"/>
          <w:sz w:val="18"/>
          <w:szCs w:val="18"/>
          <w:color w:val="auto"/>
        </w:rPr>
        <w:t>Other operating income was €5.6 million in 2019, representing an increase of €4.8 million, from €0.8 million for 2018. The increase was due to an increase in amounts recognized from grants from government agencies and similar bodies.</w:t>
      </w:r>
    </w:p>
    <w:p>
      <w:pPr>
        <w:spacing w:after="0" w:line="184"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Other Operating Expense</w:t>
      </w:r>
    </w:p>
    <w:p>
      <w:pPr>
        <w:spacing w:after="0" w:line="158" w:lineRule="exact"/>
        <w:rPr>
          <w:sz w:val="20"/>
          <w:szCs w:val="20"/>
          <w:color w:val="auto"/>
        </w:rPr>
      </w:pPr>
    </w:p>
    <w:p>
      <w:pPr>
        <w:ind w:left="1260" w:right="559" w:firstLine="648"/>
        <w:spacing w:after="0" w:line="308" w:lineRule="auto"/>
        <w:rPr>
          <w:sz w:val="20"/>
          <w:szCs w:val="20"/>
          <w:color w:val="auto"/>
        </w:rPr>
      </w:pPr>
      <w:r>
        <w:rPr>
          <w:rFonts w:ascii="Arial" w:cs="Arial" w:eastAsia="Arial" w:hAnsi="Arial"/>
          <w:sz w:val="17"/>
          <w:szCs w:val="17"/>
          <w:color w:val="auto"/>
        </w:rPr>
        <w:t>Other operating expense was €0.6 million in 2019 and was relatively unchanged from 2018. Other operating expense related primarily to compensation expense for our supervisory board in both years.</w:t>
      </w:r>
    </w:p>
    <w:p>
      <w:pPr>
        <w:spacing w:after="0" w:line="146"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Finance Income</w:t>
      </w:r>
    </w:p>
    <w:p>
      <w:pPr>
        <w:spacing w:after="0" w:line="158" w:lineRule="exact"/>
        <w:rPr>
          <w:sz w:val="20"/>
          <w:szCs w:val="20"/>
          <w:color w:val="auto"/>
        </w:rPr>
      </w:pPr>
    </w:p>
    <w:p>
      <w:pPr>
        <w:ind w:left="1260" w:right="719" w:firstLine="648"/>
        <w:spacing w:after="0" w:line="308" w:lineRule="auto"/>
        <w:rPr>
          <w:sz w:val="20"/>
          <w:szCs w:val="20"/>
          <w:color w:val="auto"/>
        </w:rPr>
      </w:pPr>
      <w:r>
        <w:rPr>
          <w:rFonts w:ascii="Arial" w:cs="Arial" w:eastAsia="Arial" w:hAnsi="Arial"/>
          <w:sz w:val="17"/>
          <w:szCs w:val="17"/>
          <w:color w:val="auto"/>
        </w:rPr>
        <w:t>Finance income was €0.8 million in 2019, representing a decrease of €1.1 million, or 58%, from €2.0 million. The decrease was mainly attributable to higher unrealized foreign exchange gains in 2018.</w:t>
      </w:r>
    </w:p>
    <w:p>
      <w:pPr>
        <w:spacing w:after="0" w:line="146"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Finance Expenses</w:t>
      </w:r>
    </w:p>
    <w:p>
      <w:pPr>
        <w:spacing w:after="0" w:line="144" w:lineRule="exact"/>
        <w:rPr>
          <w:sz w:val="20"/>
          <w:szCs w:val="20"/>
          <w:color w:val="auto"/>
        </w:rPr>
      </w:pPr>
    </w:p>
    <w:p>
      <w:pPr>
        <w:ind w:left="1260" w:right="759" w:firstLine="648"/>
        <w:spacing w:after="0" w:line="277" w:lineRule="auto"/>
        <w:rPr>
          <w:sz w:val="20"/>
          <w:szCs w:val="20"/>
          <w:color w:val="auto"/>
        </w:rPr>
      </w:pPr>
      <w:r>
        <w:rPr>
          <w:rFonts w:ascii="Arial" w:cs="Arial" w:eastAsia="Arial" w:hAnsi="Arial"/>
          <w:sz w:val="18"/>
          <w:szCs w:val="18"/>
          <w:color w:val="auto"/>
        </w:rPr>
        <w:t>Finance expenses were €1.5 million in 2019, representing an increase of €1.2 million, or 500%, from €0.3 million for 2018. The increase related to interest on convertible loans in 2019.</w:t>
      </w:r>
    </w:p>
    <w:p>
      <w:pPr>
        <w:sectPr>
          <w:pgSz w:w="11900" w:h="16838" w:orient="portrait"/>
          <w:cols w:equalWidth="0" w:num="1">
            <w:col w:w="9879"/>
          </w:cols>
          <w:pgMar w:left="580" w:top="131"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5" w:name="page116"/>
    <w:bookmarkEnd w:id="1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Income Tax Benefit (Expense)</w:t>
      </w:r>
    </w:p>
    <w:p>
      <w:pPr>
        <w:spacing w:after="0" w:line="158" w:lineRule="exact"/>
        <w:rPr>
          <w:sz w:val="20"/>
          <w:szCs w:val="20"/>
          <w:color w:val="auto"/>
        </w:rPr>
      </w:pPr>
    </w:p>
    <w:p>
      <w:pPr>
        <w:jc w:val="both"/>
        <w:ind w:left="1260" w:right="439" w:firstLine="648"/>
        <w:spacing w:after="0" w:line="248" w:lineRule="auto"/>
        <w:rPr>
          <w:sz w:val="20"/>
          <w:szCs w:val="20"/>
          <w:color w:val="auto"/>
        </w:rPr>
      </w:pPr>
      <w:r>
        <w:rPr>
          <w:rFonts w:ascii="Arial" w:cs="Arial" w:eastAsia="Arial" w:hAnsi="Arial"/>
          <w:sz w:val="18"/>
          <w:szCs w:val="18"/>
          <w:color w:val="auto"/>
        </w:rPr>
        <w:t>An income tax benefit of € 0.3 million was generated in 2019 compared to an income tax expense of €(0.1) million in 2018. The income tax benefit in 2019 results from income tax expenses from CureVac Inc., offset by recognition of deferred tax benefits relating to tax loss carryforwards.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ind w:left="1260" w:right="639" w:firstLine="648"/>
        <w:spacing w:after="0" w:line="261" w:lineRule="auto"/>
        <w:rPr>
          <w:sz w:val="20"/>
          <w:szCs w:val="20"/>
          <w:color w:val="auto"/>
        </w:rPr>
      </w:pPr>
      <w:r>
        <w:rPr>
          <w:rFonts w:ascii="Arial" w:cs="Arial" w:eastAsia="Arial" w:hAnsi="Arial"/>
          <w:sz w:val="18"/>
          <w:szCs w:val="18"/>
          <w:color w:val="auto"/>
        </w:rPr>
        <w:t>Our financial condition and liquidity is and will continue to be influenced by a variety of factors, including:</w:t>
      </w:r>
    </w:p>
    <w:p>
      <w:pPr>
        <w:spacing w:after="0" w:line="49" w:lineRule="exact"/>
        <w:rPr>
          <w:sz w:val="20"/>
          <w:szCs w:val="20"/>
          <w:color w:val="auto"/>
        </w:rPr>
      </w:pPr>
    </w:p>
    <w:p>
      <w:pPr>
        <w:ind w:left="2260" w:hanging="352"/>
        <w:spacing w:after="0"/>
        <w:tabs>
          <w:tab w:leader="none" w:pos="2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ability to generate cash flows from our operations;</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future indebtedness and the interest we are obligated to pay on this indebtedness;</w:t>
      </w:r>
    </w:p>
    <w:p>
      <w:pPr>
        <w:spacing w:after="0" w:line="103" w:lineRule="exact"/>
        <w:rPr>
          <w:rFonts w:ascii="Arial" w:cs="Arial" w:eastAsia="Arial" w:hAnsi="Arial"/>
          <w:sz w:val="18"/>
          <w:szCs w:val="18"/>
          <w:color w:val="auto"/>
        </w:rPr>
      </w:pPr>
    </w:p>
    <w:p>
      <w:pPr>
        <w:ind w:left="2260" w:hanging="352"/>
        <w:spacing w:after="0"/>
        <w:tabs>
          <w:tab w:leader="none" w:pos="2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availability of public and private debt and equity financing;</w:t>
      </w:r>
    </w:p>
    <w:p>
      <w:pPr>
        <w:spacing w:after="0" w:line="117" w:lineRule="exact"/>
        <w:rPr>
          <w:rFonts w:ascii="Arial" w:cs="Arial" w:eastAsia="Arial" w:hAnsi="Arial"/>
          <w:sz w:val="18"/>
          <w:szCs w:val="18"/>
          <w:color w:val="auto"/>
        </w:rPr>
      </w:pPr>
    </w:p>
    <w:p>
      <w:pPr>
        <w:ind w:left="2260" w:right="799" w:hanging="352"/>
        <w:spacing w:after="0" w:line="277" w:lineRule="auto"/>
        <w:tabs>
          <w:tab w:leader="none" w:pos="2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changes in exchange rates which will impact our generation of cash flows from operations when measured in euros; and</w:t>
      </w:r>
    </w:p>
    <w:p>
      <w:pPr>
        <w:spacing w:after="0" w:line="62" w:lineRule="exact"/>
        <w:rPr>
          <w:rFonts w:ascii="Arial" w:cs="Arial" w:eastAsia="Arial" w:hAnsi="Arial"/>
          <w:sz w:val="18"/>
          <w:szCs w:val="18"/>
          <w:color w:val="auto"/>
        </w:rPr>
      </w:pPr>
    </w:p>
    <w:p>
      <w:pPr>
        <w:ind w:left="2260" w:hanging="352"/>
        <w:spacing w:after="0"/>
        <w:tabs>
          <w:tab w:leader="none" w:pos="2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capital expenditure requirements.</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Overview</w:t>
      </w:r>
    </w:p>
    <w:p>
      <w:pPr>
        <w:spacing w:after="0" w:line="144" w:lineRule="exact"/>
        <w:rPr>
          <w:sz w:val="20"/>
          <w:szCs w:val="20"/>
          <w:color w:val="auto"/>
        </w:rPr>
      </w:pPr>
    </w:p>
    <w:p>
      <w:pPr>
        <w:ind w:left="1260" w:right="479" w:firstLine="648"/>
        <w:spacing w:after="0" w:line="254" w:lineRule="auto"/>
        <w:rPr>
          <w:sz w:val="20"/>
          <w:szCs w:val="20"/>
          <w:color w:val="auto"/>
        </w:rPr>
      </w:pPr>
      <w:r>
        <w:rPr>
          <w:rFonts w:ascii="Arial" w:cs="Arial" w:eastAsia="Arial" w:hAnsi="Arial"/>
          <w:sz w:val="17"/>
          <w:szCs w:val="17"/>
          <w:color w:val="auto"/>
        </w:rPr>
        <w:t>Since inception, we have incurred significant operating losses. For the nine months ended September 30, 2019 and 2020, we incurred net losses of €64.7 million and €75.3 million, respectively. For the years ended December 31, 2018 and 2019, we incurred net losses of €71.2 million and € 99.9 million, respectively. To date, we have financed our operations primarily through the IPO in August 2020, private placements of equity securities, issuance of convertible debt, grants from government agencies and similar bodies and payments for collaborative research and development services. Our cash and cash equivalents as of September 30, 2020 was €892 million. Our primary cash needs are for working capital requirements, capital expenditures and to fund our non-clinical and clinical development programs.</w:t>
      </w:r>
    </w:p>
    <w:p>
      <w:pPr>
        <w:spacing w:after="0" w:line="113" w:lineRule="exact"/>
        <w:rPr>
          <w:sz w:val="20"/>
          <w:szCs w:val="20"/>
          <w:color w:val="auto"/>
        </w:rPr>
      </w:pPr>
    </w:p>
    <w:p>
      <w:pPr>
        <w:ind w:left="1260" w:right="459" w:firstLine="648"/>
        <w:spacing w:after="0" w:line="253" w:lineRule="auto"/>
        <w:rPr>
          <w:sz w:val="20"/>
          <w:szCs w:val="20"/>
          <w:color w:val="auto"/>
        </w:rPr>
      </w:pPr>
      <w:r>
        <w:rPr>
          <w:rFonts w:ascii="Arial" w:cs="Arial" w:eastAsia="Arial" w:hAnsi="Arial"/>
          <w:sz w:val="17"/>
          <w:szCs w:val="17"/>
          <w:color w:val="auto"/>
        </w:rPr>
        <w:t>We have also recently entered into an APA with the EC, acting on behalf and in the name of all Member States of the European Union, for the purchase of 225 million doses of the vaccine to be allocated among the Member States and the option to purchase up to an additional 180 million doses. The option may be exercised by the EC on behalf and in the name of the Member States. The APA provides for two mid nine-figure euro amount up- front payments, which shall be used solely for the development and commercial supply of CVnCoV. We will be required to return any unspent amounts of such up-front payments if, among others, we fail to successfully develop CVnCoV or if we successfully develop CVnCoV but we do not receive EU marketing authorization or fail to supply any doses of CVnCoV to any of the Member States by late 2021, unless we and the EC mutually agree to a later date. We expect such source of financing to be material to our accelerated efforts to develop and commercialize CVnCoV.</w:t>
      </w:r>
    </w:p>
    <w:p>
      <w:pPr>
        <w:spacing w:after="0" w:line="180"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Convertible Loans</w:t>
      </w:r>
    </w:p>
    <w:p>
      <w:pPr>
        <w:spacing w:after="0" w:line="158" w:lineRule="exact"/>
        <w:rPr>
          <w:sz w:val="20"/>
          <w:szCs w:val="20"/>
          <w:color w:val="auto"/>
        </w:rPr>
      </w:pPr>
    </w:p>
    <w:p>
      <w:pPr>
        <w:ind w:left="1260" w:right="659" w:firstLine="648"/>
        <w:spacing w:after="0" w:line="253" w:lineRule="auto"/>
        <w:rPr>
          <w:sz w:val="20"/>
          <w:szCs w:val="20"/>
          <w:color w:val="auto"/>
        </w:rPr>
      </w:pPr>
      <w:r>
        <w:rPr>
          <w:rFonts w:ascii="Arial" w:cs="Arial" w:eastAsia="Arial" w:hAnsi="Arial"/>
          <w:sz w:val="17"/>
          <w:szCs w:val="17"/>
          <w:color w:val="auto"/>
        </w:rPr>
        <w:t>We entered into a convertible loan agreement on May 3, 2019 with Mr. Dietmar Hopp, managing director of dievini, under which Mr. Hopp disbursed to us the amount of €50 million, referred hereto as Convertible Loan I. On October 24, 2019, we entered into an additional convertible loan agreement with Mr. Hopp, as amended, under which we have the right to call for disbursements in two tranches of</w:t>
      </w:r>
    </w:p>
    <w:p>
      <w:pPr>
        <w:spacing w:after="0" w:line="2" w:lineRule="exact"/>
        <w:rPr>
          <w:sz w:val="20"/>
          <w:szCs w:val="20"/>
          <w:color w:val="auto"/>
        </w:rPr>
      </w:pPr>
    </w:p>
    <w:p>
      <w:pPr>
        <w:ind w:left="1260" w:right="719"/>
        <w:spacing w:after="0" w:line="237" w:lineRule="auto"/>
        <w:rPr>
          <w:sz w:val="20"/>
          <w:szCs w:val="20"/>
          <w:color w:val="auto"/>
        </w:rPr>
      </w:pPr>
      <w:r>
        <w:rPr>
          <w:rFonts w:ascii="Arial" w:cs="Arial" w:eastAsia="Arial" w:hAnsi="Arial"/>
          <w:sz w:val="18"/>
          <w:szCs w:val="18"/>
          <w:color w:val="auto"/>
        </w:rPr>
        <w:t>€20 million each and an additional final tranche of approximately €24 million, until December 31, 2021, referred hereto as Convertible Loan II, and together with Convertible Loan I, referred hereto as the Convertible Loans. The Convertible Loans bore an interest rate of 8.00% per annum. On June 26, 2020, Mr. Hopp disbursed to us an additional $26.8 million. On July 24, 2020, the First Loan and Second Loan were terminated and on August 7, 2020, the total principal of €94.8 million and total accrued interest of €5.6 million were repaid in full.</w:t>
      </w:r>
    </w:p>
    <w:p>
      <w:pPr>
        <w:spacing w:after="0" w:line="189"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European Investment Bank Loan</w:t>
      </w:r>
    </w:p>
    <w:p>
      <w:pPr>
        <w:spacing w:after="0" w:line="144" w:lineRule="exact"/>
        <w:rPr>
          <w:sz w:val="20"/>
          <w:szCs w:val="20"/>
          <w:color w:val="auto"/>
        </w:rPr>
      </w:pPr>
    </w:p>
    <w:p>
      <w:pPr>
        <w:ind w:left="1260" w:right="539" w:firstLine="648"/>
        <w:spacing w:after="0" w:line="291" w:lineRule="auto"/>
        <w:rPr>
          <w:sz w:val="20"/>
          <w:szCs w:val="20"/>
          <w:color w:val="auto"/>
        </w:rPr>
      </w:pPr>
      <w:r>
        <w:rPr>
          <w:rFonts w:ascii="Arial" w:cs="Arial" w:eastAsia="Arial" w:hAnsi="Arial"/>
          <w:sz w:val="17"/>
          <w:szCs w:val="17"/>
          <w:color w:val="auto"/>
        </w:rPr>
        <w:t>In June 2020, we signed a financing arrangement with the European Investment Bank, or EIB, under which EIB agreed to provide us with a line of credit in an amount of up to €75 million for the partial</w:t>
      </w:r>
    </w:p>
    <w:p>
      <w:pPr>
        <w:spacing w:after="0" w:line="3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6" w:name="page117"/>
    <w:bookmarkEnd w:id="1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59"/>
        <w:spacing w:after="0" w:line="251" w:lineRule="auto"/>
        <w:rPr>
          <w:sz w:val="20"/>
          <w:szCs w:val="20"/>
          <w:color w:val="auto"/>
        </w:rPr>
      </w:pPr>
      <w:r>
        <w:rPr>
          <w:rFonts w:ascii="Arial" w:cs="Arial" w:eastAsia="Arial" w:hAnsi="Arial"/>
          <w:sz w:val="17"/>
          <w:szCs w:val="17"/>
          <w:color w:val="auto"/>
        </w:rPr>
        <w:t>financing of our clinical developments and large-scale production of our infectious diseases vaccine candidates including our vaccine against SARS-CoV-2, or the Investment, provided that the amount of financing does not exceed 50% of the cost of the Investment. The EIB financing falls under a joint initiative between EIB and the EC, which is intended as a new EIB financing instrument to finance inter alia research projects and research infrastructure under the Horizon 2020 framework program of the European Union for Research and Technological Development (2014-2020). The EIB financing will be provided in three</w:t>
      </w:r>
    </w:p>
    <w:p>
      <w:pPr>
        <w:spacing w:after="0" w:line="4" w:lineRule="exact"/>
        <w:rPr>
          <w:sz w:val="20"/>
          <w:szCs w:val="20"/>
          <w:color w:val="auto"/>
        </w:rPr>
      </w:pPr>
    </w:p>
    <w:p>
      <w:pPr>
        <w:ind w:left="1260" w:right="439"/>
        <w:spacing w:after="0" w:line="250" w:lineRule="auto"/>
        <w:rPr>
          <w:sz w:val="20"/>
          <w:szCs w:val="20"/>
          <w:color w:val="auto"/>
        </w:rPr>
      </w:pPr>
      <w:r>
        <w:rPr>
          <w:rFonts w:ascii="Arial" w:cs="Arial" w:eastAsia="Arial" w:hAnsi="Arial"/>
          <w:sz w:val="17"/>
          <w:szCs w:val="17"/>
          <w:color w:val="auto"/>
        </w:rPr>
        <w:t>€25 million tranches upon completion of pre-defined milestones that will be measured prior to the disbursement of each tranche. These pre-defined milestones are tied to evidence of successful progress in the development and large-scale production of our vaccine candidate against SARS-CoV-2. In addition, the disbursements of the second and third tranches are contingent upon the disbursement of the first and second tranches, respectively. Interest accrues on the outstanding balance of each tranche at a rate of 0.5% per annum. Such interest is due and payable on the maturity date of each tranche or where a tranche is cancelled or prepaid, the prepayment date. The maturity date for each tranche is seven years from the respective disbursement date of the relevant tranche. We are subject to several restrictive covenants on our business activities as described in Schedule H of the financing agreement, including limitations on certain merger and acquisition transactions, disposition of certain assets and mandatory maintenance of assets related to the Investment. As of December 31, 2020, we have drawn €25 million under the first of the three tranches. As we have achieved the pre-defined milestones required for disbursements under the first two tranches we expect to receive disbursements under the first and second tranches in the near term. In November 2020, a land charge (mortgage) amounting to €75 million was registered in favor of the EIB to secure the loan. The EIB may demand, without prior notice, the immediate repayment of outstanding principal together with any accrued interest upon certain events including, among others, our failure to continue the development of our Investment following a cure period.</w:t>
      </w:r>
    </w:p>
    <w:p>
      <w:pPr>
        <w:spacing w:after="0" w:line="181"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BMBF Grant</w:t>
      </w:r>
    </w:p>
    <w:p>
      <w:pPr>
        <w:spacing w:after="0" w:line="158" w:lineRule="exact"/>
        <w:rPr>
          <w:sz w:val="20"/>
          <w:szCs w:val="20"/>
          <w:color w:val="auto"/>
        </w:rPr>
      </w:pPr>
    </w:p>
    <w:p>
      <w:pPr>
        <w:ind w:left="1260" w:right="419" w:firstLine="648"/>
        <w:spacing w:after="0" w:line="251" w:lineRule="auto"/>
        <w:rPr>
          <w:sz w:val="20"/>
          <w:szCs w:val="20"/>
          <w:color w:val="auto"/>
        </w:rPr>
      </w:pPr>
      <w:r>
        <w:rPr>
          <w:rFonts w:ascii="Arial" w:cs="Arial" w:eastAsia="Arial" w:hAnsi="Arial"/>
          <w:sz w:val="17"/>
          <w:szCs w:val="17"/>
          <w:color w:val="auto"/>
        </w:rPr>
        <w:t>The Company received from the German Federal Ministry of Education and Research, or BMBF, a grant to support the development of its COVID-19 vaccine candidate of up to € 252 million. In July 2020, CureVac had applied to that grant as part of a special program to accelerate the research and development of urgently needed vaccines against SARS-CoV-2. In addition to the further development of CureVac’s vaccine-candidate against COVID-19, the grant is expected to be used for the rapid expansion of the vaccine production. Payments are contingent on reaching predefined milestones. Amounts incurred in 2020 and</w:t>
      </w:r>
    </w:p>
    <w:p>
      <w:pPr>
        <w:spacing w:after="0" w:line="4" w:lineRule="exact"/>
        <w:rPr>
          <w:sz w:val="20"/>
          <w:szCs w:val="20"/>
          <w:color w:val="auto"/>
        </w:rPr>
      </w:pPr>
    </w:p>
    <w:p>
      <w:pPr>
        <w:ind w:left="1260" w:right="419"/>
        <w:spacing w:after="0" w:line="239" w:lineRule="auto"/>
        <w:rPr>
          <w:sz w:val="20"/>
          <w:szCs w:val="20"/>
          <w:color w:val="auto"/>
        </w:rPr>
      </w:pPr>
      <w:r>
        <w:rPr>
          <w:rFonts w:ascii="Arial" w:cs="Arial" w:eastAsia="Arial" w:hAnsi="Arial"/>
          <w:sz w:val="18"/>
          <w:szCs w:val="18"/>
          <w:color w:val="auto"/>
        </w:rPr>
        <w:t>2021 are eligible for reimbursement through the grant. CureVac expects funding of up to €103 million in 2020 and up to €149 million in 2021. As of September 30, 2020, we have not yet drawn any disbursement of the grant.</w:t>
      </w:r>
    </w:p>
    <w:p>
      <w:pPr>
        <w:spacing w:after="0" w:line="189"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Advance Purchase Agreement for our COVID-19 Vaccine Candidate</w:t>
      </w:r>
    </w:p>
    <w:p>
      <w:pPr>
        <w:spacing w:after="0" w:line="158" w:lineRule="exact"/>
        <w:rPr>
          <w:sz w:val="20"/>
          <w:szCs w:val="20"/>
          <w:color w:val="auto"/>
        </w:rPr>
      </w:pPr>
    </w:p>
    <w:p>
      <w:pPr>
        <w:ind w:left="1260" w:right="479" w:firstLine="648"/>
        <w:spacing w:after="0" w:line="241" w:lineRule="auto"/>
        <w:rPr>
          <w:sz w:val="20"/>
          <w:szCs w:val="20"/>
          <w:color w:val="auto"/>
        </w:rPr>
      </w:pPr>
      <w:r>
        <w:rPr>
          <w:rFonts w:ascii="Arial" w:cs="Arial" w:eastAsia="Arial" w:hAnsi="Arial"/>
          <w:sz w:val="18"/>
          <w:szCs w:val="18"/>
          <w:color w:val="auto"/>
        </w:rPr>
        <w:t>On November 30, 2020, we entered into an APA with the EC, acting on behalf and in the name of all Member States of the European Union, which provides for the advance purchase by the Member States of 225 million doses of the vaccine to be allocated among the Member States, and the option to purchase up to an additional 180 million doses. The option may be exercised by the EC on behalf and in the name of the Member States.</w:t>
      </w:r>
    </w:p>
    <w:p>
      <w:pPr>
        <w:spacing w:after="0" w:line="108" w:lineRule="exact"/>
        <w:rPr>
          <w:sz w:val="20"/>
          <w:szCs w:val="20"/>
          <w:color w:val="auto"/>
        </w:rPr>
      </w:pPr>
    </w:p>
    <w:p>
      <w:pPr>
        <w:ind w:left="1260" w:right="419" w:firstLine="648"/>
        <w:spacing w:after="0" w:line="237" w:lineRule="auto"/>
        <w:rPr>
          <w:sz w:val="20"/>
          <w:szCs w:val="20"/>
          <w:color w:val="auto"/>
        </w:rPr>
      </w:pPr>
      <w:r>
        <w:rPr>
          <w:rFonts w:ascii="Arial" w:cs="Arial" w:eastAsia="Arial" w:hAnsi="Arial"/>
          <w:sz w:val="18"/>
          <w:szCs w:val="18"/>
          <w:color w:val="auto"/>
        </w:rPr>
        <w:t>In order to support our accelerated efforts to develop a safe and effective vaccine, the APA provides for support to our operations in the form of two up-front payments. The first up-front payment of a mid nine- figure euro amount has already been paid by the EC on behalf of the Member States. The second up-front payment of a mid nine -figure euro amount is to be paid directly by the Member States and is due after an interim data package has been submitted by us to the EMA for the purpose of obtaining EU marketing authorization for CVnCoV. Such up-front payments must be used solely for the development and commercial supply of CVnCoV. We will be required to return any unspent amounts of the up-front payments if, among others, we fail to successfully develop CVnCoV or if we successfully develop CVnCoV, but we do not receive EU marketing authorization or fail to supply any doses of CVnCoV to any of the Member States by late 2021, unless we and the EC mutually agree to a later date. In addition, if any Member State decides to purchase additional doses pursuant to the option granted under the APA, we will be entitled to additional up-front payments that are not subject to such restrictions on use or return of unused amounts upon termination of the APA.</w:t>
      </w:r>
    </w:p>
    <w:p>
      <w:pPr>
        <w:spacing w:after="0" w:line="38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7" w:name="page118"/>
    <w:bookmarkEnd w:id="1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19" w:firstLine="648"/>
        <w:spacing w:after="0" w:line="252" w:lineRule="auto"/>
        <w:rPr>
          <w:sz w:val="20"/>
          <w:szCs w:val="20"/>
          <w:color w:val="auto"/>
        </w:rPr>
      </w:pPr>
      <w:r>
        <w:rPr>
          <w:rFonts w:ascii="Arial" w:cs="Arial" w:eastAsia="Arial" w:hAnsi="Arial"/>
          <w:sz w:val="18"/>
          <w:szCs w:val="18"/>
          <w:color w:val="auto"/>
        </w:rPr>
        <w:t>The APA will be terminated automatically if we notify the EC that we are unable to provide the vaccine because (i) the clinical trial results are not satisfactory, (ii) the clinical trial results do not meet their end point in terms of efficacy or safety or (iii) the EU marketing authorization was not granted. The termination will be effective unless the EC objects within 30 calendar days; provided, however, that such objection may only be based on reasonable grounds and taking into account the severity of the impact that continuation of the APA would have on our business. In addition, the EC shall have the right to terminate the APA, and each Member State the respective individual vaccine purchase orders, for the reasons specified in Section 14.2 of the APA, which among others, provides the EC the right to terminate the APA if we do not obtain EU marketing authorization by late 2021, unless we and the EC mutually agree to a later date, or if we are in material breach of our obligation to (i) obtain EU marketing authorization and establish sufficient manufacturing capacities to enable the manufacturing and supply of the contractually agreed volumes of our vaccine pursuant to the agreement, (ii) provide the doses of the vaccine according to the estimated delivery schedule or (iii) manufacture (or have manufactured) doses designated to participating Member States within the European Union at sites outside the EU, UK, the EEA or Switzerland without the prior consent of the EC.</w:t>
      </w:r>
    </w:p>
    <w:p>
      <w:pPr>
        <w:spacing w:after="0" w:line="128" w:lineRule="exact"/>
        <w:rPr>
          <w:sz w:val="20"/>
          <w:szCs w:val="20"/>
          <w:color w:val="auto"/>
        </w:rPr>
      </w:pPr>
    </w:p>
    <w:p>
      <w:pPr>
        <w:ind w:left="1260" w:right="599" w:firstLine="648"/>
        <w:spacing w:after="0" w:line="259" w:lineRule="auto"/>
        <w:rPr>
          <w:sz w:val="20"/>
          <w:szCs w:val="20"/>
          <w:color w:val="auto"/>
        </w:rPr>
      </w:pPr>
      <w:r>
        <w:rPr>
          <w:rFonts w:ascii="Arial" w:cs="Arial" w:eastAsia="Arial" w:hAnsi="Arial"/>
          <w:sz w:val="18"/>
          <w:szCs w:val="18"/>
          <w:color w:val="auto"/>
        </w:rPr>
        <w:t>We currently estimate the total value of the APA to be in the low 10-figure euro amount assuming no exercise of the option discussed above, but this estimate is subject to our ability to successfully deliver CVnCoV pursuant to the terms of the APA, including obtaining EU marketing authorization and establishing manufacturing capacities to supply sufficient quantities of CVnCoV.</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Comparative Cash Flows</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Comparison of the nine months ended September 30, 2019 and 2020</w:t>
      </w:r>
    </w:p>
    <w:p>
      <w:pPr>
        <w:spacing w:after="0" w:line="176" w:lineRule="exact"/>
        <w:rPr>
          <w:sz w:val="20"/>
          <w:szCs w:val="20"/>
          <w:color w:val="auto"/>
        </w:rPr>
      </w:pPr>
    </w:p>
    <w:p>
      <w:pPr>
        <w:jc w:val="center"/>
        <w:ind w:left="6540"/>
        <w:spacing w:after="0"/>
        <w:rPr>
          <w:sz w:val="20"/>
          <w:szCs w:val="20"/>
          <w:color w:val="auto"/>
        </w:rPr>
      </w:pPr>
      <w:r>
        <w:rPr>
          <w:rFonts w:ascii="Arial" w:cs="Arial" w:eastAsia="Arial" w:hAnsi="Arial"/>
          <w:sz w:val="12"/>
          <w:szCs w:val="12"/>
          <w:b w:val="1"/>
          <w:bCs w:val="1"/>
          <w:color w:val="auto"/>
        </w:rPr>
        <w:t>For the nine months ended</w:t>
      </w:r>
    </w:p>
    <w:p>
      <w:pPr>
        <w:spacing w:after="0" w:line="40" w:lineRule="exact"/>
        <w:rPr>
          <w:sz w:val="20"/>
          <w:szCs w:val="20"/>
          <w:color w:val="auto"/>
        </w:rPr>
      </w:pPr>
    </w:p>
    <w:p>
      <w:pPr>
        <w:jc w:val="center"/>
        <w:ind w:left="65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4983480</wp:posOffset>
            </wp:positionH>
            <wp:positionV relativeFrom="paragraph">
              <wp:posOffset>22225</wp:posOffset>
            </wp:positionV>
            <wp:extent cx="10287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4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560" w:type="dxa"/>
            <w:vAlign w:val="bottom"/>
          </w:tcPr>
          <w:p>
            <w:pPr>
              <w:jc w:val="right"/>
              <w:ind w:right="57"/>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6"/>
                <w:szCs w:val="16"/>
                <w:color w:val="auto"/>
              </w:rPr>
            </w:pPr>
          </w:p>
        </w:tc>
        <w:tc>
          <w:tcPr>
            <w:tcW w:w="660" w:type="dxa"/>
            <w:vAlign w:val="bottom"/>
          </w:tcPr>
          <w:p>
            <w:pPr>
              <w:jc w:val="right"/>
              <w:ind w:right="133"/>
              <w:spacing w:after="0"/>
              <w:rPr>
                <w:sz w:val="20"/>
                <w:szCs w:val="20"/>
                <w:color w:val="auto"/>
              </w:rPr>
            </w:pPr>
            <w:r>
              <w:rPr>
                <w:rFonts w:ascii="Arial" w:cs="Arial" w:eastAsia="Arial" w:hAnsi="Arial"/>
                <w:sz w:val="14"/>
                <w:szCs w:val="14"/>
                <w:b w:val="1"/>
                <w:bCs w:val="1"/>
                <w:color w:val="auto"/>
              </w:rPr>
              <w:t>2020</w:t>
            </w:r>
          </w:p>
        </w:tc>
      </w:tr>
      <w:tr>
        <w:trPr>
          <w:trHeight w:val="25"/>
        </w:trPr>
        <w:tc>
          <w:tcPr>
            <w:tcW w:w="664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r>
      <w:tr>
        <w:trPr>
          <w:trHeight w:val="173"/>
        </w:trPr>
        <w:tc>
          <w:tcPr>
            <w:tcW w:w="6640" w:type="dxa"/>
            <w:vAlign w:val="bottom"/>
          </w:tcPr>
          <w:p>
            <w:pPr>
              <w:spacing w:after="0"/>
              <w:rPr>
                <w:sz w:val="15"/>
                <w:szCs w:val="15"/>
                <w:color w:val="auto"/>
              </w:rPr>
            </w:pPr>
          </w:p>
        </w:tc>
        <w:tc>
          <w:tcPr>
            <w:tcW w:w="1560" w:type="dxa"/>
            <w:vAlign w:val="bottom"/>
            <w:gridSpan w:val="3"/>
          </w:tcPr>
          <w:p>
            <w:pPr>
              <w:jc w:val="right"/>
              <w:ind w:right="53"/>
              <w:spacing w:after="0"/>
              <w:rPr>
                <w:sz w:val="20"/>
                <w:szCs w:val="20"/>
                <w:color w:val="auto"/>
              </w:rPr>
            </w:pPr>
            <w:r>
              <w:rPr>
                <w:rFonts w:ascii="Arial" w:cs="Arial" w:eastAsia="Arial" w:hAnsi="Arial"/>
                <w:sz w:val="14"/>
                <w:szCs w:val="14"/>
                <w:b w:val="1"/>
                <w:bCs w:val="1"/>
                <w:color w:val="auto"/>
                <w:w w:val="89"/>
              </w:rPr>
              <w:t>(in thousands of euros)</w:t>
            </w:r>
          </w:p>
        </w:tc>
      </w:tr>
      <w:tr>
        <w:trPr>
          <w:trHeight w:val="186"/>
        </w:trPr>
        <w:tc>
          <w:tcPr>
            <w:tcW w:w="6640" w:type="dxa"/>
            <w:vAlign w:val="bottom"/>
          </w:tcPr>
          <w:p>
            <w:pPr>
              <w:spacing w:after="0"/>
              <w:rPr>
                <w:sz w:val="16"/>
                <w:szCs w:val="16"/>
                <w:color w:val="auto"/>
              </w:rPr>
            </w:pPr>
          </w:p>
        </w:tc>
        <w:tc>
          <w:tcPr>
            <w:tcW w:w="1560" w:type="dxa"/>
            <w:vAlign w:val="bottom"/>
            <w:gridSpan w:val="3"/>
          </w:tcPr>
          <w:p>
            <w:pPr>
              <w:jc w:val="right"/>
              <w:ind w:right="373"/>
              <w:spacing w:after="0"/>
              <w:rPr>
                <w:sz w:val="20"/>
                <w:szCs w:val="20"/>
                <w:color w:val="auto"/>
              </w:rPr>
            </w:pPr>
            <w:r>
              <w:rPr>
                <w:rFonts w:ascii="Arial" w:cs="Arial" w:eastAsia="Arial" w:hAnsi="Arial"/>
                <w:sz w:val="14"/>
                <w:szCs w:val="14"/>
                <w:b w:val="1"/>
                <w:bCs w:val="1"/>
                <w:color w:val="auto"/>
              </w:rPr>
              <w:t>(unaudited)</w:t>
            </w:r>
          </w:p>
        </w:tc>
      </w:tr>
      <w:tr>
        <w:trPr>
          <w:trHeight w:val="25"/>
        </w:trPr>
        <w:tc>
          <w:tcPr>
            <w:tcW w:w="6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7"/>
        </w:trPr>
        <w:tc>
          <w:tcPr>
            <w:tcW w:w="6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flow from (used in):</w:t>
            </w:r>
          </w:p>
        </w:tc>
        <w:tc>
          <w:tcPr>
            <w:tcW w:w="5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60" w:type="dxa"/>
            <w:vAlign w:val="bottom"/>
            <w:tcBorders>
              <w:right w:val="single" w:sz="8" w:color="CCEEFF"/>
            </w:tcBorders>
            <w:shd w:val="clear" w:color="auto" w:fill="CCEEFF"/>
          </w:tcPr>
          <w:p>
            <w:pPr>
              <w:spacing w:after="0"/>
              <w:rPr>
                <w:sz w:val="22"/>
                <w:szCs w:val="22"/>
                <w:color w:val="auto"/>
              </w:rPr>
            </w:pPr>
          </w:p>
        </w:tc>
      </w:tr>
      <w:tr>
        <w:trPr>
          <w:trHeight w:val="256"/>
        </w:trPr>
        <w:tc>
          <w:tcPr>
            <w:tcW w:w="664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(67,979)</w:t>
            </w:r>
          </w:p>
        </w:tc>
        <w:tc>
          <w:tcPr>
            <w:tcW w:w="660" w:type="dxa"/>
            <w:vAlign w:val="bottom"/>
          </w:tcPr>
          <w:p>
            <w:pPr>
              <w:jc w:val="right"/>
              <w:spacing w:after="0"/>
              <w:rPr>
                <w:sz w:val="20"/>
                <w:szCs w:val="20"/>
                <w:color w:val="auto"/>
              </w:rPr>
            </w:pPr>
            <w:r>
              <w:rPr>
                <w:rFonts w:ascii="Arial" w:cs="Arial" w:eastAsia="Arial" w:hAnsi="Arial"/>
                <w:sz w:val="18"/>
                <w:szCs w:val="18"/>
                <w:color w:val="auto"/>
              </w:rPr>
              <w:t>80,982</w:t>
            </w:r>
          </w:p>
        </w:tc>
      </w:tr>
      <w:tr>
        <w:trPr>
          <w:trHeight w:val="257"/>
        </w:trPr>
        <w:tc>
          <w:tcPr>
            <w:tcW w:w="66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33,047</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(17,466)</w:t>
            </w:r>
          </w:p>
        </w:tc>
      </w:tr>
      <w:tr>
        <w:trPr>
          <w:trHeight w:val="256"/>
        </w:trPr>
        <w:tc>
          <w:tcPr>
            <w:tcW w:w="664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48,669</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794,350</w:t>
            </w:r>
          </w:p>
        </w:tc>
      </w:tr>
      <w:tr>
        <w:trPr>
          <w:trHeight w:val="263"/>
        </w:trPr>
        <w:tc>
          <w:tcPr>
            <w:tcW w:w="66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 of currency translation gains on cash and cash equivalents</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3,849</w:t>
            </w:r>
          </w:p>
        </w:tc>
      </w:tr>
      <w:tr>
        <w:trPr>
          <w:trHeight w:val="20"/>
        </w:trPr>
        <w:tc>
          <w:tcPr>
            <w:tcW w:w="66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r>
      <w:tr>
        <w:trPr>
          <w:trHeight w:val="263"/>
        </w:trPr>
        <w:tc>
          <w:tcPr>
            <w:tcW w:w="6640" w:type="dxa"/>
            <w:vAlign w:val="bottom"/>
          </w:tcPr>
          <w:p>
            <w:pPr>
              <w:spacing w:after="0"/>
              <w:rPr>
                <w:sz w:val="20"/>
                <w:szCs w:val="20"/>
                <w:color w:val="auto"/>
              </w:rPr>
            </w:pPr>
            <w:r>
              <w:rPr>
                <w:rFonts w:ascii="Arial" w:cs="Arial" w:eastAsia="Arial" w:hAnsi="Arial"/>
                <w:sz w:val="18"/>
                <w:szCs w:val="18"/>
                <w:b w:val="1"/>
                <w:bCs w:val="1"/>
                <w:color w:val="auto"/>
              </w:rPr>
              <w:t>Overall cash inflow</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13,598</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89"/>
              </w:rPr>
              <w:t>861,715</w:t>
            </w:r>
          </w:p>
        </w:tc>
      </w:tr>
      <w:tr>
        <w:trPr>
          <w:trHeight w:val="20"/>
        </w:trPr>
        <w:tc>
          <w:tcPr>
            <w:tcW w:w="66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5412105</wp:posOffset>
            </wp:positionH>
            <wp:positionV relativeFrom="paragraph">
              <wp:posOffset>-1285240</wp:posOffset>
            </wp:positionV>
            <wp:extent cx="13716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90"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Operating Activities</w:t>
      </w:r>
    </w:p>
    <w:p>
      <w:pPr>
        <w:spacing w:after="0" w:line="144" w:lineRule="exact"/>
        <w:rPr>
          <w:sz w:val="20"/>
          <w:szCs w:val="20"/>
          <w:color w:val="auto"/>
        </w:rPr>
      </w:pPr>
    </w:p>
    <w:p>
      <w:pPr>
        <w:ind w:left="1260" w:right="599" w:firstLine="648"/>
        <w:spacing w:after="0" w:line="269" w:lineRule="auto"/>
        <w:rPr>
          <w:sz w:val="20"/>
          <w:szCs w:val="20"/>
          <w:color w:val="auto"/>
        </w:rPr>
      </w:pPr>
      <w:r>
        <w:rPr>
          <w:rFonts w:ascii="Arial" w:cs="Arial" w:eastAsia="Arial" w:hAnsi="Arial"/>
          <w:sz w:val="17"/>
          <w:szCs w:val="17"/>
          <w:color w:val="auto"/>
        </w:rPr>
        <w:t>Net cash provided by operating activities for the nine months ended September 30, 2020 was €80.9 million as compared to net cash used in operating activities of €(68.0) million for the nine months ended September 30, 2019. The increase in net cash in operating activities was primarily attributable to an increase of the contract liabilities due to the receipt of the upfront payment from GSK amounting to</w:t>
      </w:r>
    </w:p>
    <w:p>
      <w:pPr>
        <w:spacing w:after="0" w:line="2" w:lineRule="exact"/>
        <w:rPr>
          <w:sz w:val="20"/>
          <w:szCs w:val="20"/>
          <w:color w:val="auto"/>
        </w:rPr>
      </w:pPr>
    </w:p>
    <w:p>
      <w:pPr>
        <w:ind w:left="1260" w:right="499"/>
        <w:spacing w:after="0" w:line="255" w:lineRule="auto"/>
        <w:rPr>
          <w:sz w:val="20"/>
          <w:szCs w:val="20"/>
          <w:color w:val="auto"/>
        </w:rPr>
      </w:pPr>
      <w:r>
        <w:rPr>
          <w:rFonts w:ascii="Arial" w:cs="Arial" w:eastAsia="Arial" w:hAnsi="Arial"/>
          <w:sz w:val="18"/>
          <w:szCs w:val="18"/>
          <w:color w:val="auto"/>
        </w:rPr>
        <w:t>€120 million and the overall decrease in trade receivables and contract assets, as a result of collections, and receipts from grants from government agencies and similar bodies, partially offset by the increase of the loss before income taxes.</w:t>
      </w:r>
    </w:p>
    <w:p>
      <w:pPr>
        <w:spacing w:after="0" w:line="190"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Investing Activities</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Net cash used in investing activities for the nine months ended September 30, 2020 was</w:t>
      </w:r>
    </w:p>
    <w:p>
      <w:pPr>
        <w:spacing w:after="0" w:line="23" w:lineRule="exact"/>
        <w:rPr>
          <w:sz w:val="20"/>
          <w:szCs w:val="20"/>
          <w:color w:val="auto"/>
        </w:rPr>
      </w:pPr>
    </w:p>
    <w:p>
      <w:pPr>
        <w:ind w:left="1260" w:right="519"/>
        <w:spacing w:after="0" w:line="253" w:lineRule="auto"/>
        <w:rPr>
          <w:sz w:val="20"/>
          <w:szCs w:val="20"/>
          <w:color w:val="auto"/>
        </w:rPr>
      </w:pPr>
      <w:r>
        <w:rPr>
          <w:rFonts w:ascii="Arial" w:cs="Arial" w:eastAsia="Arial" w:hAnsi="Arial"/>
          <w:sz w:val="18"/>
          <w:szCs w:val="18"/>
          <w:color w:val="auto"/>
        </w:rPr>
        <w:t>€17.5 million as compared to net cash provided by investing activities of €33.1 million for the nine months ended September 30, 2019. The change in cash flows from investing activities was primarily attributable to increased purchases of property, plant and equipment and intangible assets offset by decreased proceeds from the sale of short-term investments (other financial assets).</w:t>
      </w:r>
    </w:p>
    <w:p>
      <w:pPr>
        <w:spacing w:after="0" w:line="36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8" w:name="page119"/>
    <w:bookmarkEnd w:id="1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Financing Activities</w:t>
      </w:r>
    </w:p>
    <w:p>
      <w:pPr>
        <w:spacing w:after="0" w:line="158" w:lineRule="exact"/>
        <w:rPr>
          <w:sz w:val="20"/>
          <w:szCs w:val="20"/>
          <w:color w:val="auto"/>
        </w:rPr>
      </w:pPr>
    </w:p>
    <w:p>
      <w:pPr>
        <w:ind w:left="1260" w:right="479" w:firstLine="648"/>
        <w:spacing w:after="0" w:line="255" w:lineRule="auto"/>
        <w:rPr>
          <w:sz w:val="20"/>
          <w:szCs w:val="20"/>
          <w:color w:val="auto"/>
        </w:rPr>
      </w:pPr>
      <w:r>
        <w:rPr>
          <w:rFonts w:ascii="Arial" w:cs="Arial" w:eastAsia="Arial" w:hAnsi="Arial"/>
          <w:sz w:val="18"/>
          <w:szCs w:val="18"/>
          <w:color w:val="auto"/>
        </w:rPr>
        <w:t>Net cash provided by financing activities was €794.4 million for the nine months ended September 30, 2020 as compared to €48.7 million for the nine months ended September 30, 2019. The increase in cash flow provided by financing activities was mainly attributable to proceeds from the issuance of shares to Genmab, in the 2020 Private Investment, in the initial public offering and to DH-LT-Investments GmbH, beneficially owned by Dietmar Hopp, in the concurrent private placement in the nine months ended September 30, 2020.</w:t>
      </w:r>
    </w:p>
    <w:p>
      <w:pPr>
        <w:spacing w:after="0" w:line="192"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Comparison of the Year Ended December 31, 2018 and 2019</w:t>
      </w:r>
    </w:p>
    <w:p>
      <w:pPr>
        <w:spacing w:after="0" w:line="158" w:lineRule="exact"/>
        <w:rPr>
          <w:sz w:val="20"/>
          <w:szCs w:val="20"/>
          <w:color w:val="auto"/>
        </w:rPr>
      </w:pPr>
    </w:p>
    <w:p>
      <w:pPr>
        <w:ind w:left="1260" w:right="619" w:firstLine="648"/>
        <w:spacing w:after="0" w:line="277" w:lineRule="auto"/>
        <w:rPr>
          <w:sz w:val="20"/>
          <w:szCs w:val="20"/>
          <w:color w:val="auto"/>
        </w:rPr>
      </w:pPr>
      <w:r>
        <w:rPr>
          <w:rFonts w:ascii="Arial" w:cs="Arial" w:eastAsia="Arial" w:hAnsi="Arial"/>
          <w:sz w:val="18"/>
          <w:szCs w:val="18"/>
          <w:color w:val="auto"/>
        </w:rPr>
        <w:t>The following table summarizes our cash flows from operating, investing and financing activities for the periods indicated:</w:t>
      </w:r>
    </w:p>
    <w:p>
      <w:pPr>
        <w:spacing w:after="0" w:line="121" w:lineRule="exact"/>
        <w:rPr>
          <w:sz w:val="20"/>
          <w:szCs w:val="20"/>
          <w:color w:val="auto"/>
        </w:rPr>
      </w:pPr>
    </w:p>
    <w:p>
      <w:pPr>
        <w:ind w:left="8160"/>
        <w:spacing w:after="0"/>
        <w:rPr>
          <w:sz w:val="20"/>
          <w:szCs w:val="20"/>
          <w:color w:val="auto"/>
        </w:rPr>
      </w:pPr>
      <w:r>
        <w:rPr>
          <w:rFonts w:ascii="Arial" w:cs="Arial" w:eastAsia="Arial" w:hAnsi="Arial"/>
          <w:sz w:val="14"/>
          <w:szCs w:val="14"/>
          <w:b w:val="1"/>
          <w:bCs w:val="1"/>
          <w:color w:val="auto"/>
        </w:rPr>
        <w:t>For the years ended</w:t>
      </w:r>
    </w:p>
    <w:p>
      <w:pPr>
        <w:spacing w:after="0" w:line="17"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5120640</wp:posOffset>
            </wp:positionH>
            <wp:positionV relativeFrom="paragraph">
              <wp:posOffset>22225</wp:posOffset>
            </wp:positionV>
            <wp:extent cx="89154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4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560" w:type="dxa"/>
            <w:vAlign w:val="bottom"/>
          </w:tcPr>
          <w:p>
            <w:pPr>
              <w:jc w:val="right"/>
              <w:ind w:right="55"/>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6"/>
                <w:szCs w:val="16"/>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r>
      <w:tr>
        <w:trPr>
          <w:trHeight w:val="26"/>
        </w:trPr>
        <w:tc>
          <w:tcPr>
            <w:tcW w:w="6820" w:type="dxa"/>
            <w:vAlign w:val="bottom"/>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60" w:type="dxa"/>
            <w:vAlign w:val="bottom"/>
          </w:tcPr>
          <w:p>
            <w:pPr>
              <w:spacing w:after="0"/>
              <w:rPr>
                <w:sz w:val="2"/>
                <w:szCs w:val="2"/>
                <w:color w:val="auto"/>
              </w:rPr>
            </w:pPr>
          </w:p>
        </w:tc>
      </w:tr>
      <w:tr>
        <w:trPr>
          <w:trHeight w:val="197"/>
        </w:trPr>
        <w:tc>
          <w:tcPr>
            <w:tcW w:w="6820" w:type="dxa"/>
            <w:vAlign w:val="bottom"/>
          </w:tcPr>
          <w:p>
            <w:pPr>
              <w:spacing w:after="0"/>
              <w:rPr>
                <w:sz w:val="17"/>
                <w:szCs w:val="17"/>
                <w:color w:val="auto"/>
              </w:rPr>
            </w:pPr>
          </w:p>
        </w:tc>
        <w:tc>
          <w:tcPr>
            <w:tcW w:w="14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86"/>
              </w:rPr>
              <w:t>(in thousands of euros)</w:t>
            </w:r>
          </w:p>
        </w:tc>
      </w:tr>
      <w:tr>
        <w:trPr>
          <w:trHeight w:val="26"/>
        </w:trPr>
        <w:tc>
          <w:tcPr>
            <w:tcW w:w="6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7"/>
        </w:trPr>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flow from (used in):</w:t>
            </w:r>
          </w:p>
        </w:tc>
        <w:tc>
          <w:tcPr>
            <w:tcW w:w="5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682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(74,110)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(86,963)</w:t>
            </w:r>
          </w:p>
        </w:tc>
      </w:tr>
      <w:tr>
        <w:trPr>
          <w:trHeight w:val="257"/>
        </w:trPr>
        <w:tc>
          <w:tcPr>
            <w:tcW w:w="68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(4,264)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28,181</w:t>
            </w:r>
          </w:p>
        </w:tc>
        <w:tc>
          <w:tcPr>
            <w:tcW w:w="60" w:type="dxa"/>
            <w:vAlign w:val="bottom"/>
          </w:tcPr>
          <w:p>
            <w:pPr>
              <w:spacing w:after="0"/>
              <w:rPr>
                <w:sz w:val="22"/>
                <w:szCs w:val="22"/>
                <w:color w:val="auto"/>
              </w:rPr>
            </w:pPr>
          </w:p>
        </w:tc>
      </w:tr>
      <w:tr>
        <w:trPr>
          <w:trHeight w:val="256"/>
        </w:trPr>
        <w:tc>
          <w:tcPr>
            <w:tcW w:w="682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(112)</w:t>
            </w:r>
          </w:p>
        </w:tc>
        <w:tc>
          <w:tcPr>
            <w:tcW w:w="580" w:type="dxa"/>
            <w:vAlign w:val="bottom"/>
          </w:tcPr>
          <w:p>
            <w:pPr>
              <w:jc w:val="right"/>
              <w:spacing w:after="0"/>
              <w:rPr>
                <w:sz w:val="20"/>
                <w:szCs w:val="20"/>
                <w:color w:val="auto"/>
              </w:rPr>
            </w:pPr>
            <w:r>
              <w:rPr>
                <w:rFonts w:ascii="Arial" w:cs="Arial" w:eastAsia="Arial" w:hAnsi="Arial"/>
                <w:sz w:val="18"/>
                <w:szCs w:val="18"/>
                <w:color w:val="auto"/>
              </w:rPr>
              <w:t>67,979</w:t>
            </w:r>
          </w:p>
        </w:tc>
        <w:tc>
          <w:tcPr>
            <w:tcW w:w="60" w:type="dxa"/>
            <w:vAlign w:val="bottom"/>
          </w:tcPr>
          <w:p>
            <w:pPr>
              <w:spacing w:after="0"/>
              <w:rPr>
                <w:sz w:val="22"/>
                <w:szCs w:val="22"/>
                <w:color w:val="auto"/>
              </w:rPr>
            </w:pPr>
          </w:p>
        </w:tc>
      </w:tr>
      <w:tr>
        <w:trPr>
          <w:trHeight w:val="263"/>
        </w:trPr>
        <w:tc>
          <w:tcPr>
            <w:tcW w:w="68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 of currency translation gains on cash and cash equivalents</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22"/>
                <w:szCs w:val="22"/>
                <w:color w:val="auto"/>
              </w:rPr>
            </w:pPr>
          </w:p>
        </w:tc>
      </w:tr>
      <w:tr>
        <w:trPr>
          <w:trHeight w:val="20"/>
        </w:trPr>
        <w:tc>
          <w:tcPr>
            <w:tcW w:w="68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6820" w:type="dxa"/>
            <w:vAlign w:val="bottom"/>
          </w:tcPr>
          <w:p>
            <w:pPr>
              <w:spacing w:after="0"/>
              <w:rPr>
                <w:sz w:val="20"/>
                <w:szCs w:val="20"/>
                <w:color w:val="auto"/>
              </w:rPr>
            </w:pPr>
            <w:r>
              <w:rPr>
                <w:rFonts w:ascii="Arial" w:cs="Arial" w:eastAsia="Arial" w:hAnsi="Arial"/>
                <w:sz w:val="18"/>
                <w:szCs w:val="18"/>
                <w:b w:val="1"/>
                <w:bCs w:val="1"/>
                <w:color w:val="auto"/>
              </w:rPr>
              <w:t>Overall cash inflow (outflow)</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9"/>
              </w:rPr>
              <w:t>(78,273)</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9,304</w:t>
            </w:r>
          </w:p>
        </w:tc>
        <w:tc>
          <w:tcPr>
            <w:tcW w:w="60" w:type="dxa"/>
            <w:vAlign w:val="bottom"/>
          </w:tcPr>
          <w:p>
            <w:pPr>
              <w:spacing w:after="0"/>
              <w:rPr>
                <w:sz w:val="22"/>
                <w:szCs w:val="22"/>
                <w:color w:val="auto"/>
              </w:rPr>
            </w:pPr>
          </w:p>
        </w:tc>
      </w:tr>
      <w:tr>
        <w:trPr>
          <w:trHeight w:val="20"/>
        </w:trPr>
        <w:tc>
          <w:tcPr>
            <w:tcW w:w="68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6003290</wp:posOffset>
            </wp:positionH>
            <wp:positionV relativeFrom="paragraph">
              <wp:posOffset>-205105</wp:posOffset>
            </wp:positionV>
            <wp:extent cx="82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-1182370</wp:posOffset>
            </wp:positionV>
            <wp:extent cx="1371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90"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Operating Activities</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Net cash used in operating activities for the year 2019 was €87.0 million as compared to</w:t>
      </w:r>
    </w:p>
    <w:p>
      <w:pPr>
        <w:spacing w:after="0" w:line="23" w:lineRule="exact"/>
        <w:rPr>
          <w:sz w:val="20"/>
          <w:szCs w:val="20"/>
          <w:color w:val="auto"/>
        </w:rPr>
      </w:pPr>
    </w:p>
    <w:p>
      <w:pPr>
        <w:ind w:left="1260" w:right="439"/>
        <w:spacing w:after="0" w:line="290" w:lineRule="auto"/>
        <w:rPr>
          <w:sz w:val="20"/>
          <w:szCs w:val="20"/>
          <w:color w:val="auto"/>
        </w:rPr>
      </w:pPr>
      <w:r>
        <w:rPr>
          <w:rFonts w:ascii="Arial" w:cs="Arial" w:eastAsia="Arial" w:hAnsi="Arial"/>
          <w:sz w:val="17"/>
          <w:szCs w:val="17"/>
          <w:color w:val="auto"/>
        </w:rPr>
        <w:t>€74.1 million for 2018. The increase in net cash used in operating activities was primarily attributable to the increase of the loss before income taxes and due to an increase in trade receivables and inventory.</w:t>
      </w:r>
    </w:p>
    <w:p>
      <w:pPr>
        <w:spacing w:after="0" w:line="161"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Investing Activities</w:t>
      </w:r>
    </w:p>
    <w:p>
      <w:pPr>
        <w:spacing w:after="0" w:line="158" w:lineRule="exact"/>
        <w:rPr>
          <w:sz w:val="20"/>
          <w:szCs w:val="20"/>
          <w:color w:val="auto"/>
        </w:rPr>
      </w:pPr>
    </w:p>
    <w:p>
      <w:pPr>
        <w:ind w:left="1260" w:right="439" w:firstLine="648"/>
        <w:spacing w:after="0" w:line="259" w:lineRule="auto"/>
        <w:rPr>
          <w:sz w:val="20"/>
          <w:szCs w:val="20"/>
          <w:color w:val="auto"/>
        </w:rPr>
      </w:pPr>
      <w:r>
        <w:rPr>
          <w:rFonts w:ascii="Arial" w:cs="Arial" w:eastAsia="Arial" w:hAnsi="Arial"/>
          <w:sz w:val="18"/>
          <w:szCs w:val="18"/>
          <w:color w:val="auto"/>
        </w:rPr>
        <w:t>Net cash from investing activities was €28.1 million for 2019 as compared to net cash used in investing activities of €4.3 million for 2018. The increase in net cash from investing activities was primarily attributable to proceeds from the sale of short-term investments and decreased purchases of intangible assets.</w:t>
      </w:r>
    </w:p>
    <w:p>
      <w:pPr>
        <w:spacing w:after="0" w:line="187"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Financing Activities</w:t>
      </w:r>
    </w:p>
    <w:p>
      <w:pPr>
        <w:spacing w:after="0" w:line="144" w:lineRule="exact"/>
        <w:rPr>
          <w:sz w:val="20"/>
          <w:szCs w:val="20"/>
          <w:color w:val="auto"/>
        </w:rPr>
      </w:pPr>
    </w:p>
    <w:p>
      <w:pPr>
        <w:ind w:left="1260" w:right="419" w:firstLine="648"/>
        <w:spacing w:after="0" w:line="263" w:lineRule="auto"/>
        <w:rPr>
          <w:sz w:val="20"/>
          <w:szCs w:val="20"/>
          <w:color w:val="auto"/>
        </w:rPr>
      </w:pPr>
      <w:r>
        <w:rPr>
          <w:rFonts w:ascii="Arial" w:cs="Arial" w:eastAsia="Arial" w:hAnsi="Arial"/>
          <w:sz w:val="18"/>
          <w:szCs w:val="18"/>
          <w:color w:val="auto"/>
        </w:rPr>
        <w:t>Net cash from financing activities was €68.0 million for 2019 as compared to €0.1 million for 2018. The increase in cash flow from financing activities was primarily attributable to proceeds from convertible loans.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ind w:left="1260" w:right="499" w:firstLine="648"/>
        <w:spacing w:after="0" w:line="273" w:lineRule="auto"/>
        <w:rPr>
          <w:sz w:val="20"/>
          <w:szCs w:val="20"/>
          <w:color w:val="auto"/>
        </w:rPr>
      </w:pPr>
      <w:r>
        <w:rPr>
          <w:rFonts w:ascii="Arial" w:cs="Arial" w:eastAsia="Arial" w:hAnsi="Arial"/>
          <w:sz w:val="17"/>
          <w:szCs w:val="17"/>
          <w:color w:val="auto"/>
        </w:rPr>
        <w:t>We did not have during the periods presented, and we do not currently have, any off-balance sheet arrangements that have or are reasonably likely to have a current or future effect on our financial condition, revenues or expenses, results of operations, liquidity, capital expenditures or capital resources, except for those noncancellable contractual obligations from certain of our arrangements with contract manufacturing organizations disclosed in “Management’s Discussion and Analysis of Financial Condition and Results of Operations — Liquidity” and “Capital Resources — Contractual Obligations and Commitments” below.</w:t>
      </w:r>
    </w:p>
    <w:p>
      <w:pPr>
        <w:spacing w:after="0" w:line="35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9" w:name="page120"/>
    <w:bookmarkEnd w:id="1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58" w:lineRule="exact"/>
        <w:rPr>
          <w:sz w:val="20"/>
          <w:szCs w:val="20"/>
          <w:color w:val="auto"/>
        </w:rPr>
      </w:pPr>
    </w:p>
    <w:p>
      <w:pPr>
        <w:ind w:left="1260" w:right="679" w:firstLine="648"/>
        <w:spacing w:after="0" w:line="248" w:lineRule="auto"/>
        <w:rPr>
          <w:sz w:val="20"/>
          <w:szCs w:val="20"/>
          <w:color w:val="auto"/>
        </w:rPr>
      </w:pPr>
      <w:r>
        <w:rPr>
          <w:rFonts w:ascii="Arial" w:cs="Arial" w:eastAsia="Arial" w:hAnsi="Arial"/>
          <w:sz w:val="18"/>
          <w:szCs w:val="18"/>
          <w:color w:val="auto"/>
        </w:rPr>
        <w:t>The following table summarizes our contractual obligations as of December 31, 2020 and the effects, including estimated interest payments, that such obligations are expected to have on our liquidity and cash flows in future periods:</w:t>
      </w:r>
    </w:p>
    <w:p>
      <w:pPr>
        <w:spacing w:after="0" w:line="119"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6"/>
          </w:tcPr>
          <w:p>
            <w:pPr>
              <w:ind w:left="80"/>
              <w:spacing w:after="0"/>
              <w:rPr>
                <w:sz w:val="20"/>
                <w:szCs w:val="20"/>
                <w:color w:val="auto"/>
              </w:rPr>
            </w:pPr>
            <w:r>
              <w:rPr>
                <w:rFonts w:ascii="Arial" w:cs="Arial" w:eastAsia="Arial" w:hAnsi="Arial"/>
                <w:sz w:val="14"/>
                <w:szCs w:val="14"/>
                <w:b w:val="1"/>
                <w:bCs w:val="1"/>
                <w:color w:val="auto"/>
              </w:rPr>
              <w:t>Payment Due by Period</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6"/>
        </w:trPr>
        <w:tc>
          <w:tcPr>
            <w:tcW w:w="2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r>
      <w:tr>
        <w:trPr>
          <w:trHeight w:val="237"/>
        </w:trPr>
        <w:tc>
          <w:tcPr>
            <w:tcW w:w="2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Borders>
              <w:bottom w:val="single" w:sz="8" w:color="auto"/>
            </w:tcBorders>
            <w:gridSpan w:val="2"/>
          </w:tcPr>
          <w:p>
            <w:pPr>
              <w:jc w:val="right"/>
              <w:ind w:right="320"/>
              <w:spacing w:after="0" w:line="237" w:lineRule="exact"/>
              <w:rPr>
                <w:sz w:val="20"/>
                <w:szCs w:val="20"/>
                <w:color w:val="auto"/>
              </w:rPr>
            </w:pPr>
            <w:r>
              <w:rPr>
                <w:rFonts w:ascii="Arial" w:cs="Arial" w:eastAsia="Arial" w:hAnsi="Arial"/>
                <w:sz w:val="14"/>
                <w:szCs w:val="14"/>
                <w:b w:val="1"/>
                <w:bCs w:val="1"/>
                <w:color w:val="auto"/>
                <w:w w:val="94"/>
              </w:rPr>
              <w:t>Total</w:t>
            </w:r>
            <w:r>
              <w:rPr>
                <w:rFonts w:ascii="Arial" w:cs="Arial" w:eastAsia="Arial" w:hAnsi="Arial"/>
                <w:sz w:val="21"/>
                <w:szCs w:val="21"/>
                <w:b w:val="1"/>
                <w:bCs w:val="1"/>
                <w:color w:val="auto"/>
                <w:w w:val="94"/>
                <w:vertAlign w:val="superscript"/>
              </w:rPr>
              <w:t>(2)</w:t>
            </w:r>
          </w:p>
        </w:tc>
        <w:tc>
          <w:tcPr>
            <w:tcW w:w="5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2025</w:t>
            </w: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Thereafter</w:t>
            </w:r>
          </w:p>
        </w:tc>
      </w:tr>
      <w:tr>
        <w:trPr>
          <w:trHeight w:val="197"/>
        </w:trPr>
        <w:tc>
          <w:tcPr>
            <w:tcW w:w="2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1"/>
              </w:rPr>
              <w:t>(in thousands of euros)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6"/>
        </w:trPr>
        <w:tc>
          <w:tcPr>
            <w:tcW w:w="2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342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Contractual CMO commitments</w:t>
            </w:r>
            <w:r>
              <w:rPr>
                <w:rFonts w:ascii="Arial" w:cs="Arial" w:eastAsia="Arial" w:hAnsi="Arial"/>
                <w:sz w:val="26"/>
                <w:szCs w:val="26"/>
                <w:color w:val="auto"/>
                <w:vertAlign w:val="superscript"/>
              </w:rPr>
              <w:t>(1)</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97,151</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97,151</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420" w:type="dxa"/>
            <w:vAlign w:val="bottom"/>
            <w:gridSpan w:val="2"/>
          </w:tcPr>
          <w:p>
            <w:pPr>
              <w:spacing w:after="0"/>
              <w:rPr>
                <w:sz w:val="20"/>
                <w:szCs w:val="20"/>
                <w:color w:val="auto"/>
              </w:rPr>
            </w:pPr>
            <w:r>
              <w:rPr>
                <w:rFonts w:ascii="Arial" w:cs="Arial" w:eastAsia="Arial" w:hAnsi="Arial"/>
                <w:sz w:val="18"/>
                <w:szCs w:val="18"/>
                <w:color w:val="auto"/>
              </w:rPr>
              <w:t>Lease liabilities</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30,087</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2,961</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3,074</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3,131</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3,310</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3,449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14,161</w:t>
            </w:r>
          </w:p>
        </w:tc>
      </w:tr>
      <w:tr>
        <w:trPr>
          <w:trHeight w:val="263"/>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25,875</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25,875</w:t>
            </w:r>
          </w:p>
        </w:tc>
      </w:tr>
      <w:tr>
        <w:trPr>
          <w:trHeight w:val="20"/>
        </w:trPr>
        <w:tc>
          <w:tcPr>
            <w:tcW w:w="26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r>
      <w:tr>
        <w:trPr>
          <w:trHeight w:val="263"/>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6"/>
              </w:rPr>
              <w:t>153,112</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6"/>
              </w:rPr>
              <w:t>100,112</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3,074</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4"/>
              </w:rPr>
              <w:t>3,131</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4"/>
              </w:rPr>
              <w:t>3,310</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4"/>
              </w:rPr>
              <w:t>3,449</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30,086</w:t>
            </w:r>
          </w:p>
        </w:tc>
      </w:tr>
      <w:tr>
        <w:trPr>
          <w:trHeight w:val="20"/>
        </w:trPr>
        <w:tc>
          <w:tcPr>
            <w:tcW w:w="2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95"/>
        </w:trPr>
        <w:tc>
          <w:tcPr>
            <w:tcW w:w="260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5471795</wp:posOffset>
            </wp:positionH>
            <wp:positionV relativeFrom="paragraph">
              <wp:posOffset>-942340</wp:posOffset>
            </wp:positionV>
            <wp:extent cx="1371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-942340</wp:posOffset>
            </wp:positionV>
            <wp:extent cx="1371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4665980</wp:posOffset>
            </wp:positionH>
            <wp:positionV relativeFrom="paragraph">
              <wp:posOffset>-942340</wp:posOffset>
            </wp:positionV>
            <wp:extent cx="1371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-942340</wp:posOffset>
            </wp:positionV>
            <wp:extent cx="1371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-942340</wp:posOffset>
            </wp:positionV>
            <wp:extent cx="1371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3345815</wp:posOffset>
            </wp:positionH>
            <wp:positionV relativeFrom="paragraph">
              <wp:posOffset>-942340</wp:posOffset>
            </wp:positionV>
            <wp:extent cx="1371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01" w:lineRule="exact"/>
        <w:rPr>
          <w:sz w:val="20"/>
          <w:szCs w:val="20"/>
          <w:color w:val="auto"/>
        </w:rPr>
      </w:pPr>
    </w:p>
    <w:p>
      <w:pPr>
        <w:ind w:left="1900" w:right="519" w:hanging="640"/>
        <w:spacing w:after="0" w:line="271" w:lineRule="auto"/>
        <w:tabs>
          <w:tab w:leader="none" w:pos="1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We enter into contracts in the normal course of business with third-party contract organizations for clinical trials, preclinical studies, manufacturing and other services and products for operating purposes. These contracts generally provide for termination following a certain period after notice, and therefore, we believe that our noncancelable obligations under these agreements are not material and they are not included in the table above. However, as of December 31, 2020, in connection with our CVnCoV development program, we entered into arrangements with contract manufacturing organizations, or CMOs, which contain certain noncancellable contractual obligations totaling €97.2 million, and therefore, have included these in the table above.</w:t>
      </w:r>
    </w:p>
    <w:p>
      <w:pPr>
        <w:spacing w:after="0" w:line="43" w:lineRule="exact"/>
        <w:rPr>
          <w:rFonts w:ascii="Arial" w:cs="Arial" w:eastAsia="Arial" w:hAnsi="Arial"/>
          <w:sz w:val="17"/>
          <w:szCs w:val="17"/>
          <w:color w:val="auto"/>
        </w:rPr>
      </w:pPr>
    </w:p>
    <w:p>
      <w:pPr>
        <w:ind w:left="1900" w:right="679" w:hanging="640"/>
        <w:spacing w:after="0" w:line="277" w:lineRule="auto"/>
        <w:tabs>
          <w:tab w:leader="none" w:pos="1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amount does not reflect further remuneration payments for future periods starting 2023. The remuneration payments are dependent on future batch deliveries.</w:t>
      </w:r>
    </w:p>
    <w:p>
      <w:pPr>
        <w:spacing w:after="0" w:line="89" w:lineRule="exact"/>
        <w:rPr>
          <w:sz w:val="20"/>
          <w:szCs w:val="20"/>
          <w:color w:val="auto"/>
        </w:rPr>
      </w:pPr>
    </w:p>
    <w:p>
      <w:pPr>
        <w:ind w:left="1260" w:right="439" w:firstLine="648"/>
        <w:spacing w:after="0" w:line="241" w:lineRule="auto"/>
        <w:rPr>
          <w:sz w:val="20"/>
          <w:szCs w:val="20"/>
          <w:color w:val="auto"/>
        </w:rPr>
      </w:pPr>
      <w:r>
        <w:rPr>
          <w:rFonts w:ascii="Arial" w:cs="Arial" w:eastAsia="Arial" w:hAnsi="Arial"/>
          <w:sz w:val="18"/>
          <w:szCs w:val="18"/>
          <w:color w:val="auto"/>
        </w:rPr>
        <w:t>On November 30, 2020, we entered into an APA with the EC, acting on behalf and in the name of all Member States of the European Union, that provides substantial support focused on our efforts to advance CVnCoV. See “Management’s Discussion and Analysis of Financial Condition and Results of Operations — Liquidity and Capital Resources — Advance Purchase Agreement for our COVID-19 Vaccine Candidate.”</w:t>
      </w:r>
    </w:p>
    <w:p>
      <w:pPr>
        <w:spacing w:after="0" w:line="122" w:lineRule="exact"/>
        <w:rPr>
          <w:sz w:val="20"/>
          <w:szCs w:val="20"/>
          <w:color w:val="auto"/>
        </w:rPr>
      </w:pPr>
    </w:p>
    <w:p>
      <w:pPr>
        <w:ind w:left="1260" w:right="459" w:firstLine="648"/>
        <w:spacing w:after="0" w:line="238" w:lineRule="auto"/>
        <w:rPr>
          <w:sz w:val="20"/>
          <w:szCs w:val="20"/>
          <w:color w:val="auto"/>
        </w:rPr>
      </w:pPr>
      <w:r>
        <w:rPr>
          <w:rFonts w:ascii="Arial" w:cs="Arial" w:eastAsia="Arial" w:hAnsi="Arial"/>
          <w:sz w:val="18"/>
          <w:szCs w:val="18"/>
          <w:color w:val="auto"/>
        </w:rPr>
        <w:t>We have entered into various agreements with collaborators, including licensing agreements. These agreements provide for us to make milestone and royalty payments that are conditional on the achievement of certain development, regulatory and commercial milestones and certain of these agreements provide us an option to obtain further licenses which could additionally require us to make such milestone and royalty payments. As of September 30, 2020, the aggregate amount of such potential milestone payments, including those relating to licenses acquired from exercised options, under all such collaboration agreements, was up to approximately $120.6 million. The timing of these payments, and whether they become due, is conditional on achieving the applicable milestones.</w:t>
      </w:r>
    </w:p>
    <w:p>
      <w:pPr>
        <w:spacing w:after="0" w:line="126" w:lineRule="exact"/>
        <w:rPr>
          <w:sz w:val="20"/>
          <w:szCs w:val="20"/>
          <w:color w:val="auto"/>
        </w:rPr>
      </w:pPr>
    </w:p>
    <w:p>
      <w:pPr>
        <w:ind w:left="1260" w:right="419" w:firstLine="648"/>
        <w:spacing w:after="0" w:line="261" w:lineRule="auto"/>
        <w:rPr>
          <w:sz w:val="20"/>
          <w:szCs w:val="20"/>
          <w:color w:val="auto"/>
        </w:rPr>
      </w:pPr>
      <w:r>
        <w:rPr>
          <w:rFonts w:ascii="Arial" w:cs="Arial" w:eastAsia="Arial" w:hAnsi="Arial"/>
          <w:sz w:val="18"/>
          <w:szCs w:val="18"/>
          <w:color w:val="auto"/>
        </w:rPr>
        <w:t>We have not included milestone or royalty payments or other contractual payment obligations in the table above if the timing and amount of such obligations are unknown or uncertain.</w:t>
      </w:r>
    </w:p>
    <w:p>
      <w:pPr>
        <w:spacing w:after="0" w:line="171"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Future Capital Requirements</w:t>
      </w:r>
    </w:p>
    <w:p>
      <w:pPr>
        <w:spacing w:after="0" w:line="144" w:lineRule="exact"/>
        <w:rPr>
          <w:sz w:val="20"/>
          <w:szCs w:val="20"/>
          <w:color w:val="auto"/>
        </w:rPr>
      </w:pPr>
    </w:p>
    <w:p>
      <w:pPr>
        <w:ind w:left="1260" w:right="479" w:firstLine="648"/>
        <w:spacing w:after="0" w:line="248" w:lineRule="auto"/>
        <w:rPr>
          <w:sz w:val="20"/>
          <w:szCs w:val="20"/>
          <w:color w:val="auto"/>
        </w:rPr>
      </w:pPr>
      <w:r>
        <w:rPr>
          <w:rFonts w:ascii="Arial" w:cs="Arial" w:eastAsia="Arial" w:hAnsi="Arial"/>
          <w:sz w:val="18"/>
          <w:szCs w:val="18"/>
          <w:color w:val="auto"/>
        </w:rPr>
        <w:t>We expect our expenses to increase in connection with our ongoing activities. In addition, upon the closing of this offering, we expect to incur additional costs associated with operating as a public company. Our expenses will also increase if, and as, we:</w:t>
      </w:r>
    </w:p>
    <w:p>
      <w:pPr>
        <w:spacing w:after="0" w:line="74" w:lineRule="exact"/>
        <w:rPr>
          <w:sz w:val="20"/>
          <w:szCs w:val="20"/>
          <w:color w:val="auto"/>
        </w:rPr>
      </w:pPr>
    </w:p>
    <w:p>
      <w:pPr>
        <w:ind w:left="2260" w:hanging="352"/>
        <w:spacing w:after="0"/>
        <w:tabs>
          <w:tab w:leader="none" w:pos="2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advance the development of our clinical programs;</w:t>
      </w:r>
    </w:p>
    <w:p>
      <w:pPr>
        <w:spacing w:after="0" w:line="117" w:lineRule="exact"/>
        <w:rPr>
          <w:rFonts w:ascii="Arial" w:cs="Arial" w:eastAsia="Arial" w:hAnsi="Arial"/>
          <w:sz w:val="18"/>
          <w:szCs w:val="18"/>
          <w:color w:val="auto"/>
        </w:rPr>
      </w:pPr>
    </w:p>
    <w:p>
      <w:pPr>
        <w:ind w:left="2260" w:right="739" w:hanging="352"/>
        <w:spacing w:after="0" w:line="277" w:lineRule="auto"/>
        <w:tabs>
          <w:tab w:leader="none" w:pos="2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leverage our programs to advance our other product candidates into preclinical and clinical development;</w:t>
      </w:r>
    </w:p>
    <w:p>
      <w:pPr>
        <w:spacing w:after="0" w:line="62" w:lineRule="exact"/>
        <w:rPr>
          <w:rFonts w:ascii="Arial" w:cs="Arial" w:eastAsia="Arial" w:hAnsi="Arial"/>
          <w:sz w:val="18"/>
          <w:szCs w:val="18"/>
          <w:color w:val="auto"/>
        </w:rPr>
      </w:pPr>
    </w:p>
    <w:p>
      <w:pPr>
        <w:ind w:left="2260" w:hanging="352"/>
        <w:spacing w:after="0"/>
        <w:tabs>
          <w:tab w:leader="none" w:pos="22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seek regulatory approvals for any product candidates that successfully complete clinical trials;</w:t>
      </w:r>
    </w:p>
    <w:p>
      <w:pPr>
        <w:spacing w:after="0" w:line="200" w:lineRule="exact"/>
        <w:rPr>
          <w:sz w:val="20"/>
          <w:szCs w:val="20"/>
          <w:color w:val="auto"/>
        </w:rPr>
      </w:pPr>
    </w:p>
    <w:p>
      <w:pPr>
        <w:spacing w:after="0" w:line="21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0" w:name="page121"/>
    <w:bookmarkEnd w:id="1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60" w:hanging="352"/>
        <w:spacing w:after="0"/>
        <w:tabs>
          <w:tab w:leader="none" w:pos="2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117" w:lineRule="exact"/>
        <w:rPr>
          <w:rFonts w:ascii="Arial" w:cs="Arial" w:eastAsia="Arial" w:hAnsi="Arial"/>
          <w:sz w:val="18"/>
          <w:szCs w:val="18"/>
          <w:color w:val="auto"/>
        </w:rPr>
      </w:pPr>
    </w:p>
    <w:p>
      <w:pPr>
        <w:ind w:left="2260" w:right="659" w:hanging="352"/>
        <w:spacing w:after="0" w:line="263" w:lineRule="auto"/>
        <w:tabs>
          <w:tab w:leader="none" w:pos="2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establish a sales, marketing, medical affairs and distribution infrastructure to commercialize any product candidates for which we may obtain marketing approval and intend to commercialize on our own or jointly;</w:t>
      </w:r>
    </w:p>
    <w:p>
      <w:pPr>
        <w:spacing w:after="0" w:line="75" w:lineRule="exact"/>
        <w:rPr>
          <w:rFonts w:ascii="Arial" w:cs="Arial" w:eastAsia="Arial" w:hAnsi="Arial"/>
          <w:sz w:val="18"/>
          <w:szCs w:val="18"/>
          <w:color w:val="auto"/>
        </w:rPr>
      </w:pPr>
    </w:p>
    <w:p>
      <w:pPr>
        <w:ind w:left="2260" w:hanging="352"/>
        <w:spacing w:after="0"/>
        <w:tabs>
          <w:tab w:leader="none" w:pos="2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w:t>
      </w:r>
    </w:p>
    <w:p>
      <w:pPr>
        <w:spacing w:after="0" w:line="117" w:lineRule="exact"/>
        <w:rPr>
          <w:rFonts w:ascii="Arial" w:cs="Arial" w:eastAsia="Arial" w:hAnsi="Arial"/>
          <w:sz w:val="18"/>
          <w:szCs w:val="18"/>
          <w:color w:val="auto"/>
        </w:rPr>
      </w:pPr>
    </w:p>
    <w:p>
      <w:pPr>
        <w:jc w:val="both"/>
        <w:ind w:left="2260" w:right="539" w:hanging="352"/>
        <w:spacing w:after="0" w:line="263" w:lineRule="auto"/>
        <w:tabs>
          <w:tab w:leader="none" w:pos="2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expand and/or build out the manufacturing capacities and production volume of our GMP I/II and GMP III facilities, continue construction of our GMP IV facility, and construct or operate additional facilities;</w:t>
      </w:r>
    </w:p>
    <w:p>
      <w:pPr>
        <w:spacing w:after="0" w:line="75" w:lineRule="exact"/>
        <w:rPr>
          <w:rFonts w:ascii="Arial" w:cs="Arial" w:eastAsia="Arial" w:hAnsi="Arial"/>
          <w:sz w:val="18"/>
          <w:szCs w:val="18"/>
          <w:color w:val="auto"/>
        </w:rPr>
      </w:pPr>
    </w:p>
    <w:p>
      <w:pPr>
        <w:ind w:left="2260" w:right="579" w:hanging="352"/>
        <w:spacing w:after="0" w:line="263" w:lineRule="auto"/>
        <w:tabs>
          <w:tab w:leader="none" w:pos="2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increase personnel, including personnel to support our clinical development, manufacturing and commercialization efforts and our operations as a public company;</w:t>
      </w:r>
    </w:p>
    <w:p>
      <w:pPr>
        <w:spacing w:after="0" w:line="75" w:lineRule="exact"/>
        <w:rPr>
          <w:rFonts w:ascii="Arial" w:cs="Arial" w:eastAsia="Arial" w:hAnsi="Arial"/>
          <w:sz w:val="18"/>
          <w:szCs w:val="18"/>
          <w:color w:val="auto"/>
        </w:rPr>
      </w:pPr>
    </w:p>
    <w:p>
      <w:pPr>
        <w:ind w:left="2260" w:hanging="352"/>
        <w:spacing w:after="0"/>
        <w:tabs>
          <w:tab w:leader="none" w:pos="2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advance the testing, process development and operation of the RNA Printer™ prototypes;</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secure, maintain, expand, enforce and protect our intellectual property portfolio; and</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44" w:lineRule="exact"/>
        <w:rPr>
          <w:sz w:val="20"/>
          <w:szCs w:val="20"/>
          <w:color w:val="auto"/>
        </w:rPr>
      </w:pPr>
    </w:p>
    <w:p>
      <w:pPr>
        <w:ind w:left="1260" w:right="679" w:firstLine="648"/>
        <w:spacing w:after="0" w:line="257" w:lineRule="auto"/>
        <w:rPr>
          <w:sz w:val="20"/>
          <w:szCs w:val="20"/>
          <w:color w:val="auto"/>
        </w:rPr>
      </w:pPr>
      <w:r>
        <w:rPr>
          <w:rFonts w:ascii="Arial" w:cs="Arial" w:eastAsia="Arial" w:hAnsi="Arial"/>
          <w:sz w:val="18"/>
          <w:szCs w:val="18"/>
          <w:color w:val="auto"/>
        </w:rPr>
        <w:t>We believe that the anticipated net proceeds from this offering, together with our existing cash, cash equivalents, borrowings available to us and short-term investments, will enable us to fund our operating expenses and capital expenditure requirements at least through the end of 2023. We have based this estimate on assumptions that may prove to be wrong, and we could exhaust our available capital resources sooner than we expect.</w:t>
      </w:r>
    </w:p>
    <w:p>
      <w:pPr>
        <w:spacing w:after="0" w:line="120" w:lineRule="exact"/>
        <w:rPr>
          <w:sz w:val="20"/>
          <w:szCs w:val="20"/>
          <w:color w:val="auto"/>
        </w:rPr>
      </w:pPr>
    </w:p>
    <w:p>
      <w:pPr>
        <w:ind w:left="1260" w:right="579" w:firstLine="648"/>
        <w:spacing w:after="0" w:line="279" w:lineRule="auto"/>
        <w:rPr>
          <w:sz w:val="20"/>
          <w:szCs w:val="20"/>
          <w:color w:val="auto"/>
        </w:rPr>
      </w:pPr>
      <w:r>
        <w:rPr>
          <w:rFonts w:ascii="Arial" w:cs="Arial" w:eastAsia="Arial" w:hAnsi="Arial"/>
          <w:sz w:val="17"/>
          <w:szCs w:val="17"/>
          <w:color w:val="auto"/>
        </w:rPr>
        <w:t>A change in the outcome of any of these or other variables with respect to the development of any of our product candidates could significantly change the costs and timing associated with the development of that product candidate. Further, our operating plans may change in the future, and we may need additional funds to meet operational needs and capital requirements associated with such operating plans.</w:t>
      </w:r>
    </w:p>
    <w:p>
      <w:pPr>
        <w:spacing w:after="0" w:line="104" w:lineRule="exact"/>
        <w:rPr>
          <w:sz w:val="20"/>
          <w:szCs w:val="20"/>
          <w:color w:val="auto"/>
        </w:rPr>
      </w:pPr>
    </w:p>
    <w:p>
      <w:pPr>
        <w:ind w:left="1260" w:right="439" w:firstLine="648"/>
        <w:spacing w:after="0" w:line="253" w:lineRule="auto"/>
        <w:rPr>
          <w:sz w:val="20"/>
          <w:szCs w:val="20"/>
          <w:color w:val="auto"/>
        </w:rPr>
      </w:pPr>
      <w:r>
        <w:rPr>
          <w:rFonts w:ascii="Arial" w:cs="Arial" w:eastAsia="Arial" w:hAnsi="Arial"/>
          <w:sz w:val="18"/>
          <w:szCs w:val="18"/>
          <w:color w:val="auto"/>
        </w:rPr>
        <w:t>Until such time, if ever, as we can generate substantial product revenue, we expect to finance our cash needs through a combination of public or private equity offerings, debt financings, advanced payments, collaborations, strategic partnerships or marketing, distribution or licensing arrangements with third parties and grants from organizations and foundations. To the extent that we raise additional capital through the sale of equity or convertible debt securities, your ownership interest may be materially diluted, and the terms of such securities could include liquidation or other preferences that may adversely affect your rights as a common shareholder. Debt financing and preferred equity financing, if available, may involve agreements that include restrictive covenants that limit our ability to take specified actions, such as incurring additional debt, making capital expenditures or declaring dividends. In addition, debt financing would result in increased fixed payment obligations.</w:t>
      </w:r>
    </w:p>
    <w:p>
      <w:pPr>
        <w:spacing w:after="0" w:line="113" w:lineRule="exact"/>
        <w:rPr>
          <w:sz w:val="20"/>
          <w:szCs w:val="20"/>
          <w:color w:val="auto"/>
        </w:rPr>
      </w:pPr>
    </w:p>
    <w:p>
      <w:pPr>
        <w:ind w:left="1260" w:right="699" w:firstLine="648"/>
        <w:spacing w:after="0" w:line="279" w:lineRule="auto"/>
        <w:rPr>
          <w:sz w:val="20"/>
          <w:szCs w:val="20"/>
          <w:color w:val="auto"/>
        </w:rPr>
      </w:pPr>
      <w:r>
        <w:rPr>
          <w:rFonts w:ascii="Arial" w:cs="Arial" w:eastAsia="Arial" w:hAnsi="Arial"/>
          <w:sz w:val="17"/>
          <w:szCs w:val="17"/>
          <w:color w:val="auto"/>
        </w:rPr>
        <w:t>If we raise funds through collaborations, advance purchase agreements, strategic partnerships or marketing, distribution or licensing arrangements with third parties, we may have to relinquish valuable rights to our technologies, restrict our operation, future revenue streams, research programs or product candidates or grant licenses on terms that may not be favorable to us.</w:t>
      </w:r>
    </w:p>
    <w:p>
      <w:pPr>
        <w:spacing w:after="0" w:line="104" w:lineRule="exact"/>
        <w:rPr>
          <w:sz w:val="20"/>
          <w:szCs w:val="20"/>
          <w:color w:val="auto"/>
        </w:rPr>
      </w:pPr>
    </w:p>
    <w:p>
      <w:pPr>
        <w:jc w:val="both"/>
        <w:ind w:left="1260" w:right="819" w:firstLine="648"/>
        <w:spacing w:after="0" w:line="286" w:lineRule="auto"/>
        <w:rPr>
          <w:sz w:val="20"/>
          <w:szCs w:val="20"/>
          <w:color w:val="auto"/>
        </w:rPr>
      </w:pPr>
      <w:r>
        <w:rPr>
          <w:rFonts w:ascii="Arial" w:cs="Arial" w:eastAsia="Arial" w:hAnsi="Arial"/>
          <w:sz w:val="17"/>
          <w:szCs w:val="17"/>
          <w:color w:val="auto"/>
        </w:rPr>
        <w:t>If we are unable to raise additional funds when needed, we may be required to delay, reduce or eliminate our product development or future commercialization efforts or to grant rights to develop and market product candidates that we would otherwise prefer to develop and market ourselves.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62" w:lineRule="exact"/>
        <w:rPr>
          <w:sz w:val="20"/>
          <w:szCs w:val="20"/>
          <w:color w:val="auto"/>
        </w:rPr>
      </w:pPr>
    </w:p>
    <w:p>
      <w:pPr>
        <w:ind w:left="1260" w:right="599" w:firstLine="648"/>
        <w:spacing w:after="0" w:line="254" w:lineRule="auto"/>
        <w:rPr>
          <w:sz w:val="20"/>
          <w:szCs w:val="20"/>
          <w:color w:val="auto"/>
        </w:rPr>
      </w:pPr>
      <w:r>
        <w:rPr>
          <w:rFonts w:ascii="Arial" w:cs="Arial" w:eastAsia="Arial" w:hAnsi="Arial"/>
          <w:sz w:val="18"/>
          <w:szCs w:val="18"/>
          <w:color w:val="auto"/>
        </w:rPr>
        <w:t>In the ordinary course of our business activities, we are exposed to various market risks that are beyond our control, including fluctuations in foreign exchange rates, which may have an adverse effect on the value of our financial assets and liabilities, future cash flows and profit. As a result of these market risks, we could suffer a loss due to adverse changes in foreign exchange rates in the countries in which we operate. Our policy with respect to these market risks is to assess the potential of experiencing losses and the consolidated impact thereof and to mitigate these market risks. We are not currently exposed to significant</w:t>
      </w:r>
    </w:p>
    <w:p>
      <w:pPr>
        <w:sectPr>
          <w:pgSz w:w="11900" w:h="16838" w:orient="portrait"/>
          <w:cols w:equalWidth="0" w:num="1">
            <w:col w:w="9879"/>
          </w:cols>
          <w:pgMar w:left="580" w:top="131"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1" w:name="page122"/>
    <w:bookmarkEnd w:id="1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599"/>
        <w:spacing w:after="0" w:line="263" w:lineRule="auto"/>
        <w:rPr>
          <w:sz w:val="20"/>
          <w:szCs w:val="20"/>
          <w:color w:val="auto"/>
        </w:rPr>
      </w:pPr>
      <w:r>
        <w:rPr>
          <w:rFonts w:ascii="Arial" w:cs="Arial" w:eastAsia="Arial" w:hAnsi="Arial"/>
          <w:sz w:val="18"/>
          <w:szCs w:val="18"/>
          <w:color w:val="auto"/>
        </w:rPr>
        <w:t>interest rate risk because we do not currently hold long-term debt that is exposed to market rates. See note 15 to our financial statements contained elsewhere in this prospectus for further information on our risk management policies and exposure to market risks.</w:t>
      </w:r>
    </w:p>
    <w:p>
      <w:pPr>
        <w:spacing w:after="0" w:line="184"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Credit Risk</w:t>
      </w:r>
    </w:p>
    <w:p>
      <w:pPr>
        <w:spacing w:after="0" w:line="158" w:lineRule="exact"/>
        <w:rPr>
          <w:sz w:val="20"/>
          <w:szCs w:val="20"/>
          <w:color w:val="auto"/>
        </w:rPr>
      </w:pPr>
    </w:p>
    <w:p>
      <w:pPr>
        <w:ind w:left="1260" w:right="439" w:firstLine="648"/>
        <w:spacing w:after="0" w:line="255" w:lineRule="auto"/>
        <w:rPr>
          <w:sz w:val="20"/>
          <w:szCs w:val="20"/>
          <w:color w:val="auto"/>
        </w:rPr>
      </w:pPr>
      <w:r>
        <w:rPr>
          <w:rFonts w:ascii="Arial" w:cs="Arial" w:eastAsia="Arial" w:hAnsi="Arial"/>
          <w:sz w:val="18"/>
          <w:szCs w:val="18"/>
          <w:color w:val="auto"/>
        </w:rPr>
        <w:t>Our credit risk arises primarily from cash and cash equivalents and other financial assets, including deposits with banks and financial institutions, as well as credit exposures to customers, including outstanding receivables and contract assets. These financial instruments approximate fair value due to short-term maturities. We maintain our cash and cash equivalents and short-term investments with high credit quality financial institutions. We believe that our credit policies reflect normal industry terms and business risk.</w:t>
      </w:r>
    </w:p>
    <w:p>
      <w:pPr>
        <w:spacing w:after="0" w:line="192"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58" w:lineRule="exact"/>
        <w:rPr>
          <w:sz w:val="20"/>
          <w:szCs w:val="20"/>
          <w:color w:val="auto"/>
        </w:rPr>
      </w:pPr>
    </w:p>
    <w:p>
      <w:pPr>
        <w:ind w:left="1260" w:right="419" w:firstLine="648"/>
        <w:spacing w:after="0" w:line="267" w:lineRule="auto"/>
        <w:rPr>
          <w:sz w:val="20"/>
          <w:szCs w:val="20"/>
          <w:color w:val="auto"/>
        </w:rPr>
      </w:pPr>
      <w:r>
        <w:rPr>
          <w:rFonts w:ascii="Arial" w:cs="Arial" w:eastAsia="Arial" w:hAnsi="Arial"/>
          <w:sz w:val="17"/>
          <w:szCs w:val="17"/>
          <w:color w:val="auto"/>
        </w:rPr>
        <w:t>Foreign currency risk is the risk that the fair value or future cash flows of an exposure will fluctuate because of changes in foreign exchange rates. Our exposure to the risk of changes in foreign exchange rates relates primarily to our operating activities (when revenue or expense is denominated in a foreign currency) and the amounts held as cash and cash equivalents. Our consolidated financial statements are reported in euros. We generate a significant portion of our revenue and incur a significant portion of our expenditures in certain non-euro currencies, principally U.S. dollars. We are exposed to fluctuations in foreign currency exchange rates primarily on revenue generated from sales in these foreign currencies. Our results of operations can be affected if the U.S. dollar appreciates or depreciates against the euro. As of December 31, 2019, if the euro had weakened 10% against the U.S. dollar with all other variables held constant, pre-tax loss for the year would have been €3.4 million (2018: €1.2 million) lower and post-tax loss would have been €2.4 million lower (2018: €0.8 million). Conversely, if the euro had strengthened 10% against the U.S. dollar with all other variables held constant, pre-tax loss would have been €2.8 million (2018: €1.0 million) higher and post-tax loss would have been €2.0 million (2018: €0.7 million) higher. The effects on pre- and post-tax loss and (accumulated) other comprehensive income due to fact that our subsidiary CureVac Inc.’s functional currency is the U.S. dollar would still have been immaterial at December 31, 2019 and September 30, 2020. As of the date of this prospectus, we are not able to assess the effect of the foreign currency risk on our pre-tax or posttax loss for the fiscal year of 2020, but do not expect it to be material to our results of operations for such fiscal year.</w:t>
      </w:r>
    </w:p>
    <w:p>
      <w:pPr>
        <w:spacing w:after="0" w:line="109" w:lineRule="exact"/>
        <w:rPr>
          <w:sz w:val="20"/>
          <w:szCs w:val="20"/>
          <w:color w:val="auto"/>
        </w:rPr>
      </w:pPr>
    </w:p>
    <w:p>
      <w:pPr>
        <w:ind w:left="1260" w:right="459" w:firstLine="648"/>
        <w:spacing w:after="0" w:line="253" w:lineRule="auto"/>
        <w:rPr>
          <w:sz w:val="20"/>
          <w:szCs w:val="20"/>
          <w:color w:val="auto"/>
        </w:rPr>
      </w:pPr>
      <w:r>
        <w:rPr>
          <w:rFonts w:ascii="Arial" w:cs="Arial" w:eastAsia="Arial" w:hAnsi="Arial"/>
          <w:sz w:val="18"/>
          <w:szCs w:val="18"/>
          <w:color w:val="auto"/>
        </w:rPr>
        <w:t>To the extent that we need to convert U.S. dollars we receive from this offering into foreign currencies for our operations, appreciation of such foreign currencies against the U.S. dollar would adversely affect the amount of such foreign currencies we receive from the conversion. Sensitivity analysis is used as a primary tool in evaluating the effects of changes in foreign currency exchange rates on our business operations. The analysis quantifies the impact of potential changes in these rates on our earnings, cash flows and fair values of assets and liabilities during the forecast period, most commonly within a one-year period. The ranges of changes used for the purpose of this analysis reflect our view of changes that are reasonably possible over the forecast period. Fair values are the present value of projected future cash flows based on market rates and chosen prices.</w:t>
      </w:r>
    </w:p>
    <w:p>
      <w:pPr>
        <w:spacing w:after="0" w:line="196"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58" w:lineRule="exact"/>
        <w:rPr>
          <w:sz w:val="20"/>
          <w:szCs w:val="20"/>
          <w:color w:val="auto"/>
        </w:rPr>
      </w:pPr>
    </w:p>
    <w:p>
      <w:pPr>
        <w:ind w:left="1260" w:right="479" w:firstLine="648"/>
        <w:spacing w:after="0" w:line="269" w:lineRule="auto"/>
        <w:rPr>
          <w:sz w:val="20"/>
          <w:szCs w:val="20"/>
          <w:color w:val="auto"/>
        </w:rPr>
      </w:pPr>
      <w:r>
        <w:rPr>
          <w:rFonts w:ascii="Arial" w:cs="Arial" w:eastAsia="Arial" w:hAnsi="Arial"/>
          <w:sz w:val="17"/>
          <w:szCs w:val="17"/>
          <w:color w:val="auto"/>
        </w:rPr>
        <w:t>Interest rate risk is the risk that the fair value or future cash flows of a financial instrument will fluctuate because of changes in market interest rates. Our exposure to the risk of changes in market interest rates relates primarily to our cash and cash equivalents with floating interest rates. Due to persistent low interest rates we may be exposed to the risk of being charged negative interest rates on our bank deposits. If interest rates as of December 31, 2018 and 2019 had been 1% higher while all other variables had remained the same, the net loss for the year (before and after tax) would have been €0.3 million (2018: €0.2 million) lower, because the higher interest income would have been generated from floating rates on invested cash and cash equivalents. As of the date of this prospectus, we are not able to assess the effect of the interest rate risk on our net income or loss, as applicable, for the fiscal year of 2020, but do not expect it to be material to our results of operations for such fiscal year.</w:t>
      </w:r>
    </w:p>
    <w:p>
      <w:pPr>
        <w:spacing w:after="0" w:line="36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2" w:name="page123"/>
    <w:bookmarkEnd w:id="1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2" w:lineRule="exact"/>
        <w:rPr>
          <w:sz w:val="20"/>
          <w:szCs w:val="20"/>
          <w:color w:val="auto"/>
        </w:rPr>
      </w:pPr>
    </w:p>
    <w:p>
      <w:pPr>
        <w:ind w:left="1260" w:right="439" w:firstLine="648"/>
        <w:spacing w:after="0" w:line="293" w:lineRule="auto"/>
        <w:rPr>
          <w:sz w:val="20"/>
          <w:szCs w:val="20"/>
          <w:color w:val="auto"/>
        </w:rPr>
      </w:pPr>
      <w:r>
        <w:rPr>
          <w:rFonts w:ascii="Arial" w:cs="Arial" w:eastAsia="Arial" w:hAnsi="Arial"/>
          <w:sz w:val="16"/>
          <w:szCs w:val="16"/>
          <w:color w:val="auto"/>
        </w:rPr>
        <w:t>Our consolidated financial statements are prepared in accordance with IFRS as issued by the IASB. Some of the accounting methods and policies used in preparing the financial statements under IFRS are based on complex and subjective assessments by our management or on estimates based on past experience and assumptions deemed realistic and reasonable based on the circumstances concerned. The actual value of our assets, liabilities and shareholders’ equity and of our earnings could differ from the value derived from these estimates if conditions changed and these changes had an impact on the assumptions adopted.</w:t>
      </w:r>
    </w:p>
    <w:p>
      <w:pPr>
        <w:spacing w:after="0" w:line="97" w:lineRule="exact"/>
        <w:rPr>
          <w:sz w:val="20"/>
          <w:szCs w:val="20"/>
          <w:color w:val="auto"/>
        </w:rPr>
      </w:pPr>
    </w:p>
    <w:p>
      <w:pPr>
        <w:ind w:left="1260" w:right="499" w:firstLine="648"/>
        <w:spacing w:after="0" w:line="259" w:lineRule="auto"/>
        <w:rPr>
          <w:sz w:val="20"/>
          <w:szCs w:val="20"/>
          <w:color w:val="auto"/>
        </w:rPr>
      </w:pPr>
      <w:r>
        <w:rPr>
          <w:rFonts w:ascii="Arial" w:cs="Arial" w:eastAsia="Arial" w:hAnsi="Arial"/>
          <w:sz w:val="18"/>
          <w:szCs w:val="18"/>
          <w:color w:val="auto"/>
        </w:rPr>
        <w:t>Our significant accounting policies that we believe to be critical to the judgments and estimates used in the preparation of our financial statements are included in “note 2 — Significant accounting judgments, estimates and assumptions” and “note 9 — Share-based payments” to our consolidated financial statements included elsewhere in this prospectus.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 Accounting Pronouncements</w:t>
      </w:r>
    </w:p>
    <w:p>
      <w:pPr>
        <w:spacing w:after="0" w:line="148" w:lineRule="exact"/>
        <w:rPr>
          <w:sz w:val="20"/>
          <w:szCs w:val="20"/>
          <w:color w:val="auto"/>
        </w:rPr>
      </w:pPr>
    </w:p>
    <w:p>
      <w:pPr>
        <w:ind w:left="1260" w:right="419" w:firstLine="648"/>
        <w:spacing w:after="0" w:line="259" w:lineRule="auto"/>
        <w:rPr>
          <w:sz w:val="20"/>
          <w:szCs w:val="20"/>
          <w:color w:val="auto"/>
        </w:rPr>
      </w:pPr>
      <w:r>
        <w:rPr>
          <w:rFonts w:ascii="Arial" w:cs="Arial" w:eastAsia="Arial" w:hAnsi="Arial"/>
          <w:sz w:val="18"/>
          <w:szCs w:val="18"/>
          <w:color w:val="auto"/>
        </w:rPr>
        <w:t>We have applied, in our consolidated financial statements for the year 2019, new standards and amendments as issued by IASB and that are mandatory as of January 1, 2019. See note 2 to our consolidated financial statements included elsewhere in this prospectus for further information these new standards and amendments.</w:t>
      </w:r>
    </w:p>
    <w:p>
      <w:pPr>
        <w:spacing w:after="0" w:line="119" w:lineRule="exact"/>
        <w:rPr>
          <w:sz w:val="20"/>
          <w:szCs w:val="20"/>
          <w:color w:val="auto"/>
        </w:rPr>
      </w:pPr>
    </w:p>
    <w:p>
      <w:pPr>
        <w:ind w:left="1260" w:right="419" w:firstLine="648"/>
        <w:spacing w:after="0" w:line="293" w:lineRule="auto"/>
        <w:rPr>
          <w:sz w:val="20"/>
          <w:szCs w:val="20"/>
          <w:color w:val="auto"/>
        </w:rPr>
      </w:pPr>
      <w:r>
        <w:rPr>
          <w:rFonts w:ascii="Arial" w:cs="Arial" w:eastAsia="Arial" w:hAnsi="Arial"/>
          <w:sz w:val="16"/>
          <w:szCs w:val="16"/>
          <w:color w:val="auto"/>
        </w:rPr>
        <w:t>The new standards and interpretations applicable on a mandatory basis for fiscal years beginning on or after January 1, 2019, as disclosed in note 2 to our financial statements, mainly relate to IFRS 16 Leases. IFRS 16 supersedes IAS 17 Leases, IFRIC 4 (Determining whether an Arrangement contains a Lease), SIC-15 (Operating Leases — Incentives) and SIC-27 (Evaluating the Substance of Transactions Involving the Legal Form of a Lease). The standard sets out the principles for the recognition, measurement, presentation and disclosure of leases and requires lessees to account for all leases under a single on-balance sheet model.</w:t>
      </w:r>
    </w:p>
    <w:p>
      <w:pPr>
        <w:spacing w:after="0" w:line="97" w:lineRule="exact"/>
        <w:rPr>
          <w:sz w:val="20"/>
          <w:szCs w:val="20"/>
          <w:color w:val="auto"/>
        </w:rPr>
      </w:pPr>
    </w:p>
    <w:p>
      <w:pPr>
        <w:ind w:left="1260" w:right="579" w:firstLine="648"/>
        <w:spacing w:after="0" w:line="275" w:lineRule="auto"/>
        <w:rPr>
          <w:sz w:val="20"/>
          <w:szCs w:val="20"/>
          <w:color w:val="auto"/>
        </w:rPr>
      </w:pPr>
      <w:r>
        <w:rPr>
          <w:rFonts w:ascii="Arial" w:cs="Arial" w:eastAsia="Arial" w:hAnsi="Arial"/>
          <w:sz w:val="17"/>
          <w:szCs w:val="17"/>
          <w:color w:val="auto"/>
        </w:rPr>
        <w:t>We adopted IFRS 16 using the modified retrospective method of adoption with the date of initial application of January 1, 2019. Under this method, the standard is applied retrospectively with the cumulative effect of initially applying the standard recognized at the date of initial application. We elected to use certain transition practical expedients, including applying the standard only to contracts that were previously identified as leases applying IAS 17 and IFRIC 4 at the date of initial application.</w:t>
      </w:r>
    </w:p>
    <w:p>
      <w:pPr>
        <w:spacing w:after="0" w:line="9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following several other amendments and interpretations apply for the first time in 2019:</w:t>
      </w:r>
    </w:p>
    <w:p>
      <w:pPr>
        <w:spacing w:after="0" w:line="117" w:lineRule="exact"/>
        <w:rPr>
          <w:sz w:val="20"/>
          <w:szCs w:val="20"/>
          <w:color w:val="auto"/>
        </w:rPr>
      </w:pPr>
    </w:p>
    <w:p>
      <w:pPr>
        <w:ind w:left="2260" w:hanging="352"/>
        <w:spacing w:after="0"/>
        <w:tabs>
          <w:tab w:leader="none" w:pos="22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IFRIC Interpretation 23: Uncertainty over Income Tax Treatment</w:t>
      </w:r>
    </w:p>
    <w:p>
      <w:pPr>
        <w:spacing w:after="0" w:line="130" w:lineRule="exact"/>
        <w:rPr>
          <w:rFonts w:ascii="Arial" w:cs="Arial" w:eastAsia="Arial" w:hAnsi="Arial"/>
          <w:sz w:val="18"/>
          <w:szCs w:val="18"/>
          <w:color w:val="auto"/>
        </w:rPr>
      </w:pPr>
    </w:p>
    <w:p>
      <w:pPr>
        <w:ind w:left="2260" w:hanging="352"/>
        <w:spacing w:after="0"/>
        <w:tabs>
          <w:tab w:leader="none" w:pos="22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Amendments to IFRS 9: Prepayment Features with Negative Compensation</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Amendments to IAS 19: Plan Amendment, Curtailment or Settlement</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Amendments to IAS 28: Long-term interests in associates and joint ventures</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Annual Improvements 2015-2017 Cycle</w:t>
      </w:r>
    </w:p>
    <w:p>
      <w:pPr>
        <w:spacing w:after="0" w:line="117" w:lineRule="exact"/>
        <w:rPr>
          <w:rFonts w:ascii="Arial" w:cs="Arial" w:eastAsia="Arial" w:hAnsi="Arial"/>
          <w:sz w:val="18"/>
          <w:szCs w:val="18"/>
          <w:color w:val="auto"/>
        </w:rPr>
      </w:pPr>
    </w:p>
    <w:p>
      <w:pPr>
        <w:ind w:left="2920" w:hanging="364"/>
        <w:spacing w:after="0"/>
        <w:tabs>
          <w:tab w:leader="none" w:pos="29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IFRS 3 Business Combinations</w:t>
      </w:r>
    </w:p>
    <w:p>
      <w:pPr>
        <w:spacing w:after="0" w:line="117" w:lineRule="exact"/>
        <w:rPr>
          <w:rFonts w:ascii="Arial" w:cs="Arial" w:eastAsia="Arial" w:hAnsi="Arial"/>
          <w:sz w:val="18"/>
          <w:szCs w:val="18"/>
          <w:color w:val="auto"/>
        </w:rPr>
      </w:pPr>
    </w:p>
    <w:p>
      <w:pPr>
        <w:ind w:left="2920" w:hanging="364"/>
        <w:spacing w:after="0"/>
        <w:tabs>
          <w:tab w:leader="none" w:pos="29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IFRS 11 Joint Arrangements</w:t>
      </w:r>
    </w:p>
    <w:p>
      <w:pPr>
        <w:spacing w:after="0" w:line="117" w:lineRule="exact"/>
        <w:rPr>
          <w:rFonts w:ascii="Arial" w:cs="Arial" w:eastAsia="Arial" w:hAnsi="Arial"/>
          <w:sz w:val="18"/>
          <w:szCs w:val="18"/>
          <w:color w:val="auto"/>
        </w:rPr>
      </w:pPr>
    </w:p>
    <w:p>
      <w:pPr>
        <w:ind w:left="2920" w:hanging="364"/>
        <w:spacing w:after="0"/>
        <w:tabs>
          <w:tab w:leader="none" w:pos="29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IAS 12 Income Taxes</w:t>
      </w:r>
    </w:p>
    <w:p>
      <w:pPr>
        <w:spacing w:after="0" w:line="117" w:lineRule="exact"/>
        <w:rPr>
          <w:rFonts w:ascii="Arial" w:cs="Arial" w:eastAsia="Arial" w:hAnsi="Arial"/>
          <w:sz w:val="18"/>
          <w:szCs w:val="18"/>
          <w:color w:val="auto"/>
        </w:rPr>
      </w:pPr>
    </w:p>
    <w:p>
      <w:pPr>
        <w:ind w:left="2920" w:hanging="364"/>
        <w:spacing w:after="0"/>
        <w:tabs>
          <w:tab w:leader="none" w:pos="29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IAS 23 Borrowing Costs</w:t>
      </w:r>
    </w:p>
    <w:p>
      <w:pPr>
        <w:spacing w:after="0" w:line="158" w:lineRule="exact"/>
        <w:rPr>
          <w:sz w:val="20"/>
          <w:szCs w:val="20"/>
          <w:color w:val="auto"/>
        </w:rPr>
      </w:pPr>
    </w:p>
    <w:p>
      <w:pPr>
        <w:ind w:left="1260" w:right="599" w:firstLine="648"/>
        <w:spacing w:after="0" w:line="263" w:lineRule="auto"/>
        <w:rPr>
          <w:sz w:val="20"/>
          <w:szCs w:val="20"/>
          <w:color w:val="auto"/>
        </w:rPr>
      </w:pPr>
      <w:r>
        <w:rPr>
          <w:rFonts w:ascii="Arial" w:cs="Arial" w:eastAsia="Arial" w:hAnsi="Arial"/>
          <w:sz w:val="18"/>
          <w:szCs w:val="18"/>
          <w:color w:val="auto"/>
        </w:rPr>
        <w:t>These standards did not have a material impact on our consolidated financial statements. We have not early adopted any standards, interpretations or amendments that have been issued but are not yet effective.</w:t>
      </w:r>
    </w:p>
    <w:p>
      <w:pPr>
        <w:spacing w:after="0" w:line="116" w:lineRule="exact"/>
        <w:rPr>
          <w:sz w:val="20"/>
          <w:szCs w:val="20"/>
          <w:color w:val="auto"/>
        </w:rPr>
      </w:pPr>
    </w:p>
    <w:p>
      <w:pPr>
        <w:ind w:left="1260" w:right="659" w:firstLine="648"/>
        <w:spacing w:after="0" w:line="342" w:lineRule="auto"/>
        <w:rPr>
          <w:sz w:val="20"/>
          <w:szCs w:val="20"/>
          <w:color w:val="auto"/>
        </w:rPr>
      </w:pPr>
      <w:r>
        <w:rPr>
          <w:rFonts w:ascii="Arial" w:cs="Arial" w:eastAsia="Arial" w:hAnsi="Arial"/>
          <w:sz w:val="16"/>
          <w:szCs w:val="16"/>
          <w:color w:val="auto"/>
        </w:rPr>
        <w:t>We have applied, in our unaudited interim condensed consolidated financial statements for the nine months ended September 30, 2019 and 2020, new standards and amendments as issued by IASB and</w:t>
      </w:r>
    </w:p>
    <w:p>
      <w:pPr>
        <w:spacing w:after="0" w:line="29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3" w:name="page124"/>
    <w:bookmarkEnd w:id="1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699"/>
        <w:spacing w:after="0" w:line="342" w:lineRule="auto"/>
        <w:rPr>
          <w:sz w:val="20"/>
          <w:szCs w:val="20"/>
          <w:color w:val="auto"/>
        </w:rPr>
      </w:pPr>
      <w:r>
        <w:rPr>
          <w:rFonts w:ascii="Arial" w:cs="Arial" w:eastAsia="Arial" w:hAnsi="Arial"/>
          <w:sz w:val="16"/>
          <w:szCs w:val="16"/>
          <w:color w:val="auto"/>
        </w:rPr>
        <w:t>that are mandatory as of January 1, 2020. See note 2 to our consolidated financial statements for the year 2019 included elsewhere in this prospectus for further information these new standards and amendments.</w:t>
      </w:r>
    </w:p>
    <w:p>
      <w:pPr>
        <w:spacing w:after="0" w:line="56"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following several other amendments and interpretations apply for the first time in 2020:</w:t>
      </w:r>
    </w:p>
    <w:p>
      <w:pPr>
        <w:spacing w:after="0" w:line="131" w:lineRule="exact"/>
        <w:rPr>
          <w:sz w:val="20"/>
          <w:szCs w:val="20"/>
          <w:color w:val="auto"/>
        </w:rPr>
      </w:pPr>
    </w:p>
    <w:p>
      <w:pPr>
        <w:ind w:left="2260" w:hanging="352"/>
        <w:spacing w:after="0"/>
        <w:tabs>
          <w:tab w:leader="none" w:pos="2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Amendments to IFRS 3: Definition of a Business</w:t>
      </w:r>
    </w:p>
    <w:p>
      <w:pPr>
        <w:spacing w:after="0" w:line="130" w:lineRule="exact"/>
        <w:rPr>
          <w:rFonts w:ascii="Arial" w:cs="Arial" w:eastAsia="Arial" w:hAnsi="Arial"/>
          <w:sz w:val="18"/>
          <w:szCs w:val="18"/>
          <w:color w:val="auto"/>
        </w:rPr>
      </w:pPr>
    </w:p>
    <w:p>
      <w:pPr>
        <w:ind w:left="2260" w:hanging="352"/>
        <w:spacing w:after="0"/>
        <w:tabs>
          <w:tab w:leader="none" w:pos="2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Amendments to IAS 1 and IAS 8: Definition of Material</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Amendments to IFRS 9, IAS 39 and IFRS 7: Interest Rate Benchmark Reform</w:t>
      </w:r>
    </w:p>
    <w:p>
      <w:pPr>
        <w:spacing w:after="0" w:line="130" w:lineRule="exact"/>
        <w:rPr>
          <w:rFonts w:ascii="Arial" w:cs="Arial" w:eastAsia="Arial" w:hAnsi="Arial"/>
          <w:sz w:val="18"/>
          <w:szCs w:val="18"/>
          <w:color w:val="auto"/>
        </w:rPr>
      </w:pPr>
    </w:p>
    <w:p>
      <w:pPr>
        <w:ind w:left="2260" w:hanging="352"/>
        <w:spacing w:after="0"/>
        <w:tabs>
          <w:tab w:leader="none" w:pos="2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Amendments to References to the Conceptual Framework in IFRS Standards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62" w:lineRule="exact"/>
        <w:rPr>
          <w:sz w:val="20"/>
          <w:szCs w:val="20"/>
          <w:color w:val="auto"/>
        </w:rPr>
      </w:pPr>
    </w:p>
    <w:p>
      <w:pPr>
        <w:ind w:left="1260" w:right="439" w:firstLine="648"/>
        <w:spacing w:after="0" w:line="279" w:lineRule="auto"/>
        <w:rPr>
          <w:sz w:val="20"/>
          <w:szCs w:val="20"/>
          <w:color w:val="auto"/>
        </w:rPr>
      </w:pPr>
      <w:r>
        <w:rPr>
          <w:rFonts w:ascii="Arial" w:cs="Arial" w:eastAsia="Arial" w:hAnsi="Arial"/>
          <w:sz w:val="17"/>
          <w:szCs w:val="17"/>
          <w:color w:val="auto"/>
        </w:rPr>
        <w:t>Prior to the consummation of our initial public offering earlier this year, we had been operating as a private company that was not required to comply with the obligations of a public company with respect to internal controls over financial reporting. We have historically operated with limited accounting personnel and other resources with which to address our internal controls over financial reporting.</w:t>
      </w:r>
    </w:p>
    <w:p>
      <w:pPr>
        <w:spacing w:after="0" w:line="90" w:lineRule="exact"/>
        <w:rPr>
          <w:sz w:val="20"/>
          <w:szCs w:val="20"/>
          <w:color w:val="auto"/>
        </w:rPr>
      </w:pPr>
    </w:p>
    <w:p>
      <w:pPr>
        <w:ind w:left="1260" w:right="419" w:firstLine="648"/>
        <w:spacing w:after="0" w:line="252" w:lineRule="auto"/>
        <w:rPr>
          <w:sz w:val="20"/>
          <w:szCs w:val="20"/>
          <w:color w:val="auto"/>
        </w:rPr>
      </w:pPr>
      <w:r>
        <w:rPr>
          <w:rFonts w:ascii="Arial" w:cs="Arial" w:eastAsia="Arial" w:hAnsi="Arial"/>
          <w:sz w:val="18"/>
          <w:szCs w:val="18"/>
          <w:color w:val="auto"/>
        </w:rPr>
        <w:t>In connection with the audit of our consolidated financial statements for the years ended December 31, 2018 and 2019, we and our independent registered public accountants identified a material weakness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 that was identified by our auditor was primarily related to (a) a lack of sufficient accounting and supervisory personnel who have the appropriate level of technical accounting experience and training and (b) a lack of consistent application of accounting processes and procedures. These deficiencies constitute a material weakness in our internal controls over financial reporting in both design and operation. As a result of the material weakness, we failed to identify adjustments in various areas, including but not limited to grants from government agencies and similar bodies and capitalization of tangible and intangible assets. Additionally, certain of our documentation was insufficient for assessment of critical accounting guidance for complex or judgmental areas, including share-based compensation. We have relied on the assistance of outside advisors with expertise in these matters to assist us in the preparation of our financial statements and in our compliance with SEC reporting obligations related to this offering and expect to continue to do so while we remediate this material weakness.</w:t>
      </w:r>
    </w:p>
    <w:p>
      <w:pPr>
        <w:spacing w:after="0" w:line="126" w:lineRule="exact"/>
        <w:rPr>
          <w:sz w:val="20"/>
          <w:szCs w:val="20"/>
          <w:color w:val="auto"/>
        </w:rPr>
      </w:pPr>
    </w:p>
    <w:p>
      <w:pPr>
        <w:ind w:left="1260" w:right="439" w:firstLine="648"/>
        <w:spacing w:after="0" w:line="269" w:lineRule="auto"/>
        <w:rPr>
          <w:sz w:val="20"/>
          <w:szCs w:val="20"/>
          <w:color w:val="auto"/>
        </w:rPr>
      </w:pPr>
      <w:r>
        <w:rPr>
          <w:rFonts w:ascii="Arial" w:cs="Arial" w:eastAsia="Arial" w:hAnsi="Arial"/>
          <w:sz w:val="17"/>
          <w:szCs w:val="17"/>
          <w:color w:val="auto"/>
        </w:rPr>
        <w:t>We have initiated a remediation plan to address this material weakness, which includes engaging an outside advisor to assist in improving the design of our internal control environment; as this remediation plan is still in progress, we may be exposed to errors. We began taking additional steps to remediate the material weakness and improve our accounting function, including hiring of additional senior level and staff accountants to support the timely completion of financial close procedures, implement robust processes, and provide additional needed technical expertise, and in the interim, continuing to engage third parties as required to assist with technical accounting, application of new accounting standards, tax matters and valuations of equity instruments. Additionally, we, with the assistance of our outside advisor on internal controls, are in the proces of developing and implementing consistent accounting policies, internal control procedures and provide additional training to our accounting and finance staff.</w:t>
      </w:r>
    </w:p>
    <w:p>
      <w:pPr>
        <w:spacing w:after="0" w:line="118" w:lineRule="exact"/>
        <w:rPr>
          <w:sz w:val="20"/>
          <w:szCs w:val="20"/>
          <w:color w:val="auto"/>
        </w:rPr>
      </w:pPr>
    </w:p>
    <w:p>
      <w:pPr>
        <w:ind w:left="1260" w:right="419" w:firstLine="648"/>
        <w:spacing w:after="0" w:line="253" w:lineRule="auto"/>
        <w:rPr>
          <w:sz w:val="20"/>
          <w:szCs w:val="20"/>
          <w:color w:val="auto"/>
        </w:rPr>
      </w:pPr>
      <w:r>
        <w:rPr>
          <w:rFonts w:ascii="Arial" w:cs="Arial" w:eastAsia="Arial" w:hAnsi="Arial"/>
          <w:sz w:val="18"/>
          <w:szCs w:val="18"/>
          <w:color w:val="auto"/>
        </w:rPr>
        <w:t>While we are working to remediate the weakness as quickly and efficiently as possible, we cannot at this time, provide an estimate of the timeframe we expect in connection with implementing our plan to remediate this material weakness. These remediation measures may be time consuming, costly, and might place significant demands on our financial and operational resources. If we are unable to successfully remediate this material weakness, or other material weaknesses occur in the future, or successfully supervise and rely on outside advisors with expertise in these matters to assist us in the preparation of our financial statements, our financial statements could contain material misstatements that, when discovered in the future, could cause us to fail to meet our future reporting obligations and cause the price of our shares to decline significantly.</w:t>
      </w:r>
    </w:p>
    <w:p>
      <w:pPr>
        <w:spacing w:after="0" w:line="37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4" w:name="page125"/>
    <w:bookmarkEnd w:id="1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JOBS Act Exemptions and Foreign Private Issuer Status</w:t>
      </w:r>
    </w:p>
    <w:p>
      <w:pPr>
        <w:spacing w:after="0" w:line="229"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JOBS Act</w:t>
      </w:r>
    </w:p>
    <w:p>
      <w:pPr>
        <w:spacing w:after="0" w:line="158" w:lineRule="exact"/>
        <w:rPr>
          <w:sz w:val="20"/>
          <w:szCs w:val="20"/>
          <w:color w:val="auto"/>
        </w:rPr>
      </w:pPr>
    </w:p>
    <w:p>
      <w:pPr>
        <w:ind w:left="1260" w:right="519" w:firstLine="648"/>
        <w:spacing w:after="0" w:line="259" w:lineRule="auto"/>
        <w:rPr>
          <w:sz w:val="20"/>
          <w:szCs w:val="20"/>
          <w:color w:val="auto"/>
        </w:rPr>
      </w:pPr>
      <w:r>
        <w:rPr>
          <w:rFonts w:ascii="Arial" w:cs="Arial" w:eastAsia="Arial" w:hAnsi="Arial"/>
          <w:sz w:val="18"/>
          <w:szCs w:val="18"/>
          <w:color w:val="auto"/>
        </w:rPr>
        <w:t>As a company with less than $1.07 billion in revenue during our last fiscal year, we qualify as an “emerging growth company” as defined in the JOBS Act. As an emerging growth company, we may take advantage of specified reduced disclosure and other requirements that are otherwise applicable generally to public companies. These provisions include:</w:t>
      </w:r>
    </w:p>
    <w:p>
      <w:pPr>
        <w:spacing w:after="0" w:line="79" w:lineRule="exact"/>
        <w:rPr>
          <w:sz w:val="20"/>
          <w:szCs w:val="20"/>
          <w:color w:val="auto"/>
        </w:rPr>
      </w:pPr>
    </w:p>
    <w:p>
      <w:pPr>
        <w:ind w:left="2260" w:right="479" w:hanging="352"/>
        <w:spacing w:after="0" w:line="286" w:lineRule="auto"/>
        <w:tabs>
          <w:tab w:leader="none" w:pos="22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ability to present only two years of audited financial statements in addition to any required interim financial statements and correspondingly reduced disclosure in management’s discussion and analysis of financial condition and results of operations in this prospectus;</w:t>
      </w:r>
    </w:p>
    <w:p>
      <w:pPr>
        <w:spacing w:after="0" w:line="70" w:lineRule="exact"/>
        <w:rPr>
          <w:rFonts w:ascii="Arial" w:cs="Arial" w:eastAsia="Arial" w:hAnsi="Arial"/>
          <w:sz w:val="17"/>
          <w:szCs w:val="17"/>
          <w:color w:val="auto"/>
        </w:rPr>
      </w:pPr>
    </w:p>
    <w:p>
      <w:pPr>
        <w:ind w:left="2260" w:right="559" w:hanging="352"/>
        <w:spacing w:after="0" w:line="263" w:lineRule="auto"/>
        <w:tabs>
          <w:tab w:leader="none" w:pos="2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of Section 404 of the Sarbanes-Oxley Act of 2002, or the Sarbanes-Oxley Act, in the assessment of our internal controls over financial reporting; and</w:t>
      </w:r>
    </w:p>
    <w:p>
      <w:pPr>
        <w:spacing w:after="0" w:line="75" w:lineRule="exact"/>
        <w:rPr>
          <w:rFonts w:ascii="Arial" w:cs="Arial" w:eastAsia="Arial" w:hAnsi="Arial"/>
          <w:sz w:val="18"/>
          <w:szCs w:val="18"/>
          <w:color w:val="auto"/>
        </w:rPr>
      </w:pPr>
    </w:p>
    <w:p>
      <w:pPr>
        <w:ind w:left="2260" w:right="439" w:hanging="352"/>
        <w:spacing w:after="0" w:line="259" w:lineRule="auto"/>
        <w:tabs>
          <w:tab w:leader="none" w:pos="2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the extent that we no longer qualify as a foreign private issuer, (i) reduced disclosure obligations regarding executive compensation in our periodic reports and proxy statements and (ii) exemptions from the requirements of holding a non-binding advisory vote on executive compensation, including golden parachute compensation.</w:t>
      </w:r>
    </w:p>
    <w:p>
      <w:pPr>
        <w:spacing w:after="0" w:line="106" w:lineRule="exact"/>
        <w:rPr>
          <w:sz w:val="20"/>
          <w:szCs w:val="20"/>
          <w:color w:val="auto"/>
        </w:rPr>
      </w:pPr>
    </w:p>
    <w:p>
      <w:pPr>
        <w:ind w:left="1260" w:right="479" w:firstLine="648"/>
        <w:spacing w:after="0" w:line="269" w:lineRule="auto"/>
        <w:rPr>
          <w:sz w:val="20"/>
          <w:szCs w:val="20"/>
          <w:color w:val="auto"/>
        </w:rPr>
      </w:pPr>
      <w:r>
        <w:rPr>
          <w:rFonts w:ascii="Arial" w:cs="Arial" w:eastAsia="Arial" w:hAnsi="Arial"/>
          <w:sz w:val="17"/>
          <w:szCs w:val="17"/>
          <w:color w:val="auto"/>
        </w:rPr>
        <w:t>We may take advantage of these exemptions for up to five years or until such earlier time that we are no longer an emerging growth company. We will cease to be an emerging growth company upon the earliest to occur of (i) the last day of the fiscal year in which we have more than $1.07 billion in annual revenue; (ii) the date we qualify as a “large accelerated filer” with at least $700 million of equity securities;</w:t>
      </w:r>
    </w:p>
    <w:p>
      <w:pPr>
        <w:spacing w:after="0" w:line="2" w:lineRule="exact"/>
        <w:rPr>
          <w:sz w:val="20"/>
          <w:szCs w:val="20"/>
          <w:color w:val="auto"/>
        </w:rPr>
      </w:pPr>
    </w:p>
    <w:p>
      <w:pPr>
        <w:ind w:left="1260" w:right="779"/>
        <w:spacing w:after="0" w:line="255" w:lineRule="auto"/>
        <w:tabs>
          <w:tab w:leader="none" w:pos="1596"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issuance, in any three-year period, by our company of more than $1.0 billion in non-convertible debt securities held by non-affiliates; and (iv) the last day of the fiscal year ending after the fifth anniversary of our initial public offering.</w:t>
      </w:r>
    </w:p>
    <w:p>
      <w:pPr>
        <w:spacing w:after="0" w:line="122" w:lineRule="exact"/>
        <w:rPr>
          <w:sz w:val="20"/>
          <w:szCs w:val="20"/>
          <w:color w:val="auto"/>
        </w:rPr>
      </w:pPr>
    </w:p>
    <w:p>
      <w:pPr>
        <w:ind w:left="1260" w:right="459" w:firstLine="648"/>
        <w:spacing w:after="0" w:line="272" w:lineRule="auto"/>
        <w:rPr>
          <w:sz w:val="20"/>
          <w:szCs w:val="20"/>
          <w:color w:val="auto"/>
        </w:rPr>
      </w:pPr>
      <w:r>
        <w:rPr>
          <w:rFonts w:ascii="Arial" w:cs="Arial" w:eastAsia="Arial" w:hAnsi="Arial"/>
          <w:sz w:val="17"/>
          <w:szCs w:val="17"/>
          <w:color w:val="auto"/>
        </w:rPr>
        <w:t>We may choose to take advantage of some but not all of these reduced burdens. For example, we have presented only two years of audited financial statements and only two years of related “Management’s Discussion and Analysis of Financial Condition and Results of Operations” disclosure in this prospectus, and intend to take advantage of the exemption from auditor attestation on the effectiveness of our internal control over financial reporting in our annual report on Form 20-F. To the extent that we take advantage of these reduced burdens, the information that we provide shareholders may be different than you might obtain from other public companies in which you hold equity interests.</w:t>
      </w:r>
    </w:p>
    <w:p>
      <w:pPr>
        <w:spacing w:after="0" w:line="110" w:lineRule="exact"/>
        <w:rPr>
          <w:sz w:val="20"/>
          <w:szCs w:val="20"/>
          <w:color w:val="auto"/>
        </w:rPr>
      </w:pPr>
    </w:p>
    <w:p>
      <w:pPr>
        <w:ind w:left="1260" w:right="479" w:firstLine="648"/>
        <w:spacing w:after="0" w:line="271" w:lineRule="auto"/>
        <w:rPr>
          <w:sz w:val="20"/>
          <w:szCs w:val="20"/>
          <w:color w:val="auto"/>
        </w:rPr>
      </w:pPr>
      <w:r>
        <w:rPr>
          <w:rFonts w:ascii="Arial" w:cs="Arial" w:eastAsia="Arial" w:hAnsi="Arial"/>
          <w:sz w:val="17"/>
          <w:szCs w:val="17"/>
          <w:color w:val="auto"/>
        </w:rPr>
        <w:t>In addition, Section 107 of the JOBS Act provides that an emerging growth company can use the extended transition period provided in Section 7(a)(2)(B) of the Securities Act for complying with new or revised accounting standards. Given that we currently report and expect to continue to report under IFRS as issued by the IASB, we have irrevocably elected not to avail ourselves of this extended transition period and, as a result, we will adopt new or revised accounting standards on the relevant dates on which adoption of such standards is required by the IASB. Since IFRS makes no distinction between public and private companies for purposes of compliance with new or revised accounting standards, the requirements for our compliance as a private company and as a public company are the same.</w:t>
      </w:r>
    </w:p>
    <w:p>
      <w:pPr>
        <w:spacing w:after="0" w:line="178"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Foreign Private Issuer</w:t>
      </w:r>
    </w:p>
    <w:p>
      <w:pPr>
        <w:spacing w:after="0" w:line="144" w:lineRule="exact"/>
        <w:rPr>
          <w:sz w:val="20"/>
          <w:szCs w:val="20"/>
          <w:color w:val="auto"/>
        </w:rPr>
      </w:pPr>
    </w:p>
    <w:p>
      <w:pPr>
        <w:ind w:left="1260" w:right="459" w:firstLine="648"/>
        <w:spacing w:after="0" w:line="270" w:lineRule="auto"/>
        <w:rPr>
          <w:sz w:val="20"/>
          <w:szCs w:val="20"/>
          <w:color w:val="auto"/>
        </w:rPr>
      </w:pPr>
      <w:r>
        <w:rPr>
          <w:rFonts w:ascii="Arial" w:cs="Arial" w:eastAsia="Arial" w:hAnsi="Arial"/>
          <w:sz w:val="17"/>
          <w:szCs w:val="17"/>
          <w:color w:val="auto"/>
        </w:rPr>
        <w:t>We are also considered a “foreign private issuer.” In our capacity as a foreign private issuer, we are exempt from certain rules under the Exchange Act that impose certain disclosure obligations and procedural requirements for proxy solicitations under Section 14 of the Exchange Act. In addition, our managing directors, supervisory directors and our principal shareholders are exempt from the reporting and “short-swing” profit recovery provisions of Section 16 of the Exchange Act and the rules under the Exchange Act with respect to their purchases and sales of our common shares. Moreover, we are not required to file periodic reports and financial statements with the SEC as frequently or as promptly as U.S. companies whose securities are registered under the Exchange Act. In addition, we are not required to comply with Regulation FD, which restricts the selective disclosure of material information.</w:t>
      </w:r>
    </w:p>
    <w:p>
      <w:pPr>
        <w:sectPr>
          <w:pgSz w:w="11900" w:h="16838" w:orient="portrait"/>
          <w:cols w:equalWidth="0" w:num="1">
            <w:col w:w="9879"/>
          </w:cols>
          <w:pgMar w:left="580" w:top="131"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5" w:name="page126"/>
    <w:bookmarkEnd w:id="1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39" w:firstLine="648"/>
        <w:spacing w:after="0" w:line="275" w:lineRule="auto"/>
        <w:rPr>
          <w:sz w:val="20"/>
          <w:szCs w:val="20"/>
          <w:color w:val="auto"/>
        </w:rPr>
      </w:pPr>
      <w:r>
        <w:rPr>
          <w:rFonts w:ascii="Arial" w:cs="Arial" w:eastAsia="Arial" w:hAnsi="Arial"/>
          <w:sz w:val="17"/>
          <w:szCs w:val="17"/>
          <w:color w:val="auto"/>
        </w:rPr>
        <w:t>We may take advantage of these exemptions until such time as we are no longer a foreign private issuer. We will remain a foreign private issuer until such time that more than 50% of our outstanding voting securities are held by U.S. residents and any of the following three circumstances applies: (i) the majority of our managing directors or supervisory directors are U.S. citizens or residents; (ii) more than 50% of our assets are located in the United States; or (iii) our business is administered principally in the United States.</w:t>
      </w:r>
    </w:p>
    <w:p>
      <w:pPr>
        <w:spacing w:after="0" w:line="109" w:lineRule="exact"/>
        <w:rPr>
          <w:sz w:val="20"/>
          <w:szCs w:val="20"/>
          <w:color w:val="auto"/>
        </w:rPr>
      </w:pPr>
    </w:p>
    <w:p>
      <w:pPr>
        <w:ind w:left="1260" w:right="479" w:firstLine="648"/>
        <w:spacing w:after="0" w:line="263" w:lineRule="auto"/>
        <w:rPr>
          <w:sz w:val="20"/>
          <w:szCs w:val="20"/>
          <w:color w:val="auto"/>
        </w:rPr>
      </w:pPr>
      <w:r>
        <w:rPr>
          <w:rFonts w:ascii="Arial" w:cs="Arial" w:eastAsia="Arial" w:hAnsi="Arial"/>
          <w:sz w:val="18"/>
          <w:szCs w:val="18"/>
          <w:color w:val="auto"/>
        </w:rPr>
        <w:t>We have taken advantage of certain reduced reporting and other requirements in this prospectus. Accordingly, the information contained herein may be different than the information you receive from other public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6" w:name="page127"/>
    <w:bookmarkEnd w:id="1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left="1260" w:right="519" w:firstLine="648"/>
        <w:spacing w:after="0" w:line="253" w:lineRule="auto"/>
        <w:rPr>
          <w:sz w:val="20"/>
          <w:szCs w:val="20"/>
          <w:color w:val="auto"/>
        </w:rPr>
      </w:pPr>
      <w:r>
        <w:rPr>
          <w:rFonts w:ascii="Arial" w:cs="Arial" w:eastAsia="Arial" w:hAnsi="Arial"/>
          <w:sz w:val="17"/>
          <w:szCs w:val="17"/>
          <w:color w:val="auto"/>
        </w:rPr>
        <w:t>We are a global biopharmaceutical company developing a new class of transformative medicines based on messenger ribonucleic acid that has the potential to improve the lives of people. Our vision is to revolutionize medicine and open new avenues for developing therapies by enabling the body to make its own drugs. Messenger ribonucleic acid, or mRNA, plays a central role in cellular biology in the production of proteins in every living cell. We are the pioneers in successfully harnessing mRNAs designed to prevent infections and to treat diseases by mimicking human biology to synthesize the desired proteins. Our technology platform is based on a natural approach to optimize mRNA constructs that encode functional proteins that either induce a desired immune response or replace defective or missing proteins using the cell’s intrinsic translation machinery. Our current product portfolio includes clinical and preclinical candidates across multiple disease indications in prophylactic vaccines, oncology and protein therapy.</w:t>
      </w:r>
    </w:p>
    <w:p>
      <w:pPr>
        <w:spacing w:after="0" w:line="113" w:lineRule="exact"/>
        <w:rPr>
          <w:sz w:val="20"/>
          <w:szCs w:val="20"/>
          <w:color w:val="auto"/>
        </w:rPr>
      </w:pPr>
    </w:p>
    <w:p>
      <w:pPr>
        <w:ind w:left="1260" w:right="419" w:firstLine="648"/>
        <w:spacing w:after="0" w:line="237" w:lineRule="auto"/>
        <w:rPr>
          <w:sz w:val="20"/>
          <w:szCs w:val="20"/>
          <w:color w:val="auto"/>
        </w:rPr>
      </w:pPr>
      <w:r>
        <w:rPr>
          <w:rFonts w:ascii="Arial" w:cs="Arial" w:eastAsia="Arial" w:hAnsi="Arial"/>
          <w:sz w:val="18"/>
          <w:szCs w:val="18"/>
          <w:color w:val="auto"/>
        </w:rPr>
        <w:t>We are rapidly advancing our mRNA vaccine candidate, CVnCoV against coronavirus (SARS-CoV-2) , for which we initiated a Phase 1 clinical trial in healthy volunteers in June 2020, and a Phase 2a clinical in older adults in September 2020 and a pivotal Phase 2b/3 clinical trial in December 2020. For the Phase 1 clinical trial, we reported positive interim results on November 10, 2020, enabling us to select a recommended dose of 12μg to advance in the pivotal Phase 2b/3 clinical trial. The Phase 2a clinical trial is a partially observer-blind, multi-centered, controlled, dose-confirmation trial, and is fully enrolled with 674 participants. We currently expect to report a first data read-out for the Phase 2a clinical trial later in the first quarter of 2021 or early in the second quarter of 2021, depending on the infection rate of SARS-COV-2 in clinical trial participants. For our pivotal Phase 2b/3 trial we currently expect to conduct a first interim analysis later in the first quarter of 2021. Subject to the clinical trial results of CVnCoV, we expect to apply for regulatory approval in the second quarter of 2021. We are also engaged in a clinical program for CV7202, which we are currently investigating in a Phase 1 clinical trial for potential vaccination against rabies. Additionally, we are investigating our lead oncology clinical program, CV8102, in a Phase 1 clinical trial for the treatment of four types of solid tumors.</w:t>
      </w:r>
    </w:p>
    <w:p>
      <w:pPr>
        <w:spacing w:after="0" w:line="108" w:lineRule="exact"/>
        <w:rPr>
          <w:sz w:val="20"/>
          <w:szCs w:val="20"/>
          <w:color w:val="auto"/>
        </w:rPr>
      </w:pPr>
    </w:p>
    <w:p>
      <w:pPr>
        <w:ind w:left="1260" w:right="439" w:firstLine="648"/>
        <w:spacing w:after="0" w:line="237" w:lineRule="auto"/>
        <w:rPr>
          <w:sz w:val="20"/>
          <w:szCs w:val="20"/>
          <w:color w:val="auto"/>
        </w:rPr>
      </w:pPr>
      <w:r>
        <w:rPr>
          <w:rFonts w:ascii="Arial" w:cs="Arial" w:eastAsia="Arial" w:hAnsi="Arial"/>
          <w:sz w:val="18"/>
          <w:szCs w:val="18"/>
          <w:color w:val="auto"/>
        </w:rPr>
        <w:t>mRNA-based medicines represent a novel class of medicine that have the potential to address limitations of conventional treatment modalities. We believe the modular nature of mRNA has the potential for higher efficacy, greater speed and lower cost of production as compared to conventional treatment modalities. mRNA delivery enables direct production of any protein (secreted, membrane and intracellular) in the body and has shown a wide range of activity. The flexible chemical structure of mRNA, utilizing only four nucleotide buildings blocks, allows us to encode for a broad range of proteins with simple sequence changes, offering design versatility, specificity and limited off-target effects. Transient expression of mRNA limits the risk of irreversible changes to the cells’ DNA and allows for modified dosing based on a patient’s needs as well as opportunity for repeat dosing. We believe the modular nature of mRNA has the potential for higher efficacy, greater speed and lower cost of production as compared to conventional treatment modalities. We are leveraging these inherent advantages of mRNA-based medicines in the development of our mRNA technology platform.</w:t>
      </w:r>
    </w:p>
    <w:p>
      <w:pPr>
        <w:spacing w:after="0" w:line="126" w:lineRule="exact"/>
        <w:rPr>
          <w:sz w:val="20"/>
          <w:szCs w:val="20"/>
          <w:color w:val="auto"/>
        </w:rPr>
      </w:pPr>
    </w:p>
    <w:p>
      <w:pPr>
        <w:ind w:left="1260" w:right="439" w:firstLine="648"/>
        <w:spacing w:after="0"/>
        <w:rPr>
          <w:sz w:val="20"/>
          <w:szCs w:val="20"/>
          <w:color w:val="auto"/>
        </w:rPr>
      </w:pPr>
      <w:r>
        <w:rPr>
          <w:rFonts w:ascii="Arial" w:cs="Arial" w:eastAsia="Arial" w:hAnsi="Arial"/>
          <w:sz w:val="18"/>
          <w:szCs w:val="18"/>
          <w:color w:val="auto"/>
        </w:rPr>
        <w:t>We have built an extensive expertise in the fields of mRNA biology, optimization and production. We have continued to invest in developing our proprietary technology platform, which we refer to as the RNAoptimizer, over the past 20 years. We optimize mRNAs to preserve critical protein-RNA interactions as these are an inherent feature of the natural building blocks we employ. Our differentiated technology platform is designed to optimize each component of the mRNA-based medicine. Our RNAoptimizer platform is built on three core pillars:</w:t>
      </w:r>
    </w:p>
    <w:p>
      <w:pPr>
        <w:spacing w:after="0" w:line="81" w:lineRule="exact"/>
        <w:rPr>
          <w:sz w:val="20"/>
          <w:szCs w:val="20"/>
          <w:color w:val="auto"/>
        </w:rPr>
      </w:pPr>
    </w:p>
    <w:p>
      <w:pPr>
        <w:ind w:left="2260" w:hanging="352"/>
        <w:spacing w:after="0"/>
        <w:tabs>
          <w:tab w:leader="none" w:pos="226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Protein design: </w:t>
      </w:r>
      <w:r>
        <w:rPr>
          <w:rFonts w:ascii="Arial" w:cs="Arial" w:eastAsia="Arial" w:hAnsi="Arial"/>
          <w:sz w:val="18"/>
          <w:szCs w:val="18"/>
          <w:color w:val="auto"/>
        </w:rPr>
        <w:t>optimizing the specific properties of encoded protein;</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7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mRNA optimization: </w:t>
      </w:r>
      <w:r>
        <w:rPr>
          <w:rFonts w:ascii="Arial" w:cs="Arial" w:eastAsia="Arial" w:hAnsi="Arial"/>
          <w:sz w:val="17"/>
          <w:szCs w:val="17"/>
          <w:color w:val="auto"/>
        </w:rPr>
        <w:t>increasing half-life and translation efficacy of the mRNA molecule; and</w:t>
      </w:r>
    </w:p>
    <w:p>
      <w:pPr>
        <w:spacing w:after="0" w:line="128" w:lineRule="exact"/>
        <w:rPr>
          <w:rFonts w:ascii="Arial" w:cs="Arial" w:eastAsia="Arial" w:hAnsi="Arial"/>
          <w:sz w:val="17"/>
          <w:szCs w:val="17"/>
          <w:color w:val="auto"/>
        </w:rPr>
      </w:pPr>
    </w:p>
    <w:p>
      <w:pPr>
        <w:ind w:left="2260" w:right="1159" w:hanging="352"/>
        <w:spacing w:after="0" w:line="277" w:lineRule="auto"/>
        <w:tabs>
          <w:tab w:leader="none" w:pos="226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mRNA delivery: </w:t>
      </w:r>
      <w:r>
        <w:rPr>
          <w:rFonts w:ascii="Arial" w:cs="Arial" w:eastAsia="Arial" w:hAnsi="Arial"/>
          <w:sz w:val="18"/>
          <w:szCs w:val="18"/>
          <w:color w:val="auto"/>
        </w:rPr>
        <w:t>selecting the best-suited delivery system from our diverse portfolio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proprietary and third party delivery systems.</w:t>
      </w:r>
    </w:p>
    <w:p>
      <w:pPr>
        <w:spacing w:after="0" w:line="89" w:lineRule="exact"/>
        <w:rPr>
          <w:sz w:val="20"/>
          <w:szCs w:val="20"/>
          <w:color w:val="auto"/>
        </w:rPr>
      </w:pPr>
    </w:p>
    <w:p>
      <w:pPr>
        <w:ind w:left="1260" w:right="539" w:firstLine="648"/>
        <w:spacing w:after="0" w:line="291" w:lineRule="auto"/>
        <w:rPr>
          <w:sz w:val="20"/>
          <w:szCs w:val="20"/>
          <w:color w:val="auto"/>
        </w:rPr>
      </w:pPr>
      <w:r>
        <w:rPr>
          <w:rFonts w:ascii="Arial" w:cs="Arial" w:eastAsia="Arial" w:hAnsi="Arial"/>
          <w:sz w:val="17"/>
          <w:szCs w:val="17"/>
          <w:color w:val="auto"/>
        </w:rPr>
        <w:t>By leveraging each of these pillars, we have observed improved required protein expression levels while modulating the interaction with the immune system in preclinical and clinical trials. We continue to</w:t>
      </w:r>
    </w:p>
    <w:p>
      <w:pPr>
        <w:spacing w:after="0" w:line="3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7" w:name="page128"/>
    <w:bookmarkEnd w:id="1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559"/>
        <w:spacing w:after="0" w:line="261" w:lineRule="auto"/>
        <w:rPr>
          <w:sz w:val="20"/>
          <w:szCs w:val="20"/>
          <w:color w:val="auto"/>
        </w:rPr>
      </w:pPr>
      <w:r>
        <w:rPr>
          <w:rFonts w:ascii="Arial" w:cs="Arial" w:eastAsia="Arial" w:hAnsi="Arial"/>
          <w:sz w:val="18"/>
          <w:szCs w:val="18"/>
          <w:color w:val="auto"/>
        </w:rPr>
        <w:t>invest in all levels of optimization to improve the methods we currently employ and to further advance our mRNA-based medicines.</w:t>
      </w:r>
    </w:p>
    <w:p>
      <w:pPr>
        <w:spacing w:after="0" w:line="103" w:lineRule="exact"/>
        <w:rPr>
          <w:sz w:val="20"/>
          <w:szCs w:val="20"/>
          <w:color w:val="auto"/>
        </w:rPr>
      </w:pPr>
    </w:p>
    <w:p>
      <w:pPr>
        <w:ind w:left="1260" w:right="499" w:firstLine="648"/>
        <w:spacing w:after="0" w:line="251" w:lineRule="auto"/>
        <w:rPr>
          <w:sz w:val="20"/>
          <w:szCs w:val="20"/>
          <w:color w:val="auto"/>
        </w:rPr>
      </w:pPr>
      <w:r>
        <w:rPr>
          <w:rFonts w:ascii="Arial" w:cs="Arial" w:eastAsia="Arial" w:hAnsi="Arial"/>
          <w:sz w:val="17"/>
          <w:szCs w:val="17"/>
          <w:color w:val="auto"/>
        </w:rPr>
        <w:t>We consider our manufacturing process an important part of our strategy that allows us to continuously improve our technology platform and maintain flexibility in clinical development. In the context of COVID-19, we are currrently producing material for our vaccine candidate in our GMP III facility and building a broad and integrated European vaccine manufacturing network with highly experienced Contract Development and Manufacturing Organization partners for each of the key manufacturing steps for CVnCoV. With this strategy, we are expecting to significantly increase our existing manufacturing capacities for CVnCoV to an annual output of up to 300 million doses in 2021 and up to</w:t>
      </w:r>
    </w:p>
    <w:p>
      <w:pPr>
        <w:spacing w:after="0" w:line="2" w:lineRule="exact"/>
        <w:rPr>
          <w:sz w:val="20"/>
          <w:szCs w:val="20"/>
          <w:color w:val="auto"/>
        </w:rPr>
      </w:pPr>
    </w:p>
    <w:p>
      <w:pPr>
        <w:ind w:left="1260" w:right="419"/>
        <w:spacing w:after="0" w:line="250" w:lineRule="auto"/>
        <w:rPr>
          <w:sz w:val="20"/>
          <w:szCs w:val="20"/>
          <w:color w:val="auto"/>
        </w:rPr>
      </w:pPr>
      <w:r>
        <w:rPr>
          <w:rFonts w:ascii="Arial" w:cs="Arial" w:eastAsia="Arial" w:hAnsi="Arial"/>
          <w:sz w:val="17"/>
          <w:szCs w:val="17"/>
          <w:color w:val="auto"/>
        </w:rPr>
        <w:t>600 million doses in 2022, while managing potential supply chain risks. Our manufacturing setup allows us to drive innovation and to maintain flexibility as well as to pivot quickly in clinical development and potential commercialization. In house, we currently operate three GMP-certified suites, with the capacity to supply our clinical programs and support potential early commercialization activities. We are in the process of building a fourth GMP large-scale production facility, at CureVac’s headquarters in Tübingen, which is being designed to cover all manufacturing steps from starting material to formulation, and which could potentially supply materials for hundreds of millions of doses of our vaccine product candidates to support our future commercial launches. The GMP IV large-scale production faciltiy is supported by the European Investment Bank. In addition to our GMP manufacturing facilities, we are developing a novel downsized,mobile and automated process for producing our mRNA, which we refer to as the RNA Printer. With its modular design and decentralized concept, we believe that it could be used for a rapid first response in outbreak scenarios or be placed as a stand-alone device in front lines of epidemic areas.</w:t>
      </w:r>
    </w:p>
    <w:p>
      <w:pPr>
        <w:spacing w:after="0" w:line="119" w:lineRule="exact"/>
        <w:rPr>
          <w:sz w:val="20"/>
          <w:szCs w:val="20"/>
          <w:color w:val="auto"/>
        </w:rPr>
      </w:pPr>
    </w:p>
    <w:p>
      <w:pPr>
        <w:ind w:left="1260" w:right="439" w:firstLine="648"/>
        <w:spacing w:after="0" w:line="236" w:lineRule="auto"/>
        <w:rPr>
          <w:sz w:val="20"/>
          <w:szCs w:val="20"/>
          <w:color w:val="auto"/>
        </w:rPr>
      </w:pPr>
      <w:r>
        <w:rPr>
          <w:rFonts w:ascii="Arial" w:cs="Arial" w:eastAsia="Arial" w:hAnsi="Arial"/>
          <w:sz w:val="18"/>
          <w:szCs w:val="18"/>
          <w:color w:val="auto"/>
        </w:rPr>
        <w:t>Our approach seeks to mitigate clinical and developmental risk across multiple levels to advance and expand our broad product portfolio. We have made advances in utilizing the potential of our technology platform through rational disease selection. We consider a number of factors in our disease selection process including unmet medical need, immune response, duration of expression, dosing requirements, delivery, and targeted tissue types, among other factors. Our programs target the underlying modes of action of the disease that play a critical role in the pathology of the disease. We are initially targeting diseases that require an active immune response (such as prophylactic vaccines and oncology) and require transient expression of mRNA in tissue types that are more easily accessible. We believe these initial indications are amenable to localized delivery using a lipid nanoparticle, or LNP, delivery system. Following the encouraging results from our initial prophylactic vaccines program in clinical studies and based on our advanced understanding of mRNA biology and immune stimulation control, we have expanded our product portfolio to target indications that require an immune silent approach (such as protein delivery), given the need for higher doses, repeated dosing and longer expression of the protein. These initial indications are using LNP delivery systems, or our proprietary polymer based delivery system, which we refer to as the CureVac Carrier Molecule, or CVCM. Our access to a broad range of delivery systems allows us to target multiple tissue types.</w:t>
      </w:r>
    </w:p>
    <w:p>
      <w:pPr>
        <w:spacing w:after="0" w:line="118" w:lineRule="exact"/>
        <w:rPr>
          <w:sz w:val="20"/>
          <w:szCs w:val="20"/>
          <w:color w:val="auto"/>
        </w:rPr>
      </w:pPr>
    </w:p>
    <w:p>
      <w:pPr>
        <w:ind w:left="1260" w:right="439" w:firstLine="648"/>
        <w:spacing w:after="0" w:line="236" w:lineRule="auto"/>
        <w:rPr>
          <w:sz w:val="20"/>
          <w:szCs w:val="20"/>
          <w:color w:val="auto"/>
        </w:rPr>
      </w:pPr>
      <w:r>
        <w:rPr>
          <w:rFonts w:ascii="Arial" w:cs="Arial" w:eastAsia="Arial" w:hAnsi="Arial"/>
          <w:sz w:val="18"/>
          <w:szCs w:val="18"/>
          <w:color w:val="auto"/>
        </w:rPr>
        <w:t>We are exploring a range of potential approaches in oncology including intratumoral therapy and novel cancer vaccines targeting neoepitopes and tumor associated antigens. Our lead oncology candidate, CV8102, is a complex of single-stranded non-coding RNA which has been optimized to maximize activation of cellular receptors that normally detect viral pathogens entering the cells (such as toll-like receptor 7, or TLR7, TLR8, and retinoic acid inducible gene I, or RIG-I pathways), mimicking a viral infection of the tumor. CV8102 is designed to recruit and activate antigen -presenting cells at the site of injection to present tumor antigens released from tumor cells to T cells in the draining lymph node. This potentially leads to activation of tumor specific T cells, which can kill tumor cells at the injected site, but also at distant non-injected tumor lesions or metastases. CV8102 is currently being evaluated in a Phase 1 clinical trial for the treatment of four types of solid tumors — cutaneous melanoma, or cMEL, adenoidcystic carcinoma, or ACC, squamous cell carcinoma of skin, or SCC, and squamous cell carcinoma of head and neck, or HNSCC. As of October 5, 2020, we have enrolled 50 patients (29 in the single agent cohort and 21 in the combination cohort with anti-PD-1) in the Phase 1 dose-escalation portion of the study. As of the cutoff date of October 5, 2020, in the single agent CV8102 cohort, we observed one patient with a complete response and two patients with a partial response according to RECIST 1.1. In addition, nine patients experienced a best response of stable disease after 8 weeks of treatment (associated with shrinkage of non-injected lesions in one patient, shrinkage of injected lesion in one patient and shrinkage of both the non-injected and injected</w:t>
      </w:r>
    </w:p>
    <w:p>
      <w:pPr>
        <w:spacing w:after="0" w:line="38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8" w:name="page129"/>
    <w:bookmarkEnd w:id="1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79"/>
        <w:spacing w:after="0" w:line="255" w:lineRule="auto"/>
        <w:rPr>
          <w:sz w:val="20"/>
          <w:szCs w:val="20"/>
          <w:color w:val="auto"/>
        </w:rPr>
      </w:pPr>
      <w:r>
        <w:rPr>
          <w:rFonts w:ascii="Arial" w:cs="Arial" w:eastAsia="Arial" w:hAnsi="Arial"/>
          <w:sz w:val="17"/>
          <w:szCs w:val="17"/>
          <w:color w:val="auto"/>
        </w:rPr>
        <w:t>lesions in one patient). Of the 29 patients treated with single agent CV8102, nine (31%) remained free of progression for ≥ six months as of the cutoff date. In the PD-1 combination cohort, one PD1 refractory melanoma patient experienced a partial response according to RECIST 1.1. As of the cutoff date, one PD-1 pre -treated patient with HNSCC and one PD-1 refractory melanoma patient experienced stable disease after the 8 week treatment period and the melanoma patient showed regression of the injected and some non-injected lesions, while other non -injected lesions showed progression. Based on the interim results from the Phase 1 clinical trial, we plan to determine the recommended dose for Phase 2 in the near future.</w:t>
      </w:r>
    </w:p>
    <w:p>
      <w:pPr>
        <w:spacing w:after="0" w:line="112" w:lineRule="exact"/>
        <w:rPr>
          <w:sz w:val="20"/>
          <w:szCs w:val="20"/>
          <w:color w:val="auto"/>
        </w:rPr>
      </w:pPr>
    </w:p>
    <w:p>
      <w:pPr>
        <w:ind w:left="1260" w:right="419" w:firstLine="648"/>
        <w:spacing w:after="0" w:line="252" w:lineRule="auto"/>
        <w:rPr>
          <w:sz w:val="20"/>
          <w:szCs w:val="20"/>
          <w:color w:val="auto"/>
        </w:rPr>
      </w:pPr>
      <w:r>
        <w:rPr>
          <w:rFonts w:ascii="Arial" w:cs="Arial" w:eastAsia="Arial" w:hAnsi="Arial"/>
          <w:sz w:val="17"/>
          <w:szCs w:val="17"/>
          <w:color w:val="auto"/>
        </w:rPr>
        <w:t>Our mRNA technology platform has shown potential in the development and production of prophylactic vaccines against infectious diseases. Our first vaccine program, CV7202, is being developed for prophylactic vaccination against rabies. CV7202 is an mRNA that encodes the rabies virus glycoprotein, RABV-G, formulated with LNPs. We are currently investigating CV7202 in Phase 1 clinical trial, evaluating safety, including reactogenicity, and immunogenicity. In January 2020, we reported preliminary data from our Phase 1 trial of CV7202 in rabies. CV7202 induced adaptive immune response as shown by rabies-specific virus-neutralizing antibody titers, or VNTs, above the World Health Organization, or WHO, thresholds considered to be protective, after the second dose in all subjects, at the lowest 1μg and 2μg dose levels. We also showed that the lowest dose levels (1μg and 2μg mRNA) were generally well tolerated. We have submitted a manuscript with Phase 1 data for publication in a scientific journal and are currently assessing the timeline for advancing CV7202 into a Phase 2 clinical trial.</w:t>
      </w:r>
    </w:p>
    <w:p>
      <w:pPr>
        <w:spacing w:after="0" w:line="118" w:lineRule="exact"/>
        <w:rPr>
          <w:sz w:val="20"/>
          <w:szCs w:val="20"/>
          <w:color w:val="auto"/>
        </w:rPr>
      </w:pPr>
    </w:p>
    <w:p>
      <w:pPr>
        <w:ind w:left="1260" w:right="419" w:firstLine="648"/>
        <w:spacing w:after="0" w:line="249" w:lineRule="auto"/>
        <w:rPr>
          <w:sz w:val="20"/>
          <w:szCs w:val="20"/>
          <w:color w:val="auto"/>
        </w:rPr>
      </w:pPr>
      <w:r>
        <w:rPr>
          <w:rFonts w:ascii="Arial" w:cs="Arial" w:eastAsia="Arial" w:hAnsi="Arial"/>
          <w:sz w:val="17"/>
          <w:szCs w:val="17"/>
          <w:color w:val="auto"/>
        </w:rPr>
        <w:t>In response to the global pandemic due to novel coronavirus 2019 disease, or COVID-19, we have rapidly advanced our mRNA vaccine program against the novel coronavirus, or SARS-CoV-2. Upon publication of the sequence of SARS-CoV-2 at the end of January 2020, we designed and optimized a variety of potential antigenic constructs based on the spike (S) protein to elicit high immunogenicity. Early exploratory data on these constructs indicated high immunogenicity and titers of S specific binding and neutralizing antibodies in mice after a single vaccination. The results of our preclinical studies suggested that our vaccine candidate against SARS-CoV- 2 was active at low dose and triggered fast induction of a balanced immune response with high levels of VNTs and T-cell responses. Based on the preclinical results, we initiated a Phase 1 clinical trial in healthy volunteers in June 2020, a Phase 2a clinical trial in older adults above 60 years old in September 2020 and a pivotal Phase 2b/3 clinical trial in December 2020. For the Phase 2a clinical trial, we currently expect to have a first data read-out later in the first quarter of 2021. On November 10, 2020, we reported positive interim Phase 1 data, which showed that our vaccine candidate induced relevant antibody titers as of the cutoff date of October 31, 2020. The quality of the immune responses observed in vaccinated and healthy volunteers was found to be comparable to the immune response identified or detected in convalescent sera taken from recovered COVID- 19 patients, thereby mimicking the immune response observed after a natural COVID-19 infection. We believe these interim data support our decision to evaluate a 12µg dose in the pivotal clinical trial. Our pivotal Phase 2b/3 study, called HERALD, is expected to enroll more than 37,000 participants, above the age of 18, at sites in Europe and Latin America. The study is randomized, observer blind, placebo- controlled, on a two-dose schedule and was started with an initial Phase 2b safety part, which is expected to merge into a Phase 3 efficacy trial. The Phase 2b/3 study has a primary safety objective and two primary efficacy objectives: the demonstration of the efficacy of preventing first episodes of confirmed cases of COVID-19 of any severity and preventing moderate to severe confirmed cases of COVID-19 in participants who have never been infected with SARS-CoV-2. We currently expect to conduct a first interim analysis of the pivotal Phase 2b/3 study later in the first quarter of 2021 or early in the second quarter of 2021, depending on the infection rate of SARS-COV-2 in clinical trial participants. We are working closely with many organizations, including the Coalition for Epidemic Preparedness Innovations, or CEPI, on the development of this vaccine candidate. We are also producing material for our vaccine candidate in our GMP III facility and are building up a broad and integrated European vaccine manufacturing network with highly experienced Contract Development and Manufacturing Organization partners for each of the key manufacturing steps for CVnCoV. With this strategy, the company is expecting to significantly increase its existing manufacturing capacities for CVnCoV to an annual output of up to 300 million doses in 2021 and up to 600 million doses in 2022, while managing potential supply chain risks. The additional GMP IV large-scale production facility supported by the European Investment Bank at CureVac´s headquarters in Tübingen is currently in development.</w:t>
      </w:r>
    </w:p>
    <w:p>
      <w:pPr>
        <w:spacing w:after="0" w:line="125" w:lineRule="exact"/>
        <w:rPr>
          <w:sz w:val="20"/>
          <w:szCs w:val="20"/>
          <w:color w:val="auto"/>
        </w:rPr>
      </w:pPr>
    </w:p>
    <w:p>
      <w:pPr>
        <w:ind w:left="1260" w:right="639" w:firstLine="648"/>
        <w:spacing w:after="0" w:line="291" w:lineRule="auto"/>
        <w:rPr>
          <w:sz w:val="20"/>
          <w:szCs w:val="20"/>
          <w:color w:val="auto"/>
        </w:rPr>
      </w:pPr>
      <w:r>
        <w:rPr>
          <w:rFonts w:ascii="Arial" w:cs="Arial" w:eastAsia="Arial" w:hAnsi="Arial"/>
          <w:sz w:val="17"/>
          <w:szCs w:val="17"/>
          <w:color w:val="auto"/>
        </w:rPr>
        <w:t>Our development efforts for protein therapy are based on delivering optimized mRNAs to trigger production of antibodies or therapeutic proteins. Using our technology, we can instruct human cells to</w:t>
      </w:r>
    </w:p>
    <w:p>
      <w:pPr>
        <w:spacing w:after="0" w:line="3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9" w:name="page130"/>
    <w:bookmarkEnd w:id="1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19"/>
        <w:spacing w:after="0" w:line="268" w:lineRule="auto"/>
        <w:rPr>
          <w:sz w:val="20"/>
          <w:szCs w:val="20"/>
          <w:color w:val="auto"/>
        </w:rPr>
      </w:pPr>
      <w:r>
        <w:rPr>
          <w:rFonts w:ascii="Arial" w:cs="Arial" w:eastAsia="Arial" w:hAnsi="Arial"/>
          <w:sz w:val="17"/>
          <w:szCs w:val="17"/>
          <w:color w:val="auto"/>
        </w:rPr>
        <w:t>produce specific proteins in the nucleus, cytoplasm, cellular organelles, cell membrane, or get them secreted. Based on this “healthy” information delivered by mRNA, our cells can produce proteins, which are required to treat the disease caused by missing or inactive proteins. Protein therapy spans broad therapeutic areas and has the potential to be used as a treatment against infectious diseases in passive immunization (protection against an infectious disease with the encoding of the adequate protective antibody) and toxins (protection against a toxin with the encoding of the adequate protective antibody) and to be applied in many disease indications including cancer (mRNA encoded cancer antibodies), cardiovascular diseases, and autoimmune diseases. Our mRNA optimization process, which is a core pillar of our RNAoptimizer platform, is designed to increase protein expression with the aim to reach therapeutic levels. In preclinical studies in non-human primates, we have demonstrated that antibodies encoded by mRNA can be produced in hepatocytes very rapidly and can reach therapeutic levels in the blood stream. We are also currently advancing multiple undisclosed programs in preclinical studies across eye disorders and lung diseases as well as delivering therapeutic antibodies.</w:t>
      </w:r>
    </w:p>
    <w:p>
      <w:pPr>
        <w:spacing w:after="0" w:line="119" w:lineRule="exact"/>
        <w:rPr>
          <w:sz w:val="20"/>
          <w:szCs w:val="20"/>
          <w:color w:val="auto"/>
        </w:rPr>
      </w:pPr>
    </w:p>
    <w:p>
      <w:pPr>
        <w:ind w:left="1260" w:right="459" w:firstLine="648"/>
        <w:spacing w:after="0" w:line="254" w:lineRule="auto"/>
        <w:rPr>
          <w:sz w:val="20"/>
          <w:szCs w:val="20"/>
          <w:color w:val="auto"/>
        </w:rPr>
      </w:pPr>
      <w:r>
        <w:rPr>
          <w:rFonts w:ascii="Arial" w:cs="Arial" w:eastAsia="Arial" w:hAnsi="Arial"/>
          <w:sz w:val="18"/>
          <w:szCs w:val="18"/>
          <w:color w:val="auto"/>
        </w:rPr>
        <w:t>We have built an intellectual property portfolio in the United States, Europe and other major geographies. As of January 15, 2021, we owned approximately 882 issued patents worldwide, including 63 issued U.S. patents, 57 issued European patents (which have been validated in various European countries resulting in a total of approximately 608 national patents in European countries), and 154 issued patents in other foreign countries, 125 pending U.S. patent applications, 73 pending European patent applications, 317 pending patent applications in other foreign countries. Our patent portfolio includes claims relating to our RNA technology platform, our CVCM delivery system and our CV8102, CV7202, CV-SSIV and CVnCoV product candidates.</w:t>
      </w:r>
    </w:p>
    <w:p>
      <w:pPr>
        <w:spacing w:after="0" w:line="124" w:lineRule="exact"/>
        <w:rPr>
          <w:sz w:val="20"/>
          <w:szCs w:val="20"/>
          <w:color w:val="auto"/>
        </w:rPr>
      </w:pPr>
    </w:p>
    <w:p>
      <w:pPr>
        <w:ind w:left="1260" w:right="439" w:firstLine="648"/>
        <w:spacing w:after="0" w:line="254" w:lineRule="auto"/>
        <w:rPr>
          <w:sz w:val="20"/>
          <w:szCs w:val="20"/>
          <w:color w:val="auto"/>
        </w:rPr>
      </w:pPr>
      <w:r>
        <w:rPr>
          <w:rFonts w:ascii="Arial" w:cs="Arial" w:eastAsia="Arial" w:hAnsi="Arial"/>
          <w:sz w:val="18"/>
          <w:szCs w:val="18"/>
          <w:color w:val="auto"/>
        </w:rPr>
        <w:t>We are led by a team of veterans with extensive experience in the biopharmaceutical industry, including experience in nucleic acid therapy, oncology, rare and infectious diseases, and antibodies. Our management team as well as our supervisory board members have broad expertise in the clinical, regulatory, and commercialization aspects of oncology, prophylactic vaccines and protein therapy as well as in drug development, process development, and manufacturing for mRNA therapies. We currently have over 500 employees, including 164 employees with advanced scientific degrees. Since our founding in 2000, we have raised €1.25 billion in gross proceeds from a combination of equity and debt financings with an additional €50 million of external committed financing outstanding.</w:t>
      </w:r>
    </w:p>
    <w:p>
      <w:pPr>
        <w:spacing w:after="0" w:line="111" w:lineRule="exact"/>
        <w:rPr>
          <w:sz w:val="20"/>
          <w:szCs w:val="20"/>
          <w:color w:val="auto"/>
        </w:rPr>
      </w:pPr>
    </w:p>
    <w:p>
      <w:pPr>
        <w:ind w:left="1260" w:right="499" w:firstLine="648"/>
        <w:spacing w:after="0" w:line="255" w:lineRule="auto"/>
        <w:rPr>
          <w:sz w:val="20"/>
          <w:szCs w:val="20"/>
          <w:color w:val="auto"/>
        </w:rPr>
      </w:pPr>
      <w:r>
        <w:rPr>
          <w:rFonts w:ascii="Arial" w:cs="Arial" w:eastAsia="Arial" w:hAnsi="Arial"/>
          <w:sz w:val="18"/>
          <w:szCs w:val="18"/>
          <w:color w:val="auto"/>
        </w:rPr>
        <w:t>On January 7, 2021, we entered into a collaboration and service agreement with Bayer AG, which is expected to support the further development, supply and key territory operations of our COVID-19 vaccine candidate, CVnCoV. Pursuant to such agreement, Bayer will contribute expertise and infrastructure in areas such as clinical operations, regulatory affairs and pharmacovigilance. To further accelerate market availability and distribution of CVnCoV, Bayer AG will support our operations within the member states of the European Union and selected additional markets.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Product Portfolio</w:t>
      </w:r>
    </w:p>
    <w:p>
      <w:pPr>
        <w:spacing w:after="0" w:line="162" w:lineRule="exact"/>
        <w:rPr>
          <w:sz w:val="20"/>
          <w:szCs w:val="20"/>
          <w:color w:val="auto"/>
        </w:rPr>
      </w:pPr>
    </w:p>
    <w:p>
      <w:pPr>
        <w:ind w:left="1260" w:right="479" w:firstLine="648"/>
        <w:spacing w:after="0" w:line="257" w:lineRule="auto"/>
        <w:rPr>
          <w:sz w:val="20"/>
          <w:szCs w:val="20"/>
          <w:color w:val="auto"/>
        </w:rPr>
      </w:pPr>
      <w:r>
        <w:rPr>
          <w:rFonts w:ascii="Arial" w:cs="Arial" w:eastAsia="Arial" w:hAnsi="Arial"/>
          <w:sz w:val="18"/>
          <w:szCs w:val="18"/>
          <w:color w:val="auto"/>
        </w:rPr>
        <w:t>Our differentiated mRNA technology platform is designed to address a broad range of diseases across multiple therapeutic areas. Given the strengths of our platform, the broad potential of mRNA-based medicines, and our rational approach to disease selection, we have chosen to leverage our platform to initially focus on advancing our product candidates in the areas of infectious diseases, oncology and protein delivery.</w:t>
      </w:r>
    </w:p>
    <w:p>
      <w:pPr>
        <w:spacing w:after="0" w:line="120" w:lineRule="exact"/>
        <w:rPr>
          <w:sz w:val="20"/>
          <w:szCs w:val="20"/>
          <w:color w:val="auto"/>
        </w:rPr>
      </w:pPr>
    </w:p>
    <w:p>
      <w:pPr>
        <w:ind w:left="1260" w:right="439" w:firstLine="648"/>
        <w:spacing w:after="0" w:line="275" w:lineRule="auto"/>
        <w:rPr>
          <w:sz w:val="20"/>
          <w:szCs w:val="20"/>
          <w:color w:val="auto"/>
        </w:rPr>
      </w:pPr>
      <w:r>
        <w:rPr>
          <w:rFonts w:ascii="Arial" w:cs="Arial" w:eastAsia="Arial" w:hAnsi="Arial"/>
          <w:sz w:val="17"/>
          <w:szCs w:val="17"/>
          <w:color w:val="auto"/>
        </w:rPr>
        <w:t>A disease indication may require an approach that triggers an immune response (immune active), or that does not require immune activation (immune silent). Each of the disease indications that we are targeting require different levels of immune activation for the mRNA-based medicines to be effective. Our approach is initially focused on RNA or mRNA-based medicines that trigger an immune response such as oncology and prophylactic vaccines. Based on the proof of concept clinical data from our prophylactic</w:t>
      </w:r>
    </w:p>
    <w:p>
      <w:pPr>
        <w:spacing w:after="0" w:line="35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0" w:name="page131"/>
    <w:bookmarkEnd w:id="1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99"/>
        <w:spacing w:after="0" w:line="261" w:lineRule="auto"/>
        <w:rPr>
          <w:sz w:val="20"/>
          <w:szCs w:val="20"/>
          <w:color w:val="auto"/>
        </w:rPr>
      </w:pPr>
      <w:r>
        <w:rPr>
          <w:rFonts w:ascii="Arial" w:cs="Arial" w:eastAsia="Arial" w:hAnsi="Arial"/>
          <w:sz w:val="18"/>
          <w:szCs w:val="18"/>
          <w:color w:val="auto"/>
        </w:rPr>
        <w:t>vaccine programs, we have expanded our preclinical product portfolio to include mRNA therapies based on the expression of therapeutic proteins (including ocular and lung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92075</wp:posOffset>
            </wp:positionV>
            <wp:extent cx="5160645" cy="23234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60645" cy="2323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900" w:hanging="640"/>
        <w:spacing w:after="0"/>
        <w:tabs>
          <w:tab w:leader="none" w:pos="1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Unidentified indication.</w:t>
      </w:r>
    </w:p>
    <w:p>
      <w:pPr>
        <w:spacing w:after="0" w:line="157" w:lineRule="exact"/>
        <w:rPr>
          <w:rFonts w:ascii="Arial" w:cs="Arial" w:eastAsia="Arial" w:hAnsi="Arial"/>
          <w:sz w:val="18"/>
          <w:szCs w:val="18"/>
          <w:color w:val="auto"/>
        </w:rPr>
      </w:pPr>
    </w:p>
    <w:p>
      <w:pPr>
        <w:ind w:left="1900"/>
        <w:spacing w:after="0"/>
        <w:rPr>
          <w:rFonts w:ascii="Arial" w:cs="Arial" w:eastAsia="Arial" w:hAnsi="Arial"/>
          <w:sz w:val="18"/>
          <w:szCs w:val="18"/>
          <w:color w:val="auto"/>
        </w:rPr>
      </w:pPr>
      <w:r>
        <w:rPr>
          <w:rFonts w:ascii="Arial" w:cs="Arial" w:eastAsia="Arial" w:hAnsi="Arial"/>
          <w:sz w:val="18"/>
          <w:szCs w:val="18"/>
          <w:color w:val="auto"/>
        </w:rPr>
        <w:t>Our lead proprietary programs include:</w:t>
      </w:r>
    </w:p>
    <w:p>
      <w:pPr>
        <w:spacing w:after="0" w:line="117" w:lineRule="exact"/>
        <w:rPr>
          <w:rFonts w:ascii="Arial" w:cs="Arial" w:eastAsia="Arial" w:hAnsi="Arial"/>
          <w:sz w:val="18"/>
          <w:szCs w:val="18"/>
          <w:color w:val="auto"/>
        </w:rPr>
      </w:pPr>
    </w:p>
    <w:p>
      <w:pPr>
        <w:ind w:left="2260" w:right="599" w:hanging="352"/>
        <w:spacing w:after="0" w:line="255" w:lineRule="auto"/>
        <w:tabs>
          <w:tab w:leader="none" w:pos="22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Our lead vaccine candidate CVnCoV against SARS-CoV-2, which we have rapidly advanced in response to the global pandemic due to COVID-19. Based on the results of preclinical studies, we initiated a Phase 1 clinical trial in June 2020 and a Phase 2a clinical trial in September 2020. On November 10, 2020, we reported positive interim Phase 1 data and selected a recommended dose of 12µg for further clinical testing. In December 2020, we initiated a pivotal Phase 2b/3 study.</w:t>
      </w:r>
    </w:p>
    <w:p>
      <w:pPr>
        <w:spacing w:after="0" w:line="70" w:lineRule="exact"/>
        <w:rPr>
          <w:rFonts w:ascii="Arial" w:cs="Arial" w:eastAsia="Arial" w:hAnsi="Arial"/>
          <w:sz w:val="18"/>
          <w:szCs w:val="18"/>
          <w:color w:val="auto"/>
        </w:rPr>
      </w:pPr>
    </w:p>
    <w:p>
      <w:pPr>
        <w:ind w:left="2260" w:right="459" w:hanging="352"/>
        <w:spacing w:after="0" w:line="286" w:lineRule="auto"/>
        <w:tabs>
          <w:tab w:leader="none" w:pos="2260" w:val="left"/>
        </w:tabs>
        <w:numPr>
          <w:ilvl w:val="1"/>
          <w:numId w:val="76"/>
        </w:numPr>
        <w:rPr>
          <w:rFonts w:ascii="Arial" w:cs="Arial" w:eastAsia="Arial" w:hAnsi="Arial"/>
          <w:sz w:val="17"/>
          <w:szCs w:val="17"/>
          <w:color w:val="auto"/>
        </w:rPr>
      </w:pPr>
      <w:r>
        <w:rPr>
          <w:rFonts w:ascii="Arial" w:cs="Arial" w:eastAsia="Arial" w:hAnsi="Arial"/>
          <w:sz w:val="17"/>
          <w:szCs w:val="17"/>
          <w:color w:val="auto"/>
        </w:rPr>
        <w:t>Our lead oncology program, CV8102, is currently in a Phase 1 dose escalating clinical trial for four types of cancers as a monotherapy and in combination with anti-PD-1. Based on the results from the Phase 1 trial, we plan to determine the recommended dose for Phase 2.</w:t>
      </w:r>
    </w:p>
    <w:p>
      <w:pPr>
        <w:spacing w:after="0" w:line="57" w:lineRule="exact"/>
        <w:rPr>
          <w:rFonts w:ascii="Arial" w:cs="Arial" w:eastAsia="Arial" w:hAnsi="Arial"/>
          <w:sz w:val="17"/>
          <w:szCs w:val="17"/>
          <w:color w:val="auto"/>
        </w:rPr>
      </w:pPr>
    </w:p>
    <w:p>
      <w:pPr>
        <w:ind w:left="2260" w:right="419" w:hanging="352"/>
        <w:spacing w:after="0" w:line="259" w:lineRule="auto"/>
        <w:tabs>
          <w:tab w:leader="none" w:pos="22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Our vaccine program, CV7202, is currently in a Phase 1 clinical trial as a vaccine candidate against rabies. We have submitted a manuscript with Phase 1 data for publication in a scientific journal and are currently assessing the timeline for advancing CV7202 into a Phase 2 clinical trial.</w:t>
      </w:r>
    </w:p>
    <w:p>
      <w:pPr>
        <w:spacing w:after="0" w:line="106"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Our key partnered programs include:</w:t>
      </w:r>
    </w:p>
    <w:p>
      <w:pPr>
        <w:spacing w:after="0" w:line="117" w:lineRule="exact"/>
        <w:rPr>
          <w:sz w:val="20"/>
          <w:szCs w:val="20"/>
          <w:color w:val="auto"/>
        </w:rPr>
      </w:pPr>
    </w:p>
    <w:p>
      <w:pPr>
        <w:ind w:left="2260" w:right="559" w:hanging="352"/>
        <w:spacing w:after="0" w:line="273" w:lineRule="auto"/>
        <w:tabs>
          <w:tab w:leader="none" w:pos="22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We have partnered with Boehringer Ingelheim for the development of BI1361849 (previously CV9202) which is a therapeutic vaccine candidate designed to elicit antigen-specific immune responses against tumor-associated antigens frequently overexpressed in patients with non-small cell lung cancer, or NSCLC. BI1361849 is currently being studied by the Ludwig Institute for Cancer Research in a Phase 1/2 clinical trial in NSCLC, in combination with durvalumab, a PD-L1 inhibitor, and tremelimumab, an anti CTLA-4 antibody.</w:t>
      </w:r>
    </w:p>
    <w:p>
      <w:pPr>
        <w:spacing w:after="0" w:line="69" w:lineRule="exact"/>
        <w:rPr>
          <w:rFonts w:ascii="Arial" w:cs="Arial" w:eastAsia="Arial" w:hAnsi="Arial"/>
          <w:sz w:val="17"/>
          <w:szCs w:val="17"/>
          <w:color w:val="auto"/>
        </w:rPr>
      </w:pPr>
    </w:p>
    <w:p>
      <w:pPr>
        <w:ind w:left="2260" w:right="499" w:hanging="352"/>
        <w:spacing w:after="0" w:line="257" w:lineRule="auto"/>
        <w:tabs>
          <w:tab w:leader="none" w:pos="2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We have partnered with CRISPR Therapeutics for the development of novel Cas9 mRNA constructs for use in gene editing therapeutics, with improved properties such as increased potency, decreased duration of expression and reduced potential for immunogenicity. CRISPR Therapeutics has an exclusive license to the improved constructs in three of their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 editing programs.</w:t>
      </w:r>
    </w:p>
    <w:p>
      <w:pPr>
        <w:spacing w:after="0" w:line="79" w:lineRule="exact"/>
        <w:rPr>
          <w:rFonts w:ascii="Arial" w:cs="Arial" w:eastAsia="Arial" w:hAnsi="Arial"/>
          <w:sz w:val="18"/>
          <w:szCs w:val="18"/>
          <w:color w:val="auto"/>
        </w:rPr>
      </w:pPr>
    </w:p>
    <w:p>
      <w:pPr>
        <w:ind w:left="2260" w:right="579" w:hanging="352"/>
        <w:spacing w:after="0" w:line="259" w:lineRule="auto"/>
        <w:tabs>
          <w:tab w:leader="none" w:pos="2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have a broad strategic partnership with Genmab to leverage our mRNA technology platform to develop up to four mRNA based novel therapeutic antibodies. This represents the first publicly announced strategic partnership focused on differentiated mRNA-based antibodies.</w:t>
      </w:r>
    </w:p>
    <w:p>
      <w:pPr>
        <w:sectPr>
          <w:pgSz w:w="11900" w:h="16838" w:orient="portrait"/>
          <w:cols w:equalWidth="0" w:num="1">
            <w:col w:w="9879"/>
          </w:cols>
          <w:pgMar w:left="580" w:top="131" w:right="1440" w:bottom="1440" w:gutter="0" w:footer="0" w:header="0"/>
        </w:sectPr>
      </w:pP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1" w:name="page132"/>
    <w:bookmarkEnd w:id="1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60" w:right="679" w:hanging="352"/>
        <w:spacing w:after="0" w:line="308" w:lineRule="auto"/>
        <w:tabs>
          <w:tab w:leader="none" w:pos="22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We have received grants from the Bill &amp; Melinda Gates Foundation to develop prophylactic vaccines designed to prevent picornaviruses, influenza, malaria and rotavirus.</w:t>
      </w:r>
    </w:p>
    <w:p>
      <w:pPr>
        <w:spacing w:after="0" w:line="38" w:lineRule="exact"/>
        <w:rPr>
          <w:rFonts w:ascii="Arial" w:cs="Arial" w:eastAsia="Arial" w:hAnsi="Arial"/>
          <w:sz w:val="17"/>
          <w:szCs w:val="17"/>
          <w:color w:val="auto"/>
        </w:rPr>
      </w:pPr>
    </w:p>
    <w:p>
      <w:pPr>
        <w:ind w:left="2260" w:right="459" w:hanging="352"/>
        <w:spacing w:after="0" w:line="275" w:lineRule="auto"/>
        <w:tabs>
          <w:tab w:leader="none" w:pos="22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We are collaborating with CEPI on the development of several vaccine projects including programs against SARS-CoV-2, Lassa virus and yellow fever. Further, we are collaborating with CEPI on the development of our RNA Printer. We also have several academic collaborations, including with SERI for target discovery research in mRNA-based eye therapy, and Yale University for target discovery research in mRNA-based pulmonary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95250</wp:posOffset>
            </wp:positionV>
            <wp:extent cx="5168900" cy="24777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68900" cy="247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900" w:right="579" w:hanging="640"/>
        <w:spacing w:after="0" w:line="263" w:lineRule="auto"/>
        <w:tabs>
          <w:tab w:leader="none" w:pos="1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For further details on our collaboration agreements, see “Business — Collaborations” and “Management’s Discussion and Analysis of Financial Condition and Results of Operations — Our Collaborations and Related License Agreements.”</w:t>
      </w:r>
    </w:p>
    <w:p>
      <w:pPr>
        <w:spacing w:after="0" w:line="35" w:lineRule="exact"/>
        <w:rPr>
          <w:sz w:val="20"/>
          <w:szCs w:val="20"/>
          <w:color w:val="auto"/>
        </w:rPr>
      </w:pPr>
    </w:p>
    <w:p>
      <w:pPr>
        <w:ind w:left="1900" w:hanging="640"/>
        <w:spacing w:after="0"/>
        <w:tabs>
          <w:tab w:leader="none" w:pos="1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Unidentified indication.</w:t>
      </w:r>
    </w:p>
    <w:p>
      <w:pPr>
        <w:spacing w:after="0" w:line="90" w:lineRule="exact"/>
        <w:rPr>
          <w:sz w:val="20"/>
          <w:szCs w:val="20"/>
          <w:color w:val="auto"/>
        </w:rPr>
      </w:pPr>
    </w:p>
    <w:p>
      <w:pPr>
        <w:ind w:left="1900" w:right="439" w:hanging="640"/>
        <w:spacing w:after="0" w:line="263" w:lineRule="auto"/>
        <w:tabs>
          <w:tab w:leader="none" w:pos="1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have initiated a combined Phase 2b/3 clinical trial, called HERALD, for our COVID-19 vaccine candidate, CVnCoV, see “Business — RNA-Based Prophylactic Vaccines — COVID-19 Vaccines Program — CVnCoV Phase 2b/3 Clinical Trial.”</w:t>
      </w:r>
    </w:p>
    <w:p>
      <w:pPr>
        <w:spacing w:after="0" w:line="35" w:lineRule="exact"/>
        <w:rPr>
          <w:rFonts w:ascii="Arial" w:cs="Arial" w:eastAsia="Arial" w:hAnsi="Arial"/>
          <w:sz w:val="18"/>
          <w:szCs w:val="18"/>
          <w:color w:val="auto"/>
        </w:rPr>
      </w:pPr>
    </w:p>
    <w:p>
      <w:pPr>
        <w:ind w:left="1900" w:right="699" w:hanging="640"/>
        <w:spacing w:after="0" w:line="257" w:lineRule="auto"/>
        <w:tabs>
          <w:tab w:leader="none" w:pos="1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CEPI has committed to provide funding, which will be used for a Phase 1 clinical trial. See “Business — Collaborations — Coalition for Epidemic Preparedness Innovations Framework Partnering Agreement” and “Management’s Discussion and Analysis of Financial Condition and Results of Operations — Our Collaborations and Related License Agreements — Coalition for Epidemic Preparedness Innovations.”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Strengths</w:t>
      </w:r>
    </w:p>
    <w:p>
      <w:pPr>
        <w:spacing w:after="0" w:line="162" w:lineRule="exact"/>
        <w:rPr>
          <w:sz w:val="20"/>
          <w:szCs w:val="20"/>
          <w:color w:val="auto"/>
        </w:rPr>
      </w:pPr>
    </w:p>
    <w:p>
      <w:pPr>
        <w:ind w:left="1260" w:right="439" w:firstLine="648"/>
        <w:spacing w:after="0" w:line="263" w:lineRule="auto"/>
        <w:rPr>
          <w:sz w:val="20"/>
          <w:szCs w:val="20"/>
          <w:color w:val="auto"/>
        </w:rPr>
      </w:pPr>
      <w:r>
        <w:rPr>
          <w:rFonts w:ascii="Arial" w:cs="Arial" w:eastAsia="Arial" w:hAnsi="Arial"/>
          <w:sz w:val="18"/>
          <w:szCs w:val="18"/>
          <w:color w:val="auto"/>
        </w:rPr>
        <w:t>We are developing a broad portfolio of product candidates currently in preclinical or Phase 2 development stages that we believe position us at the forefront of targeted immune active and immune silent mRNA medicines. Our key strengths include:</w:t>
      </w:r>
    </w:p>
    <w:p>
      <w:pPr>
        <w:spacing w:after="0" w:line="76" w:lineRule="exact"/>
        <w:rPr>
          <w:sz w:val="20"/>
          <w:szCs w:val="20"/>
          <w:color w:val="auto"/>
        </w:rPr>
      </w:pPr>
    </w:p>
    <w:p>
      <w:pPr>
        <w:ind w:left="2260" w:right="419" w:hanging="352"/>
        <w:spacing w:after="0" w:line="289" w:lineRule="auto"/>
        <w:tabs>
          <w:tab w:leader="none" w:pos="2260" w:val="left"/>
        </w:tabs>
        <w:numPr>
          <w:ilvl w:val="0"/>
          <w:numId w:val="8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We have a differentiated mRNA technology platform that has the potential to address a wide range of diseases. </w:t>
      </w:r>
      <w:r>
        <w:rPr>
          <w:rFonts w:ascii="Arial" w:cs="Arial" w:eastAsia="Arial" w:hAnsi="Arial"/>
          <w:sz w:val="16"/>
          <w:szCs w:val="16"/>
          <w:color w:val="auto"/>
        </w:rPr>
        <w:t>As the pioneers in the field of mRNA-based medicines, we have a deep understanding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mRNA biology, its interaction with the cellular translation machinery as well as the immune system. We have built our differentiated RNAoptimizer platform to incorporate these insights over the past 20 years. We optimize mRNA to preserve critical protein-RNA interactions as these are an inherent feature of the natural building blocks we employ. Given the potential advantages of the mRNA-based medicines over existing treatment modalities, such as potential for broad application, natural biology, wide range of activity, flexibility, design versatility, transient expression and a single manufacturing process, we believe that we have the</w:t>
      </w:r>
    </w:p>
    <w:p>
      <w:pPr>
        <w:sectPr>
          <w:pgSz w:w="11900" w:h="16838" w:orient="portrait"/>
          <w:cols w:equalWidth="0" w:num="1">
            <w:col w:w="9879"/>
          </w:cols>
          <w:pgMar w:left="580" w:top="131" w:right="1440" w:bottom="1440" w:gutter="0" w:footer="0" w:header="0"/>
        </w:sectPr>
      </w:pPr>
    </w:p>
    <w:p>
      <w:pPr>
        <w:spacing w:after="0" w:line="34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2" w:name="page133"/>
    <w:bookmarkEnd w:id="1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60" w:right="659"/>
        <w:spacing w:after="0" w:line="263" w:lineRule="auto"/>
        <w:rPr>
          <w:sz w:val="20"/>
          <w:szCs w:val="20"/>
          <w:color w:val="auto"/>
        </w:rPr>
      </w:pPr>
      <w:r>
        <w:rPr>
          <w:rFonts w:ascii="Arial" w:cs="Arial" w:eastAsia="Arial" w:hAnsi="Arial"/>
          <w:sz w:val="18"/>
          <w:szCs w:val="18"/>
          <w:color w:val="auto"/>
        </w:rPr>
        <w:t>potential to address a broad range of diseases across multiple therapeutic areas. Our technology platform has been validated in clinical and preclinical studies in selected disease indications.</w:t>
      </w:r>
    </w:p>
    <w:p>
      <w:pPr>
        <w:spacing w:after="0" w:line="76" w:lineRule="exact"/>
        <w:rPr>
          <w:sz w:val="20"/>
          <w:szCs w:val="20"/>
          <w:color w:val="auto"/>
        </w:rPr>
      </w:pPr>
    </w:p>
    <w:p>
      <w:pPr>
        <w:ind w:left="2260" w:right="459" w:hanging="352"/>
        <w:spacing w:after="0" w:line="266" w:lineRule="auto"/>
        <w:tabs>
          <w:tab w:leader="none" w:pos="2260" w:val="left"/>
        </w:tabs>
        <w:numPr>
          <w:ilvl w:val="0"/>
          <w:numId w:val="8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have a broad portfolio of mRNA-based medicines in preclinical and clinical development stages being designed for efficacy, safety and protein expression at relatively low doses. </w:t>
      </w:r>
      <w:r>
        <w:rPr>
          <w:rFonts w:ascii="Arial" w:cs="Arial" w:eastAsia="Arial" w:hAnsi="Arial"/>
          <w:sz w:val="17"/>
          <w:szCs w:val="17"/>
          <w:color w:val="auto"/>
        </w:rPr>
        <w:t>We are developing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product candidates and have conducted preclinical studies and initiated Phase 1 trials of several of our product candidates as well as Phase 2a and Phase 2b/3 clinical trials for our COVID-19 vaccine candidate, CVnCoV. The potential of our technology optimized for immune activation has been observed in multiple early stage clinical studies. Our lead oncology product candidate, CV8102, for the treatment of four types of solid tumors through intratumoral treatment, has shown evidence of single agent therapeutic activity with shrinkage of non-treated lesions, with limited treatment emergent adverse events. Our most clinically advanced vaccine product candidate, CVnCoV, is our mRNA vaccine program against coronavirus (SARS-CoV-2), for which we initiated a Phase 1 clinical trial in healthy volunteers in June 2020 and reported positive interim results on November 10, 2020. As of the cutoff date of October 31, 2020, the interim results showed that CVnCoV induced relevant antibody titers. The quality of the immune responses observed in vaccinated and healthy volunteers was found to be comparable to the immune response identified or detected in convalescent sera taken from recovered COVID-19 patients, thereby mimicking the immune response observed after a natural COVID-19 infection. We believe these interim data support our decision to evaluate a 12µg dose in the planned pivotal trial. A Phase 2a clinical trial evaluating CVnCoV in older adults was initiated in September 2020. The Phase 2a clinical trial is a partially observer-blind, multi-centered, controlled, dose-confirm trial, and is fully enrolled with 674 participants. We currently expect to report a first data read-out for the Phase 2a clinical trial later in the first quarter of 2021. Our pivotal Phase 2b/3 study was initiated in December 2020, and is expected to include more than 37,000 participants. The Phase 2b/3 study is randomized, observer blind, placebo-controlled, on a two-dose schedule and was started with an initial Phase 2b safety part, which is expected to merge into a Phase 3 efficacy trial. We currently expect to conduct a first interim analysis of the pivotal Phase 2b/3 study later in the first quarter of 2021 or early in the second quarter of 2021, depending on the infection rate of SARS-COV-2 in clinical trial participants. We are working closely with many organizations, including CEPI, on the development of our CVnCoV vaccine. Additionally, CV7202, our prophylactic vaccine candidate trial against rabies, induced protective antibody titers above the WHO threshold in a Phase 1 study, following two doses as low as 1μg of mRNA. Our approaches optimized for protein therapies have been evaluated in multiple preclinical disease models.</w:t>
      </w:r>
    </w:p>
    <w:p>
      <w:pPr>
        <w:spacing w:after="0" w:line="86" w:lineRule="exact"/>
        <w:rPr>
          <w:rFonts w:ascii="Arial" w:cs="Arial" w:eastAsia="Arial" w:hAnsi="Arial"/>
          <w:sz w:val="17"/>
          <w:szCs w:val="17"/>
          <w:color w:val="auto"/>
        </w:rPr>
      </w:pPr>
    </w:p>
    <w:p>
      <w:pPr>
        <w:ind w:left="2260" w:right="439" w:hanging="352"/>
        <w:spacing w:after="0" w:line="268" w:lineRule="auto"/>
        <w:tabs>
          <w:tab w:leader="none" w:pos="2260" w:val="left"/>
        </w:tabs>
        <w:numPr>
          <w:ilvl w:val="0"/>
          <w:numId w:val="8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have the ability to target different tissue types based on our delivery systems. </w:t>
      </w:r>
      <w:r>
        <w:rPr>
          <w:rFonts w:ascii="Arial" w:cs="Arial" w:eastAsia="Arial" w:hAnsi="Arial"/>
          <w:sz w:val="17"/>
          <w:szCs w:val="17"/>
          <w:color w:val="auto"/>
        </w:rPr>
        <w:t>We have access to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number of mRNA delivery systems, including third-party and our proprietary systems, which allow us to target distinct tissues in an optimal way. Our initial clinical programs are based on localized delivery or using the LNP delivery system. Our prophylactic vaccine programs rely on LNP-based delivery systems administered intramuscularly and provide access to the immune cells. Moreover, LNP based systems deliver mRNA efficiently to the hepatocytes in the liver, if administered intravenously. Protein expressed in the liver may either restore a specific function in the liver itself or produce secreted proteins for release into circulation. We rely on third-party state of the art LNP delivery systems for our initial clinical programs but we are developing our own proprietary LNP delivery system. In addition to LNPs, we have developed our proprietary polymer based delivery system called CVCM, which allows us to further expand into other indications. CVCMs offer the ability to target indications that require localized, long-term dosing and create formulations that are appropriate for certain tissue types (such as lung, eye and mucosal).</w:t>
      </w:r>
    </w:p>
    <w:p>
      <w:pPr>
        <w:spacing w:after="0" w:line="76" w:lineRule="exact"/>
        <w:rPr>
          <w:rFonts w:ascii="Arial" w:cs="Arial" w:eastAsia="Arial" w:hAnsi="Arial"/>
          <w:sz w:val="17"/>
          <w:szCs w:val="17"/>
          <w:color w:val="auto"/>
        </w:rPr>
      </w:pPr>
    </w:p>
    <w:p>
      <w:pPr>
        <w:ind w:left="2260" w:right="459" w:hanging="352"/>
        <w:spacing w:after="0" w:line="381" w:lineRule="auto"/>
        <w:tabs>
          <w:tab w:leader="none" w:pos="2260" w:val="left"/>
        </w:tabs>
        <w:numPr>
          <w:ilvl w:val="0"/>
          <w:numId w:val="83"/>
        </w:numPr>
        <w:rPr>
          <w:rFonts w:ascii="Arial" w:cs="Arial" w:eastAsia="Arial" w:hAnsi="Arial"/>
          <w:sz w:val="15"/>
          <w:szCs w:val="15"/>
          <w:color w:val="auto"/>
        </w:rPr>
      </w:pPr>
      <w:r>
        <w:rPr>
          <w:rFonts w:ascii="Arial" w:cs="Arial" w:eastAsia="Arial" w:hAnsi="Arial"/>
          <w:sz w:val="15"/>
          <w:szCs w:val="15"/>
          <w:b w:val="1"/>
          <w:bCs w:val="1"/>
          <w:i w:val="1"/>
          <w:iCs w:val="1"/>
          <w:color w:val="auto"/>
        </w:rPr>
        <w:t>We have invested in building our in-house manufacturing infrastructure, capabilities and expertise to rapidly, efficiently and cost-effectively produce mRNA-based medicines at commercial scale.</w:t>
      </w:r>
    </w:p>
    <w:p>
      <w:pPr>
        <w:spacing w:after="0" w:line="33" w:lineRule="exact"/>
        <w:rPr>
          <w:sz w:val="20"/>
          <w:szCs w:val="20"/>
          <w:color w:val="auto"/>
        </w:rPr>
      </w:pPr>
    </w:p>
    <w:p>
      <w:pPr>
        <w:ind w:left="2240" w:right="459"/>
        <w:spacing w:after="0" w:line="308" w:lineRule="auto"/>
        <w:rPr>
          <w:sz w:val="20"/>
          <w:szCs w:val="20"/>
          <w:color w:val="auto"/>
        </w:rPr>
      </w:pPr>
      <w:r>
        <w:rPr>
          <w:rFonts w:ascii="Arial" w:cs="Arial" w:eastAsia="Arial" w:hAnsi="Arial"/>
          <w:sz w:val="17"/>
          <w:szCs w:val="17"/>
          <w:color w:val="auto"/>
        </w:rPr>
        <w:t>We have continued to invest in our manufacturing platform since 2000 and have manufactured thousands of mRNA constructs and obtained manufacturing authorization for over 80 products.</w:t>
      </w:r>
    </w:p>
    <w:p>
      <w:pPr>
        <w:sectPr>
          <w:pgSz w:w="11900" w:h="16838" w:orient="portrait"/>
          <w:cols w:equalWidth="0" w:num="1">
            <w:col w:w="9879"/>
          </w:cols>
          <w:pgMar w:left="580" w:top="131" w:right="1440" w:bottom="1440" w:gutter="0" w:footer="0" w:header="0"/>
        </w:sectPr>
      </w:pP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286385</wp:posOffset>
            </wp:positionV>
            <wp:extent cx="680656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3" w:name="page134"/>
    <w:bookmarkEnd w:id="1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40" w:right="419"/>
        <w:spacing w:after="0" w:line="267" w:lineRule="auto"/>
        <w:rPr>
          <w:sz w:val="20"/>
          <w:szCs w:val="20"/>
          <w:color w:val="auto"/>
        </w:rPr>
      </w:pPr>
      <w:r>
        <w:rPr>
          <w:rFonts w:ascii="Arial" w:cs="Arial" w:eastAsia="Arial" w:hAnsi="Arial"/>
          <w:sz w:val="17"/>
          <w:szCs w:val="17"/>
          <w:color w:val="auto"/>
        </w:rPr>
        <w:t>We consider our manufacturing process an important part of our strategy that allows us to continuously improve our technology platform and maintain flexibility in clinical development. In the context of COVID-19, we are currrently producing material for our vaccine candidate in our GMP III facility and building a broad and integrated European vaccine manufacturing network with highly experienced Contract Development and Manufacturing Organization partners for each of the key manufacturing steps for CVnCoV. With this strategy, we are expecting to significantly increase our existing manufacturing capacities for CVnCoV to an annual output of up to 300 million doses in 2021 and up to 600 million doses in 2022, while managing potential supply chain risks. Our manufacturing setup allows us to drive innovation and to maintain flexibility as well as to pivot quickly in clinical development and potential commercialization. In house, we currently operate three GMP-certified suites, with the capacity to supply our clinical programs and support potential early commercialization activities. We are in the process of building a fourth GMP large-scale production facility, at CureVac’s headquarters in Tübingen, which is being designed to cover all manufacturing steps from starting material to formulation, and which could potentially supply for hundreds of millions of doses of our vaccine product candidates to support our future commercial launches. The GMP IV large-scale production faciltiy is supported by the European Investment Bank. All of our mRNA-based active ingredients for various fields of application originate from a common technology platform and are based on identical source materials, which enables us to produce mRNA-based medicines using a substantially similar platform process concept.</w:t>
      </w:r>
    </w:p>
    <w:p>
      <w:pPr>
        <w:spacing w:after="0" w:line="106" w:lineRule="exact"/>
        <w:rPr>
          <w:sz w:val="20"/>
          <w:szCs w:val="20"/>
          <w:color w:val="auto"/>
        </w:rPr>
      </w:pPr>
    </w:p>
    <w:p>
      <w:pPr>
        <w:ind w:left="2260" w:right="479" w:hanging="352"/>
        <w:spacing w:after="0" w:line="289" w:lineRule="auto"/>
        <w:tabs>
          <w:tab w:leader="none" w:pos="2260" w:val="left"/>
        </w:tabs>
        <w:numPr>
          <w:ilvl w:val="0"/>
          <w:numId w:val="8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We have entered into strategic partnerships with leading biopharmaceutical companies and research and non-profit institutions to expand the applications of our technology platform. </w:t>
      </w:r>
      <w:r>
        <w:rPr>
          <w:rFonts w:ascii="Arial" w:cs="Arial" w:eastAsia="Arial" w:hAnsi="Arial"/>
          <w:sz w:val="16"/>
          <w:szCs w:val="16"/>
          <w:color w:val="auto"/>
        </w:rPr>
        <w:t>We have a history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partnering with leading biopharmaceutical companies such as Boehringer Ingelheim, GSK, CRISPR Therapeutics and Genmab. We also have received research grants from the Bill &amp; Melinda Gates Foundation and CEPI for the development of several prophylactic vaccines. Our academic collaborations are focused on identifying and evaluating novel targets in selected therapeutics areas. We have collaborations with SERI, and Yale University for eye disorder and pulmonary diseases, respectively. These partnerships and collaborations allow us to expand the application of our platform and bring in external expertise and capabilities.</w:t>
      </w:r>
    </w:p>
    <w:p>
      <w:pPr>
        <w:spacing w:after="0" w:line="85" w:lineRule="exact"/>
        <w:rPr>
          <w:rFonts w:ascii="Arial" w:cs="Arial" w:eastAsia="Arial" w:hAnsi="Arial"/>
          <w:sz w:val="16"/>
          <w:szCs w:val="16"/>
          <w:color w:val="auto"/>
        </w:rPr>
      </w:pPr>
    </w:p>
    <w:p>
      <w:pPr>
        <w:ind w:left="2260" w:right="459" w:hanging="352"/>
        <w:spacing w:after="0" w:line="269" w:lineRule="auto"/>
        <w:tabs>
          <w:tab w:leader="none" w:pos="2260" w:val="left"/>
        </w:tabs>
        <w:numPr>
          <w:ilvl w:val="0"/>
          <w:numId w:val="8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have built an intellectual property portfolio in a variety of markets for our platform and product candidates. </w:t>
      </w:r>
      <w:r>
        <w:rPr>
          <w:rFonts w:ascii="Arial" w:cs="Arial" w:eastAsia="Arial" w:hAnsi="Arial"/>
          <w:sz w:val="17"/>
          <w:szCs w:val="17"/>
          <w:color w:val="auto"/>
        </w:rPr>
        <w:t>As pioneers in the field of mRNA therapies, we have built an intellectual property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portfolio in the United States and other major geographies. As of January 15, 2021, we owned approximately 882 issued patents worldwide, including 63 issued U.S. patents, 57 issued European patents (which have been validated in various European countries resulting in a total of approximately 608 national patents in European countries), and 154 issued patents in other foreign countries, 125 pending U.S. patent applications, 73 pending European patent applications and 317 pending patent applications in other foreign countries. These patents include claims relating to our mRNA technology platform, our CVCM delivery system, CV8102, CV7202, and other product candidates. We believe our patent applications and other patents are the most cited among mRNA companies’ intellectual property.</w:t>
      </w:r>
    </w:p>
    <w:p>
      <w:pPr>
        <w:spacing w:after="0" w:line="87" w:lineRule="exact"/>
        <w:rPr>
          <w:rFonts w:ascii="Arial" w:cs="Arial" w:eastAsia="Arial" w:hAnsi="Arial"/>
          <w:sz w:val="17"/>
          <w:szCs w:val="17"/>
          <w:color w:val="auto"/>
        </w:rPr>
      </w:pPr>
    </w:p>
    <w:p>
      <w:pPr>
        <w:ind w:left="2260" w:right="439" w:hanging="352"/>
        <w:spacing w:after="0" w:line="288" w:lineRule="auto"/>
        <w:tabs>
          <w:tab w:leader="none" w:pos="2260" w:val="left"/>
        </w:tabs>
        <w:numPr>
          <w:ilvl w:val="0"/>
          <w:numId w:val="8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We have a long history of mRNA research and development and are led by an experienced management team. </w:t>
      </w:r>
      <w:r>
        <w:rPr>
          <w:rFonts w:ascii="Arial" w:cs="Arial" w:eastAsia="Arial" w:hAnsi="Arial"/>
          <w:sz w:val="16"/>
          <w:szCs w:val="16"/>
          <w:color w:val="auto"/>
        </w:rPr>
        <w:t>We are led by veterans of the biopharmaceutical industry with extensive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in nucleic acid therapy, oncology, rare and infectious diseases, and antibodies. Our management team as well as our supervisory board members have broad expertise in the clinical, regulatory, and commercialization aspects of oncology, prophylactic vaccines and rare diseases as well as in drug development, process development, and manufacturing for mRNA-based medicines. Members of our management team have held senior positions at Bristol-Myers Squibb, Ipsen, LION Bioscience, Pharmacia (Pfizer), Pixium Vision, Sirona Dental Systems, Sygnis Pharma AG and other companies. Our broader team includes 164 individuals with advanced scientific degrees working on advancing our mRNA platform.</w:t>
      </w:r>
    </w:p>
    <w:p>
      <w:pPr>
        <w:spacing w:after="0" w:line="34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271780</wp:posOffset>
            </wp:positionV>
            <wp:extent cx="680656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4" w:name="page135"/>
    <w:bookmarkEnd w:id="1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Strategy</w:t>
      </w:r>
    </w:p>
    <w:p>
      <w:pPr>
        <w:spacing w:after="0" w:line="162" w:lineRule="exact"/>
        <w:rPr>
          <w:sz w:val="20"/>
          <w:szCs w:val="20"/>
          <w:color w:val="auto"/>
        </w:rPr>
      </w:pPr>
    </w:p>
    <w:p>
      <w:pPr>
        <w:ind w:left="1260" w:right="459" w:firstLine="648"/>
        <w:spacing w:after="0" w:line="261" w:lineRule="auto"/>
        <w:rPr>
          <w:sz w:val="20"/>
          <w:szCs w:val="20"/>
          <w:color w:val="auto"/>
        </w:rPr>
      </w:pPr>
      <w:r>
        <w:rPr>
          <w:rFonts w:ascii="Arial" w:cs="Arial" w:eastAsia="Arial" w:hAnsi="Arial"/>
          <w:sz w:val="18"/>
          <w:szCs w:val="18"/>
          <w:color w:val="auto"/>
        </w:rPr>
        <w:t>Our goal is to build a leading, fully integrated mRNA-based medicines company that can transform the lives of people. The key components of our strategy include:</w:t>
      </w:r>
    </w:p>
    <w:p>
      <w:pPr>
        <w:spacing w:after="0" w:line="63" w:lineRule="exact"/>
        <w:rPr>
          <w:sz w:val="20"/>
          <w:szCs w:val="20"/>
          <w:color w:val="auto"/>
        </w:rPr>
      </w:pPr>
    </w:p>
    <w:p>
      <w:pPr>
        <w:ind w:left="2260" w:right="439" w:hanging="352"/>
        <w:spacing w:after="0" w:line="270" w:lineRule="auto"/>
        <w:tabs>
          <w:tab w:leader="none" w:pos="2260" w:val="left"/>
        </w:tabs>
        <w:numPr>
          <w:ilvl w:val="0"/>
          <w:numId w:val="8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to invest in our proprietary technology platform to be the leading mRNA platform company. </w:t>
      </w:r>
      <w:r>
        <w:rPr>
          <w:rFonts w:ascii="Arial" w:cs="Arial" w:eastAsia="Arial" w:hAnsi="Arial"/>
          <w:sz w:val="17"/>
          <w:szCs w:val="17"/>
          <w:color w:val="auto"/>
        </w:rPr>
        <w:t>We intend to invest in our proprietary technology platform to broaden its potential across therapeutic areas, in addition to broadening our pipeline in existing therapeutic areas. We believe our continued investment will enable us to further optimize the three core pillars of our technology platform — protein design, mRNA optimization and mRNA delivery — and to further enhance our treatment approaches by offering higher selectivity, greater protein expression, potential combination therapies and reduced or flexible dosing. We are continuing to build on our deep expertise in mRNA-based medicines based on what we have learned from our current programs to apply to our future programs.</w:t>
      </w:r>
    </w:p>
    <w:p>
      <w:pPr>
        <w:spacing w:after="0" w:line="72" w:lineRule="exact"/>
        <w:rPr>
          <w:rFonts w:ascii="Arial" w:cs="Arial" w:eastAsia="Arial" w:hAnsi="Arial"/>
          <w:sz w:val="17"/>
          <w:szCs w:val="17"/>
          <w:color w:val="auto"/>
        </w:rPr>
      </w:pPr>
    </w:p>
    <w:p>
      <w:pPr>
        <w:ind w:left="2260" w:right="419" w:hanging="352"/>
        <w:spacing w:after="0" w:line="254" w:lineRule="auto"/>
        <w:tabs>
          <w:tab w:leader="none" w:pos="226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Utilize a rational disease selection approach to minimize clinical and commercial risk for our programs and broader platform. </w:t>
      </w:r>
      <w:r>
        <w:rPr>
          <w:rFonts w:ascii="Arial" w:cs="Arial" w:eastAsia="Arial" w:hAnsi="Arial"/>
          <w:sz w:val="18"/>
          <w:szCs w:val="18"/>
          <w:color w:val="auto"/>
        </w:rPr>
        <w:t>Our strategy is to maximize the potential of our technology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through our rational disease selection approach to clinical development. We are initially targeting diseases that require an active immune response (such as prophylactic vaccines and oncology) and require transient expression of mRNA in tissue types that are more easily accessible. Based on the proof of concept achieved in our clinical trials for these initial indications, we have expanded our product portfolio to target diseases that require an immune silent approach (such as protein therapy).</w:t>
      </w:r>
    </w:p>
    <w:p>
      <w:pPr>
        <w:spacing w:after="0" w:line="83" w:lineRule="exact"/>
        <w:rPr>
          <w:rFonts w:ascii="Arial" w:cs="Arial" w:eastAsia="Arial" w:hAnsi="Arial"/>
          <w:sz w:val="18"/>
          <w:szCs w:val="18"/>
          <w:color w:val="auto"/>
        </w:rPr>
      </w:pPr>
    </w:p>
    <w:p>
      <w:pPr>
        <w:ind w:left="2260" w:right="419" w:hanging="352"/>
        <w:spacing w:after="0" w:line="286" w:lineRule="auto"/>
        <w:tabs>
          <w:tab w:leader="none" w:pos="2260" w:val="left"/>
        </w:tabs>
        <w:numPr>
          <w:ilvl w:val="0"/>
          <w:numId w:val="8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Rapidly advance our lead product candidates through clinical development and regulatory approval. </w:t>
      </w:r>
      <w:r>
        <w:rPr>
          <w:rFonts w:ascii="Arial" w:cs="Arial" w:eastAsia="Arial" w:hAnsi="Arial"/>
          <w:sz w:val="16"/>
          <w:szCs w:val="16"/>
          <w:color w:val="auto"/>
        </w:rPr>
        <w:t>Our product candidates are currently in preclinical or Phase 2 development stages. We have rapidly advanced our lead mRNA vaccine, CVnCoV against SARS-CoV-2 through preclinical studies. Based on the results from our preclinical studies, we initiated a Phase 1 study in healthy volunteers in June 2020 and a Phase 2a clinical trial in September 2020. On November 10, 2020, we reported positive interim Phase 1 data. In December 2020, we initiated a pivotal Phase 2b/3 trial. Given the urgency of the need for an effective vaccine for COVID-19, we intend to pursue an accelerated clinical development pathway. Our lead oncology candidate, CV8102, is currently being evaluated in a Phase 1 clinical trial for the treatment of four types of solid tumors — cMEL, ACC, SCC and HNSCC. Based on the results from the Phase 1 clinical trial, we plan to determine the recommended dose for Phase 2. Similarly, our vaccine candidate, CV7202, is currently in development for the prophylactic vaccination of rabies. We have submitted a manuscript with Phase 1 data for publication in a scientific journal and are currently assessing the timeline for advancing CV7202 into a Phase 2 clinical trial.</w:t>
      </w:r>
    </w:p>
    <w:p>
      <w:pPr>
        <w:spacing w:after="0" w:line="89" w:lineRule="exact"/>
        <w:rPr>
          <w:rFonts w:ascii="Arial" w:cs="Arial" w:eastAsia="Arial" w:hAnsi="Arial"/>
          <w:sz w:val="16"/>
          <w:szCs w:val="16"/>
          <w:color w:val="auto"/>
        </w:rPr>
      </w:pPr>
    </w:p>
    <w:p>
      <w:pPr>
        <w:ind w:left="2260" w:right="419"/>
        <w:spacing w:after="0" w:line="270" w:lineRule="auto"/>
        <w:rPr>
          <w:rFonts w:ascii="Arial" w:cs="Arial" w:eastAsia="Arial" w:hAnsi="Arial"/>
          <w:sz w:val="16"/>
          <w:szCs w:val="16"/>
          <w:color w:val="auto"/>
        </w:rPr>
      </w:pPr>
      <w:r>
        <w:rPr>
          <w:rFonts w:ascii="Arial" w:cs="Arial" w:eastAsia="Arial" w:hAnsi="Arial"/>
          <w:sz w:val="17"/>
          <w:szCs w:val="17"/>
          <w:color w:val="auto"/>
        </w:rPr>
        <w:t>We believe that by initially targeting diseases with high unmet medical need, we will be able to rapidly advance our programs through clinical development. We intend to pursue the appropriate regulatory pathways available to further accelerate our development efforts.</w:t>
      </w:r>
    </w:p>
    <w:p>
      <w:pPr>
        <w:spacing w:after="0" w:line="55" w:lineRule="exact"/>
        <w:rPr>
          <w:rFonts w:ascii="Arial" w:cs="Arial" w:eastAsia="Arial" w:hAnsi="Arial"/>
          <w:sz w:val="16"/>
          <w:szCs w:val="16"/>
          <w:color w:val="auto"/>
        </w:rPr>
      </w:pPr>
    </w:p>
    <w:p>
      <w:pPr>
        <w:ind w:left="2260" w:right="419" w:hanging="352"/>
        <w:spacing w:after="0" w:line="287" w:lineRule="auto"/>
        <w:tabs>
          <w:tab w:leader="none" w:pos="2260" w:val="left"/>
        </w:tabs>
        <w:numPr>
          <w:ilvl w:val="0"/>
          <w:numId w:val="8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 to invest in our manufacturing capabilities across all manufacturing steps from starting material to formulation to further add scale and flexibility for potential commercialization. </w:t>
      </w:r>
      <w:r>
        <w:rPr>
          <w:rFonts w:ascii="Arial" w:cs="Arial" w:eastAsia="Arial" w:hAnsi="Arial"/>
          <w:sz w:val="16"/>
          <w:szCs w:val="16"/>
          <w:color w:val="auto"/>
        </w:rPr>
        <w:t>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believe that our manufacturing capabilities are a key strategic advantage that offer us flexibility, scalability, versatility and reliability in discovery and development. Beyond the integrated European network of CMOs needed for the short term capacity increase for COVID-19, we are currently building our GMP IV facility, which is being designed to cover all manufacturing steps from starting material to formulation and would allow us to further scale up, reduce manufacturing time and reduce production costs. In addition, we are developing a new automated production concept, the RNA Printer, which would enable downscaling of the production of mRNA material, allowing us to be more flexible and respond rapidly to manufacturing needs. We have successfully manufactured a demonstration batch with the first RNA Printer prototype and are currently developing a second generation prototype.</w:t>
      </w:r>
    </w:p>
    <w:p>
      <w:pPr>
        <w:spacing w:after="0" w:line="59" w:lineRule="exact"/>
        <w:rPr>
          <w:rFonts w:ascii="Arial" w:cs="Arial" w:eastAsia="Arial" w:hAnsi="Arial"/>
          <w:sz w:val="16"/>
          <w:szCs w:val="16"/>
          <w:color w:val="auto"/>
        </w:rPr>
      </w:pPr>
    </w:p>
    <w:p>
      <w:pPr>
        <w:ind w:left="2260" w:right="839" w:hanging="352"/>
        <w:spacing w:after="0" w:line="263" w:lineRule="auto"/>
        <w:tabs>
          <w:tab w:leader="none" w:pos="226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Selectively seek strategic partners to develop and commercialize product candidates in certain therapeutic areas and geographies. </w:t>
      </w:r>
      <w:r>
        <w:rPr>
          <w:rFonts w:ascii="Arial" w:cs="Arial" w:eastAsia="Arial" w:hAnsi="Arial"/>
          <w:sz w:val="18"/>
          <w:szCs w:val="18"/>
          <w:color w:val="auto"/>
        </w:rPr>
        <w:t>We plan to continue to seek additional partnerships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w:t>
      </w:r>
    </w:p>
    <w:p>
      <w:pPr>
        <w:sectPr>
          <w:pgSz w:w="11900" w:h="16838" w:orient="portrait"/>
          <w:cols w:equalWidth="0" w:num="1">
            <w:col w:w="9879"/>
          </w:cols>
          <w:pgMar w:left="580" w:top="131"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5" w:name="page136"/>
    <w:bookmarkEnd w:id="1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60" w:right="439"/>
        <w:spacing w:after="0" w:line="271" w:lineRule="auto"/>
        <w:rPr>
          <w:sz w:val="20"/>
          <w:szCs w:val="20"/>
          <w:color w:val="auto"/>
        </w:rPr>
      </w:pPr>
      <w:r>
        <w:rPr>
          <w:rFonts w:ascii="Arial" w:cs="Arial" w:eastAsia="Arial" w:hAnsi="Arial"/>
          <w:sz w:val="17"/>
          <w:szCs w:val="17"/>
          <w:color w:val="auto"/>
        </w:rPr>
        <w:t>leading biopharmaceutical companies with specialized capabilities, including development and commercialization expertise in selected therapeutic areas and geographies. We may pursue partnerships that allow us to expedite the discovery and development of product candidates, complement our internal development expertise, broaden the breadth of our technology platform, and provide us with non-dilutive financing, while allowing us to retain economic rights to our product candidates that we view as strategically important. Our approach of partnering with a number of biopharmaceutical companies allows us to execute on a broad range of programs simultaneously, while mitigating our drug development risk.</w:t>
      </w:r>
    </w:p>
    <w:p>
      <w:pPr>
        <w:spacing w:after="0" w:line="70" w:lineRule="exact"/>
        <w:rPr>
          <w:sz w:val="20"/>
          <w:szCs w:val="20"/>
          <w:color w:val="auto"/>
        </w:rPr>
      </w:pPr>
    </w:p>
    <w:p>
      <w:pPr>
        <w:ind w:left="2260" w:right="439" w:hanging="352"/>
        <w:spacing w:after="0" w:line="293" w:lineRule="auto"/>
        <w:tabs>
          <w:tab w:leader="none" w:pos="2260" w:val="left"/>
        </w:tabs>
        <w:numPr>
          <w:ilvl w:val="0"/>
          <w:numId w:val="8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Seek strategic acquisitions or in-licenses of technology or assets that are complementary to our programs and technology platform. </w:t>
      </w:r>
      <w:r>
        <w:rPr>
          <w:rFonts w:ascii="Arial" w:cs="Arial" w:eastAsia="Arial" w:hAnsi="Arial"/>
          <w:sz w:val="16"/>
          <w:szCs w:val="16"/>
          <w:color w:val="auto"/>
        </w:rPr>
        <w:t>mRNA-based medicines is an emerging field with ongoing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advancements and discoveries. As the pioneers in the field, we have made significant strides in advancing and optimizing our technology platform over the past 20 years. We may seek acquisitions and in-licensing opportunities that can augment our internal expertise, expand our competitive differentiation and further enhance our mRNA technology platform.</w:t>
      </w:r>
    </w:p>
    <w:p>
      <w:pPr>
        <w:spacing w:after="0" w:line="69" w:lineRule="exact"/>
        <w:rPr>
          <w:rFonts w:ascii="Arial" w:cs="Arial" w:eastAsia="Arial" w:hAnsi="Arial"/>
          <w:sz w:val="16"/>
          <w:szCs w:val="16"/>
          <w:color w:val="auto"/>
        </w:rPr>
      </w:pPr>
    </w:p>
    <w:p>
      <w:pPr>
        <w:ind w:left="2260" w:right="419" w:hanging="352"/>
        <w:spacing w:after="0" w:line="254" w:lineRule="auto"/>
        <w:tabs>
          <w:tab w:leader="none" w:pos="2260" w:val="left"/>
        </w:tabs>
        <w:numPr>
          <w:ilvl w:val="0"/>
          <w:numId w:val="8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Strengthen and expand our intellectual property portfolio to protect our scientific and technical know-how. </w:t>
      </w:r>
      <w:r>
        <w:rPr>
          <w:rFonts w:ascii="Arial" w:cs="Arial" w:eastAsia="Arial" w:hAnsi="Arial"/>
          <w:sz w:val="18"/>
          <w:szCs w:val="18"/>
          <w:color w:val="auto"/>
        </w:rPr>
        <w:t>We intend to continue to strengthen and expand our intellectual property to protect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advances in scientific and technical know-how. Our intellectual property strategy is focused on covering advancements in our technology platform, manufacturing processes, and product candidates. In addition to patent protection, we also rely on trade secrets and confidentiality agreements to protect other proprietary information that is not patentable or that we elect not to patent.</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 of mRNA Therapeutics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 Role of mRNA</w:t>
      </w:r>
    </w:p>
    <w:p>
      <w:pPr>
        <w:spacing w:after="0" w:line="144" w:lineRule="exact"/>
        <w:rPr>
          <w:sz w:val="20"/>
          <w:szCs w:val="20"/>
          <w:color w:val="auto"/>
        </w:rPr>
      </w:pPr>
    </w:p>
    <w:p>
      <w:pPr>
        <w:ind w:left="1260" w:right="539" w:firstLine="648"/>
        <w:spacing w:after="0" w:line="271" w:lineRule="auto"/>
        <w:rPr>
          <w:sz w:val="20"/>
          <w:szCs w:val="20"/>
          <w:color w:val="auto"/>
        </w:rPr>
      </w:pPr>
      <w:r>
        <w:rPr>
          <w:rFonts w:ascii="Arial" w:cs="Arial" w:eastAsia="Arial" w:hAnsi="Arial"/>
          <w:sz w:val="17"/>
          <w:szCs w:val="17"/>
          <w:color w:val="auto"/>
        </w:rPr>
        <w:t>mRNA is a molecule instructing the translation of genetic information encoded in DNA by cells into proteins, which carry out essential cellular functions. As depicted in the figure below, genetic information stored in DNA is transferred to mRNA in a process called transcription in the cell nucleus. In transcription, double-stranded DNA is temporarily unwound and copied into single-stranded mRNA by the enzyme RNA polymerase. mRNA is then transported to the cytoplasm where it instructs synthesis of proteins through a process called translation. In translation, cellular structures called ribosomes decode mRNA bases in groups of three (called codons) as amino acids. Each codon specifies a particular amino acid which are the building blocks of protein molecules which perform distinct functions within the 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105410</wp:posOffset>
            </wp:positionV>
            <wp:extent cx="5117465" cy="18942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17465"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Limitations of Existing Treatment Modalities</w:t>
      </w:r>
    </w:p>
    <w:p>
      <w:pPr>
        <w:spacing w:after="0" w:line="158" w:lineRule="exact"/>
        <w:rPr>
          <w:sz w:val="20"/>
          <w:szCs w:val="20"/>
          <w:color w:val="auto"/>
        </w:rPr>
      </w:pPr>
    </w:p>
    <w:p>
      <w:pPr>
        <w:ind w:left="1260" w:right="559" w:firstLine="648"/>
        <w:spacing w:after="0" w:line="311" w:lineRule="auto"/>
        <w:rPr>
          <w:sz w:val="20"/>
          <w:szCs w:val="20"/>
          <w:color w:val="auto"/>
        </w:rPr>
      </w:pPr>
      <w:r>
        <w:rPr>
          <w:rFonts w:ascii="Arial" w:cs="Arial" w:eastAsia="Arial" w:hAnsi="Arial"/>
          <w:sz w:val="16"/>
          <w:szCs w:val="16"/>
          <w:color w:val="auto"/>
        </w:rPr>
        <w:t>There are several existing treatment modalities that seek to address the underlying cause of absent or defective proteins associated with diseases, including protein replacement therapy, gene therapy, gene editing, RNA interference, and small molecule therapies. Other treatment modalities seek to harness the</w:t>
      </w:r>
    </w:p>
    <w:p>
      <w:pPr>
        <w:sectPr>
          <w:pgSz w:w="11900" w:h="16838" w:orient="portrait"/>
          <w:cols w:equalWidth="0" w:num="1">
            <w:col w:w="9879"/>
          </w:cols>
          <w:pgMar w:left="580" w:top="131" w:right="1440" w:bottom="1440" w:gutter="0" w:footer="0" w:header="0"/>
        </w:sectPr>
      </w:pPr>
    </w:p>
    <w:p>
      <w:pPr>
        <w:spacing w:after="0" w:line="32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6" w:name="page137"/>
    <w:bookmarkEnd w:id="1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79"/>
        <w:spacing w:after="0" w:line="277" w:lineRule="auto"/>
        <w:rPr>
          <w:sz w:val="20"/>
          <w:szCs w:val="20"/>
          <w:color w:val="auto"/>
        </w:rPr>
      </w:pPr>
      <w:r>
        <w:rPr>
          <w:rFonts w:ascii="Arial" w:cs="Arial" w:eastAsia="Arial" w:hAnsi="Arial"/>
          <w:sz w:val="18"/>
          <w:szCs w:val="18"/>
          <w:color w:val="auto"/>
        </w:rPr>
        <w:t>immune system, including antibody therapies and traditional prophylactic vaccines. Each of these treatment modalities have certain limitations as discussed below:</w:t>
      </w:r>
    </w:p>
    <w:p>
      <w:pPr>
        <w:spacing w:after="0" w:line="89" w:lineRule="exact"/>
        <w:rPr>
          <w:sz w:val="20"/>
          <w:szCs w:val="20"/>
          <w:color w:val="auto"/>
        </w:rPr>
      </w:pPr>
    </w:p>
    <w:p>
      <w:pPr>
        <w:ind w:left="2260" w:right="439" w:hanging="352"/>
        <w:spacing w:after="0" w:line="342" w:lineRule="auto"/>
        <w:tabs>
          <w:tab w:leader="none" w:pos="2260" w:val="left"/>
        </w:tabs>
        <w:numPr>
          <w:ilvl w:val="0"/>
          <w:numId w:val="87"/>
        </w:numPr>
        <w:rPr>
          <w:rFonts w:ascii="Arial" w:cs="Arial" w:eastAsia="Arial" w:hAnsi="Arial"/>
          <w:sz w:val="16"/>
          <w:szCs w:val="16"/>
          <w:color w:val="auto"/>
        </w:rPr>
      </w:pPr>
      <w:r>
        <w:rPr>
          <w:rFonts w:ascii="Arial" w:cs="Arial" w:eastAsia="Arial" w:hAnsi="Arial"/>
          <w:sz w:val="16"/>
          <w:szCs w:val="16"/>
          <w:i w:val="1"/>
          <w:iCs w:val="1"/>
          <w:color w:val="auto"/>
        </w:rPr>
        <w:t xml:space="preserve">Protein Replacement Therapy: </w:t>
      </w:r>
      <w:r>
        <w:rPr>
          <w:rFonts w:ascii="Arial" w:cs="Arial" w:eastAsia="Arial" w:hAnsi="Arial"/>
          <w:sz w:val="16"/>
          <w:szCs w:val="16"/>
          <w:color w:val="auto"/>
        </w:rPr>
        <w:t>While this approach has been successfully used to treat a subset</w:t>
      </w:r>
      <w:r>
        <w:rPr>
          <w:rFonts w:ascii="Arial" w:cs="Arial" w:eastAsia="Arial" w:hAnsi="Arial"/>
          <w:sz w:val="16"/>
          <w:szCs w:val="16"/>
          <w:i w:val="1"/>
          <w:iCs w:val="1"/>
          <w:color w:val="auto"/>
        </w:rPr>
        <w:t xml:space="preserve"> </w:t>
      </w:r>
      <w:r>
        <w:rPr>
          <w:rFonts w:ascii="Arial" w:cs="Arial" w:eastAsia="Arial" w:hAnsi="Arial"/>
          <w:sz w:val="16"/>
          <w:szCs w:val="16"/>
          <w:color w:val="auto"/>
        </w:rPr>
        <w:t>of protein-based disorders, it is mostly limited to proteins that function outside of the cell.</w:t>
      </w:r>
    </w:p>
    <w:p>
      <w:pPr>
        <w:spacing w:after="0" w:line="29" w:lineRule="exact"/>
        <w:rPr>
          <w:rFonts w:ascii="Arial" w:cs="Arial" w:eastAsia="Arial" w:hAnsi="Arial"/>
          <w:sz w:val="16"/>
          <w:szCs w:val="16"/>
          <w:color w:val="auto"/>
        </w:rPr>
      </w:pPr>
    </w:p>
    <w:p>
      <w:pPr>
        <w:ind w:left="2260" w:right="699" w:hanging="352"/>
        <w:spacing w:after="0" w:line="257" w:lineRule="auto"/>
        <w:tabs>
          <w:tab w:leader="none" w:pos="226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 xml:space="preserve">Antibody Therapy: </w:t>
      </w:r>
      <w:r>
        <w:rPr>
          <w:rFonts w:ascii="Arial" w:cs="Arial" w:eastAsia="Arial" w:hAnsi="Arial"/>
          <w:sz w:val="18"/>
          <w:szCs w:val="18"/>
          <w:color w:val="auto"/>
        </w:rPr>
        <w:t>Antibody therapeutics are largely administered intravenously and, being</w:t>
      </w:r>
      <w:r>
        <w:rPr>
          <w:rFonts w:ascii="Arial" w:cs="Arial" w:eastAsia="Arial" w:hAnsi="Arial"/>
          <w:sz w:val="18"/>
          <w:szCs w:val="18"/>
          <w:i w:val="1"/>
          <w:iCs w:val="1"/>
          <w:color w:val="auto"/>
        </w:rPr>
        <w:t xml:space="preserve"> </w:t>
      </w:r>
      <w:r>
        <w:rPr>
          <w:rFonts w:ascii="Arial" w:cs="Arial" w:eastAsia="Arial" w:hAnsi="Arial"/>
          <w:sz w:val="18"/>
          <w:szCs w:val="18"/>
          <w:color w:val="auto"/>
        </w:rPr>
        <w:t>proteins themselves, have applications largely limited to surface molecules. In addition, antibodies have historically faced challenges due to their relatively large size, inadequate pharmacokinetics and tissue accessibility as well as unwanted interactions with the immune system.</w:t>
      </w:r>
    </w:p>
    <w:p>
      <w:pPr>
        <w:spacing w:after="0" w:line="106" w:lineRule="exact"/>
        <w:rPr>
          <w:rFonts w:ascii="Arial" w:cs="Arial" w:eastAsia="Arial" w:hAnsi="Arial"/>
          <w:sz w:val="18"/>
          <w:szCs w:val="18"/>
          <w:color w:val="auto"/>
        </w:rPr>
      </w:pPr>
    </w:p>
    <w:p>
      <w:pPr>
        <w:ind w:left="2260" w:right="439" w:hanging="352"/>
        <w:spacing w:after="0" w:line="257" w:lineRule="auto"/>
        <w:tabs>
          <w:tab w:leader="none" w:pos="226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 xml:space="preserve">Gene Therapy: </w:t>
      </w:r>
      <w:r>
        <w:rPr>
          <w:rFonts w:ascii="Arial" w:cs="Arial" w:eastAsia="Arial" w:hAnsi="Arial"/>
          <w:sz w:val="18"/>
          <w:szCs w:val="18"/>
          <w:color w:val="auto"/>
        </w:rPr>
        <w:t>Gene therapy is usually a one-time intervention meant to provide lasting levels</w:t>
      </w:r>
      <w:r>
        <w:rPr>
          <w:rFonts w:ascii="Arial" w:cs="Arial" w:eastAsia="Arial" w:hAnsi="Arial"/>
          <w:sz w:val="18"/>
          <w:szCs w:val="18"/>
          <w:i w:val="1"/>
          <w:iCs w:val="1"/>
          <w:color w:val="auto"/>
        </w:rPr>
        <w:t xml:space="preserve"> </w:t>
      </w:r>
      <w:r>
        <w:rPr>
          <w:rFonts w:ascii="Arial" w:cs="Arial" w:eastAsia="Arial" w:hAnsi="Arial"/>
          <w:sz w:val="18"/>
          <w:szCs w:val="18"/>
          <w:color w:val="auto"/>
        </w:rPr>
        <w:t>of therapeutic protein. While expected to be a one-time treatment, the duration of treatment efficacy is still largely unknown and it may not be amenable to repeat dosing due to neutralizing antibodies against the gene therapy vehicle. In addition, large-scale manufacturing is costly, time-consuming, and complex.</w:t>
      </w:r>
    </w:p>
    <w:p>
      <w:pPr>
        <w:spacing w:after="0" w:line="106" w:lineRule="exact"/>
        <w:rPr>
          <w:rFonts w:ascii="Arial" w:cs="Arial" w:eastAsia="Arial" w:hAnsi="Arial"/>
          <w:sz w:val="18"/>
          <w:szCs w:val="18"/>
          <w:color w:val="auto"/>
        </w:rPr>
      </w:pPr>
    </w:p>
    <w:p>
      <w:pPr>
        <w:ind w:left="2260" w:right="559" w:hanging="352"/>
        <w:spacing w:after="0" w:line="259" w:lineRule="auto"/>
        <w:tabs>
          <w:tab w:leader="none" w:pos="226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 xml:space="preserve">Gene Editing: </w:t>
      </w:r>
      <w:r>
        <w:rPr>
          <w:rFonts w:ascii="Arial" w:cs="Arial" w:eastAsia="Arial" w:hAnsi="Arial"/>
          <w:sz w:val="18"/>
          <w:szCs w:val="18"/>
          <w:color w:val="auto"/>
        </w:rPr>
        <w:t>Despite its promise, gene editing is still in the early stages of development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has potential risks related to unwanted on-and off-target DNA modifications, incomplete targeting or mosaicism that hinder intended modifications. Similar to gene therapies, manufacturing complexities and costs for gene editing are also challenging.</w:t>
      </w:r>
    </w:p>
    <w:p>
      <w:pPr>
        <w:spacing w:after="0" w:line="92" w:lineRule="exact"/>
        <w:rPr>
          <w:rFonts w:ascii="Arial" w:cs="Arial" w:eastAsia="Arial" w:hAnsi="Arial"/>
          <w:sz w:val="18"/>
          <w:szCs w:val="18"/>
          <w:color w:val="auto"/>
        </w:rPr>
      </w:pPr>
    </w:p>
    <w:p>
      <w:pPr>
        <w:ind w:left="2260" w:right="419" w:hanging="352"/>
        <w:spacing w:after="0" w:line="259" w:lineRule="auto"/>
        <w:tabs>
          <w:tab w:leader="none" w:pos="226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 xml:space="preserve">RNA Interference: </w:t>
      </w:r>
      <w:r>
        <w:rPr>
          <w:rFonts w:ascii="Arial" w:cs="Arial" w:eastAsia="Arial" w:hAnsi="Arial"/>
          <w:sz w:val="18"/>
          <w:szCs w:val="18"/>
          <w:color w:val="auto"/>
        </w:rPr>
        <w:t>RNA interference has potential in silencing certain genes but has limitations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 replacing defective or missing proteins, as well as highly expressed proteins. Most of the current efforts in this treatment modality are focused on genes expressed in the liver, with limited evidence of applications in extra-hepatic tissues.</w:t>
      </w:r>
    </w:p>
    <w:p>
      <w:pPr>
        <w:spacing w:after="0" w:line="105" w:lineRule="exact"/>
        <w:rPr>
          <w:rFonts w:ascii="Arial" w:cs="Arial" w:eastAsia="Arial" w:hAnsi="Arial"/>
          <w:sz w:val="18"/>
          <w:szCs w:val="18"/>
          <w:color w:val="auto"/>
        </w:rPr>
      </w:pPr>
    </w:p>
    <w:p>
      <w:pPr>
        <w:jc w:val="both"/>
        <w:ind w:left="2260" w:right="659" w:hanging="352"/>
        <w:spacing w:after="0" w:line="263" w:lineRule="auto"/>
        <w:tabs>
          <w:tab w:leader="none" w:pos="226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 xml:space="preserve">Small Molecule: </w:t>
      </w:r>
      <w:r>
        <w:rPr>
          <w:rFonts w:ascii="Arial" w:cs="Arial" w:eastAsia="Arial" w:hAnsi="Arial"/>
          <w:sz w:val="18"/>
          <w:szCs w:val="18"/>
          <w:color w:val="auto"/>
        </w:rPr>
        <w:t>While small molecules offer advantages over other treatment modalities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terms of biodistribution, tolerability, and delivery, they do not directly address specific gene defects and have a high potential to cause off-target toxicities.</w:t>
      </w:r>
    </w:p>
    <w:p>
      <w:pPr>
        <w:spacing w:after="0" w:line="89" w:lineRule="exact"/>
        <w:rPr>
          <w:rFonts w:ascii="Arial" w:cs="Arial" w:eastAsia="Arial" w:hAnsi="Arial"/>
          <w:sz w:val="18"/>
          <w:szCs w:val="18"/>
          <w:color w:val="auto"/>
        </w:rPr>
      </w:pPr>
    </w:p>
    <w:p>
      <w:pPr>
        <w:ind w:left="2260" w:right="459" w:hanging="352"/>
        <w:spacing w:after="0" w:line="259" w:lineRule="auto"/>
        <w:tabs>
          <w:tab w:leader="none" w:pos="226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 xml:space="preserve">Traditional Prophylactic Vaccines: </w:t>
      </w:r>
      <w:r>
        <w:rPr>
          <w:rFonts w:ascii="Arial" w:cs="Arial" w:eastAsia="Arial" w:hAnsi="Arial"/>
          <w:sz w:val="18"/>
          <w:szCs w:val="18"/>
          <w:color w:val="auto"/>
        </w:rPr>
        <w:t>While traditional prophylactic vaccines are one of the most</w:t>
      </w:r>
      <w:r>
        <w:rPr>
          <w:rFonts w:ascii="Arial" w:cs="Arial" w:eastAsia="Arial" w:hAnsi="Arial"/>
          <w:sz w:val="18"/>
          <w:szCs w:val="18"/>
          <w:i w:val="1"/>
          <w:iCs w:val="1"/>
          <w:color w:val="auto"/>
        </w:rPr>
        <w:t xml:space="preserve"> </w:t>
      </w:r>
      <w:r>
        <w:rPr>
          <w:rFonts w:ascii="Arial" w:cs="Arial" w:eastAsia="Arial" w:hAnsi="Arial"/>
          <w:sz w:val="18"/>
          <w:szCs w:val="18"/>
          <w:color w:val="auto"/>
        </w:rPr>
        <w:t>successful and cost-effective global health interventions, their complex development and costly production processes create a high barrier to entry, long development cycle and limitation in developing vaccines with high serotype coverage.</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mRNA as a Novel Treatment Modality</w:t>
      </w:r>
    </w:p>
    <w:p>
      <w:pPr>
        <w:spacing w:after="0" w:line="158" w:lineRule="exact"/>
        <w:rPr>
          <w:sz w:val="20"/>
          <w:szCs w:val="20"/>
          <w:color w:val="auto"/>
        </w:rPr>
      </w:pPr>
    </w:p>
    <w:p>
      <w:pPr>
        <w:ind w:left="1260" w:right="439" w:firstLine="648"/>
        <w:spacing w:after="0" w:line="259" w:lineRule="auto"/>
        <w:rPr>
          <w:sz w:val="20"/>
          <w:szCs w:val="20"/>
          <w:color w:val="auto"/>
        </w:rPr>
      </w:pPr>
      <w:r>
        <w:rPr>
          <w:rFonts w:ascii="Arial" w:cs="Arial" w:eastAsia="Arial" w:hAnsi="Arial"/>
          <w:sz w:val="18"/>
          <w:szCs w:val="18"/>
          <w:color w:val="auto"/>
        </w:rPr>
        <w:t>mRNA, as the universal template for protein synthesis, can direct the synthesis of any protein in the body. To treat a medical condition, we identify a target protein and encode the information required to synthesize this protein on the mRNA. The mRNA, optimized using our platform, carries this code to give a patient’s body the information to produce its own, custom-tailored protein as medicine.</w:t>
      </w:r>
    </w:p>
    <w:p>
      <w:pPr>
        <w:spacing w:after="0" w:line="119" w:lineRule="exact"/>
        <w:rPr>
          <w:sz w:val="20"/>
          <w:szCs w:val="20"/>
          <w:color w:val="auto"/>
        </w:rPr>
      </w:pPr>
    </w:p>
    <w:p>
      <w:pPr>
        <w:ind w:left="1260" w:right="559" w:firstLine="648"/>
        <w:spacing w:after="0" w:line="255" w:lineRule="auto"/>
        <w:rPr>
          <w:sz w:val="20"/>
          <w:szCs w:val="20"/>
          <w:color w:val="auto"/>
        </w:rPr>
      </w:pPr>
      <w:r>
        <w:rPr>
          <w:rFonts w:ascii="Arial" w:cs="Arial" w:eastAsia="Arial" w:hAnsi="Arial"/>
          <w:sz w:val="18"/>
          <w:szCs w:val="18"/>
          <w:color w:val="auto"/>
        </w:rPr>
        <w:t>mRNAs are typically characterized by their rate of translation into protein and their short and predictable, yet steerable half-life. We optimize these mRNA properties for specific therapeutic needs to provide the most efficacious mRNA-based medicine. mRNAs provide the flexibility to deliver medicines that are required for a limited time as well as the opportunity to deliver repeated doses that can be adjusted to patient needs. The development and manufacturing of mRNA-based medicines can also proceed much more quickly than traditional protein-based therapies, including antibodies.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7" w:name="page138"/>
    <w:bookmarkEnd w:id="1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537210</wp:posOffset>
            </wp:positionV>
            <wp:extent cx="5203190" cy="2674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20319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Key potential advantages of mRNA therapies that could position it as a novel treatment modality</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include:</w:t>
      </w:r>
    </w:p>
    <w:p>
      <w:pPr>
        <w:spacing w:after="0" w:line="103" w:lineRule="exact"/>
        <w:rPr>
          <w:sz w:val="20"/>
          <w:szCs w:val="20"/>
          <w:color w:val="auto"/>
        </w:rPr>
      </w:pPr>
    </w:p>
    <w:p>
      <w:pPr>
        <w:ind w:left="2260" w:right="559" w:hanging="352"/>
        <w:spacing w:after="0" w:line="263" w:lineRule="auto"/>
        <w:tabs>
          <w:tab w:leader="none" w:pos="226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 xml:space="preserve">Broad application: </w:t>
      </w:r>
      <w:r>
        <w:rPr>
          <w:rFonts w:ascii="Arial" w:cs="Arial" w:eastAsia="Arial" w:hAnsi="Arial"/>
          <w:sz w:val="18"/>
          <w:szCs w:val="18"/>
          <w:color w:val="auto"/>
        </w:rPr>
        <w:t>mRNA has the ability to produce all types of proteins, including secreted,</w:t>
      </w:r>
      <w:r>
        <w:rPr>
          <w:rFonts w:ascii="Arial" w:cs="Arial" w:eastAsia="Arial" w:hAnsi="Arial"/>
          <w:sz w:val="18"/>
          <w:szCs w:val="18"/>
          <w:i w:val="1"/>
          <w:iCs w:val="1"/>
          <w:color w:val="auto"/>
        </w:rPr>
        <w:t xml:space="preserve"> </w:t>
      </w:r>
      <w:r>
        <w:rPr>
          <w:rFonts w:ascii="Arial" w:cs="Arial" w:eastAsia="Arial" w:hAnsi="Arial"/>
          <w:sz w:val="18"/>
          <w:szCs w:val="18"/>
          <w:color w:val="auto"/>
        </w:rPr>
        <w:t>membrane and intracellular proteins. This enables broad applicability across a variety of diseases.</w:t>
      </w:r>
    </w:p>
    <w:p>
      <w:pPr>
        <w:spacing w:after="0" w:line="75" w:lineRule="exact"/>
        <w:rPr>
          <w:rFonts w:ascii="Arial" w:cs="Arial" w:eastAsia="Arial" w:hAnsi="Arial"/>
          <w:sz w:val="18"/>
          <w:szCs w:val="18"/>
          <w:color w:val="auto"/>
        </w:rPr>
      </w:pPr>
    </w:p>
    <w:p>
      <w:pPr>
        <w:ind w:left="2260" w:right="539" w:hanging="352"/>
        <w:spacing w:after="0" w:line="308" w:lineRule="auto"/>
        <w:tabs>
          <w:tab w:leader="none" w:pos="2260" w:val="left"/>
        </w:tabs>
        <w:numPr>
          <w:ilvl w:val="0"/>
          <w:numId w:val="88"/>
        </w:numPr>
        <w:rPr>
          <w:rFonts w:ascii="Arial" w:cs="Arial" w:eastAsia="Arial" w:hAnsi="Arial"/>
          <w:sz w:val="17"/>
          <w:szCs w:val="17"/>
          <w:color w:val="auto"/>
        </w:rPr>
      </w:pPr>
      <w:r>
        <w:rPr>
          <w:rFonts w:ascii="Arial" w:cs="Arial" w:eastAsia="Arial" w:hAnsi="Arial"/>
          <w:sz w:val="17"/>
          <w:szCs w:val="17"/>
          <w:i w:val="1"/>
          <w:iCs w:val="1"/>
          <w:color w:val="auto"/>
        </w:rPr>
        <w:t xml:space="preserve">Natural biology: </w:t>
      </w:r>
      <w:r>
        <w:rPr>
          <w:rFonts w:ascii="Arial" w:cs="Arial" w:eastAsia="Arial" w:hAnsi="Arial"/>
          <w:sz w:val="17"/>
          <w:szCs w:val="17"/>
          <w:color w:val="auto"/>
        </w:rPr>
        <w:t>mRNAs mimic human biology to produce proteins in the body in contrast to</w:t>
      </w:r>
      <w:r>
        <w:rPr>
          <w:rFonts w:ascii="Arial" w:cs="Arial" w:eastAsia="Arial" w:hAnsi="Arial"/>
          <w:sz w:val="17"/>
          <w:szCs w:val="17"/>
          <w:i w:val="1"/>
          <w:iCs w:val="1"/>
          <w:color w:val="auto"/>
        </w:rPr>
        <w:t xml:space="preserve"> </w:t>
      </w:r>
      <w:r>
        <w:rPr>
          <w:rFonts w:ascii="Arial" w:cs="Arial" w:eastAsia="Arial" w:hAnsi="Arial"/>
          <w:sz w:val="17"/>
          <w:szCs w:val="17"/>
          <w:color w:val="auto"/>
        </w:rPr>
        <w:t>recombinant proteins that are manufactured using processes that are foreign to the body.</w:t>
      </w:r>
    </w:p>
    <w:p>
      <w:pPr>
        <w:spacing w:after="0" w:line="38" w:lineRule="exact"/>
        <w:rPr>
          <w:rFonts w:ascii="Arial" w:cs="Arial" w:eastAsia="Arial" w:hAnsi="Arial"/>
          <w:sz w:val="17"/>
          <w:szCs w:val="17"/>
          <w:color w:val="auto"/>
        </w:rPr>
      </w:pPr>
    </w:p>
    <w:p>
      <w:pPr>
        <w:ind w:left="2260" w:right="979" w:hanging="352"/>
        <w:spacing w:after="0" w:line="277" w:lineRule="auto"/>
        <w:tabs>
          <w:tab w:leader="none" w:pos="226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 xml:space="preserve">Wide range of activity: </w:t>
      </w:r>
      <w:r>
        <w:rPr>
          <w:rFonts w:ascii="Arial" w:cs="Arial" w:eastAsia="Arial" w:hAnsi="Arial"/>
          <w:sz w:val="18"/>
          <w:szCs w:val="18"/>
          <w:color w:val="auto"/>
        </w:rPr>
        <w:t>mRNAs can be used to create therapies that can be applied as an</w:t>
      </w:r>
      <w:r>
        <w:rPr>
          <w:rFonts w:ascii="Arial" w:cs="Arial" w:eastAsia="Arial" w:hAnsi="Arial"/>
          <w:sz w:val="18"/>
          <w:szCs w:val="18"/>
          <w:i w:val="1"/>
          <w:iCs w:val="1"/>
          <w:color w:val="auto"/>
        </w:rPr>
        <w:t xml:space="preserve"> </w:t>
      </w:r>
      <w:r>
        <w:rPr>
          <w:rFonts w:ascii="Arial" w:cs="Arial" w:eastAsia="Arial" w:hAnsi="Arial"/>
          <w:sz w:val="18"/>
          <w:szCs w:val="18"/>
          <w:color w:val="auto"/>
        </w:rPr>
        <w:t>agonist, an antagonist or for vaccines.</w:t>
      </w:r>
    </w:p>
    <w:p>
      <w:pPr>
        <w:spacing w:after="0" w:line="62" w:lineRule="exact"/>
        <w:rPr>
          <w:rFonts w:ascii="Arial" w:cs="Arial" w:eastAsia="Arial" w:hAnsi="Arial"/>
          <w:sz w:val="18"/>
          <w:szCs w:val="18"/>
          <w:color w:val="auto"/>
        </w:rPr>
      </w:pPr>
    </w:p>
    <w:p>
      <w:pPr>
        <w:ind w:left="2260" w:right="419" w:hanging="352"/>
        <w:spacing w:after="0" w:line="277" w:lineRule="auto"/>
        <w:tabs>
          <w:tab w:leader="none" w:pos="226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 xml:space="preserve">Flexibility: </w:t>
      </w:r>
      <w:r>
        <w:rPr>
          <w:rFonts w:ascii="Arial" w:cs="Arial" w:eastAsia="Arial" w:hAnsi="Arial"/>
          <w:sz w:val="18"/>
          <w:szCs w:val="18"/>
          <w:color w:val="auto"/>
        </w:rPr>
        <w:t>A large number of alternative mRNA candidates can be generated in short time and</w:t>
      </w:r>
      <w:r>
        <w:rPr>
          <w:rFonts w:ascii="Arial" w:cs="Arial" w:eastAsia="Arial" w:hAnsi="Arial"/>
          <w:sz w:val="18"/>
          <w:szCs w:val="18"/>
          <w:i w:val="1"/>
          <w:iCs w:val="1"/>
          <w:color w:val="auto"/>
        </w:rPr>
        <w:t xml:space="preserve"> </w:t>
      </w:r>
      <w:r>
        <w:rPr>
          <w:rFonts w:ascii="Arial" w:cs="Arial" w:eastAsia="Arial" w:hAnsi="Arial"/>
          <w:sz w:val="18"/>
          <w:szCs w:val="18"/>
          <w:color w:val="auto"/>
        </w:rPr>
        <w:t>tested to optimize both the mRNA and protein format.</w:t>
      </w:r>
    </w:p>
    <w:p>
      <w:pPr>
        <w:spacing w:after="0" w:line="62" w:lineRule="exact"/>
        <w:rPr>
          <w:rFonts w:ascii="Arial" w:cs="Arial" w:eastAsia="Arial" w:hAnsi="Arial"/>
          <w:sz w:val="18"/>
          <w:szCs w:val="18"/>
          <w:color w:val="auto"/>
        </w:rPr>
      </w:pPr>
    </w:p>
    <w:p>
      <w:pPr>
        <w:ind w:left="2260" w:right="699" w:hanging="352"/>
        <w:spacing w:after="0" w:line="308" w:lineRule="auto"/>
        <w:tabs>
          <w:tab w:leader="none" w:pos="2260" w:val="left"/>
        </w:tabs>
        <w:numPr>
          <w:ilvl w:val="0"/>
          <w:numId w:val="88"/>
        </w:numPr>
        <w:rPr>
          <w:rFonts w:ascii="Arial" w:cs="Arial" w:eastAsia="Arial" w:hAnsi="Arial"/>
          <w:sz w:val="17"/>
          <w:szCs w:val="17"/>
          <w:color w:val="auto"/>
        </w:rPr>
      </w:pPr>
      <w:r>
        <w:rPr>
          <w:rFonts w:ascii="Arial" w:cs="Arial" w:eastAsia="Arial" w:hAnsi="Arial"/>
          <w:sz w:val="17"/>
          <w:szCs w:val="17"/>
          <w:i w:val="1"/>
          <w:iCs w:val="1"/>
          <w:color w:val="auto"/>
        </w:rPr>
        <w:t xml:space="preserve">Design versatility: </w:t>
      </w:r>
      <w:r>
        <w:rPr>
          <w:rFonts w:ascii="Arial" w:cs="Arial" w:eastAsia="Arial" w:hAnsi="Arial"/>
          <w:sz w:val="17"/>
          <w:szCs w:val="17"/>
          <w:color w:val="auto"/>
        </w:rPr>
        <w:t>Therapeutic protein expressed from mRNA</w:t>
      </w:r>
      <w:r>
        <w:rPr>
          <w:rFonts w:ascii="Arial" w:cs="Arial" w:eastAsia="Arial" w:hAnsi="Arial"/>
          <w:sz w:val="17"/>
          <w:szCs w:val="17"/>
          <w:i w:val="1"/>
          <w:iCs w:val="1"/>
          <w:color w:val="auto"/>
        </w:rPr>
        <w:t xml:space="preserve"> in situ </w:t>
      </w:r>
      <w:r>
        <w:rPr>
          <w:rFonts w:ascii="Arial" w:cs="Arial" w:eastAsia="Arial" w:hAnsi="Arial"/>
          <w:sz w:val="17"/>
          <w:szCs w:val="17"/>
          <w:color w:val="auto"/>
        </w:rPr>
        <w:t>can be designed for</w:t>
      </w:r>
      <w:r>
        <w:rPr>
          <w:rFonts w:ascii="Arial" w:cs="Arial" w:eastAsia="Arial" w:hAnsi="Arial"/>
          <w:sz w:val="17"/>
          <w:szCs w:val="17"/>
          <w:i w:val="1"/>
          <w:iCs w:val="1"/>
          <w:color w:val="auto"/>
        </w:rPr>
        <w:t xml:space="preserve"> </w:t>
      </w:r>
      <w:r>
        <w:rPr>
          <w:rFonts w:ascii="Arial" w:cs="Arial" w:eastAsia="Arial" w:hAnsi="Arial"/>
          <w:sz w:val="17"/>
          <w:szCs w:val="17"/>
          <w:color w:val="auto"/>
        </w:rPr>
        <w:t>efficacy without being limited by the constraints which recombinant proteins are subject to.</w:t>
      </w:r>
    </w:p>
    <w:p>
      <w:pPr>
        <w:spacing w:after="0" w:line="38" w:lineRule="exact"/>
        <w:rPr>
          <w:rFonts w:ascii="Arial" w:cs="Arial" w:eastAsia="Arial" w:hAnsi="Arial"/>
          <w:sz w:val="17"/>
          <w:szCs w:val="17"/>
          <w:color w:val="auto"/>
        </w:rPr>
      </w:pPr>
    </w:p>
    <w:p>
      <w:pPr>
        <w:jc w:val="both"/>
        <w:ind w:left="2260" w:right="679" w:hanging="352"/>
        <w:spacing w:after="0" w:line="308" w:lineRule="auto"/>
        <w:tabs>
          <w:tab w:leader="none" w:pos="2260" w:val="left"/>
        </w:tabs>
        <w:numPr>
          <w:ilvl w:val="0"/>
          <w:numId w:val="88"/>
        </w:numPr>
        <w:rPr>
          <w:rFonts w:ascii="Arial" w:cs="Arial" w:eastAsia="Arial" w:hAnsi="Arial"/>
          <w:sz w:val="17"/>
          <w:szCs w:val="17"/>
          <w:color w:val="auto"/>
        </w:rPr>
      </w:pPr>
      <w:r>
        <w:rPr>
          <w:rFonts w:ascii="Arial" w:cs="Arial" w:eastAsia="Arial" w:hAnsi="Arial"/>
          <w:sz w:val="17"/>
          <w:szCs w:val="17"/>
          <w:i w:val="1"/>
          <w:iCs w:val="1"/>
          <w:color w:val="auto"/>
        </w:rPr>
        <w:t xml:space="preserve">Specificity: </w:t>
      </w:r>
      <w:r>
        <w:rPr>
          <w:rFonts w:ascii="Arial" w:cs="Arial" w:eastAsia="Arial" w:hAnsi="Arial"/>
          <w:sz w:val="17"/>
          <w:szCs w:val="17"/>
          <w:color w:val="auto"/>
        </w:rPr>
        <w:t>mRNA-based medicines encode proteins which offer much higher specificity of</w:t>
      </w:r>
      <w:r>
        <w:rPr>
          <w:rFonts w:ascii="Arial" w:cs="Arial" w:eastAsia="Arial" w:hAnsi="Arial"/>
          <w:sz w:val="17"/>
          <w:szCs w:val="17"/>
          <w:i w:val="1"/>
          <w:iCs w:val="1"/>
          <w:color w:val="auto"/>
        </w:rPr>
        <w:t xml:space="preserve"> </w:t>
      </w:r>
      <w:r>
        <w:rPr>
          <w:rFonts w:ascii="Arial" w:cs="Arial" w:eastAsia="Arial" w:hAnsi="Arial"/>
          <w:sz w:val="17"/>
          <w:szCs w:val="17"/>
          <w:color w:val="auto"/>
        </w:rPr>
        <w:t>interactions compared to small molecule drugs, which limits any potential off-target effects.</w:t>
      </w:r>
    </w:p>
    <w:p>
      <w:pPr>
        <w:spacing w:after="0" w:line="38" w:lineRule="exact"/>
        <w:rPr>
          <w:rFonts w:ascii="Arial" w:cs="Arial" w:eastAsia="Arial" w:hAnsi="Arial"/>
          <w:sz w:val="17"/>
          <w:szCs w:val="17"/>
          <w:color w:val="auto"/>
        </w:rPr>
      </w:pPr>
    </w:p>
    <w:p>
      <w:pPr>
        <w:ind w:left="2260" w:right="1539" w:hanging="352"/>
        <w:spacing w:after="0" w:line="277" w:lineRule="auto"/>
        <w:tabs>
          <w:tab w:leader="none" w:pos="226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 xml:space="preserve">Repeat dosing: </w:t>
      </w:r>
      <w:r>
        <w:rPr>
          <w:rFonts w:ascii="Arial" w:cs="Arial" w:eastAsia="Arial" w:hAnsi="Arial"/>
          <w:sz w:val="18"/>
          <w:szCs w:val="18"/>
          <w:color w:val="auto"/>
        </w:rPr>
        <w:t>mRNA-based medicines can be dosed repeatedly given their low</w:t>
      </w:r>
      <w:r>
        <w:rPr>
          <w:rFonts w:ascii="Arial" w:cs="Arial" w:eastAsia="Arial" w:hAnsi="Arial"/>
          <w:sz w:val="18"/>
          <w:szCs w:val="18"/>
          <w:i w:val="1"/>
          <w:iCs w:val="1"/>
          <w:color w:val="auto"/>
        </w:rPr>
        <w:t xml:space="preserve"> </w:t>
      </w:r>
      <w:r>
        <w:rPr>
          <w:rFonts w:ascii="Arial" w:cs="Arial" w:eastAsia="Arial" w:hAnsi="Arial"/>
          <w:sz w:val="18"/>
          <w:szCs w:val="18"/>
          <w:color w:val="auto"/>
        </w:rPr>
        <w:t>immunogenicity.</w:t>
      </w:r>
    </w:p>
    <w:p>
      <w:pPr>
        <w:spacing w:after="0" w:line="75" w:lineRule="exact"/>
        <w:rPr>
          <w:rFonts w:ascii="Arial" w:cs="Arial" w:eastAsia="Arial" w:hAnsi="Arial"/>
          <w:sz w:val="18"/>
          <w:szCs w:val="18"/>
          <w:color w:val="auto"/>
        </w:rPr>
      </w:pPr>
    </w:p>
    <w:p>
      <w:pPr>
        <w:ind w:left="2260" w:right="559" w:hanging="352"/>
        <w:spacing w:after="0" w:line="263" w:lineRule="auto"/>
        <w:tabs>
          <w:tab w:leader="none" w:pos="226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 xml:space="preserve">Transient expression: </w:t>
      </w:r>
      <w:r>
        <w:rPr>
          <w:rFonts w:ascii="Arial" w:cs="Arial" w:eastAsia="Arial" w:hAnsi="Arial"/>
          <w:sz w:val="18"/>
          <w:szCs w:val="18"/>
          <w:color w:val="auto"/>
        </w:rPr>
        <w:t>Short-lived expression of mRNA limits the risk of unforeseen adverse</w:t>
      </w:r>
      <w:r>
        <w:rPr>
          <w:rFonts w:ascii="Arial" w:cs="Arial" w:eastAsia="Arial" w:hAnsi="Arial"/>
          <w:sz w:val="18"/>
          <w:szCs w:val="18"/>
          <w:i w:val="1"/>
          <w:iCs w:val="1"/>
          <w:color w:val="auto"/>
        </w:rPr>
        <w:t xml:space="preserve"> </w:t>
      </w:r>
      <w:r>
        <w:rPr>
          <w:rFonts w:ascii="Arial" w:cs="Arial" w:eastAsia="Arial" w:hAnsi="Arial"/>
          <w:sz w:val="18"/>
          <w:szCs w:val="18"/>
          <w:color w:val="auto"/>
        </w:rPr>
        <w:t>effects of lasting protein expression (as seen in gene therapy and gene editing) and allows for modified dosing schedules adjusted based on patient’s needs.</w:t>
      </w:r>
    </w:p>
    <w:p>
      <w:pPr>
        <w:spacing w:after="0" w:line="75" w:lineRule="exact"/>
        <w:rPr>
          <w:rFonts w:ascii="Arial" w:cs="Arial" w:eastAsia="Arial" w:hAnsi="Arial"/>
          <w:sz w:val="18"/>
          <w:szCs w:val="18"/>
          <w:color w:val="auto"/>
        </w:rPr>
      </w:pPr>
    </w:p>
    <w:p>
      <w:pPr>
        <w:ind w:left="2260" w:right="419" w:hanging="352"/>
        <w:spacing w:after="0" w:line="263" w:lineRule="auto"/>
        <w:tabs>
          <w:tab w:leader="none" w:pos="226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 xml:space="preserve">Manufacturing: </w:t>
      </w:r>
      <w:r>
        <w:rPr>
          <w:rFonts w:ascii="Arial" w:cs="Arial" w:eastAsia="Arial" w:hAnsi="Arial"/>
          <w:sz w:val="18"/>
          <w:szCs w:val="18"/>
          <w:color w:val="auto"/>
        </w:rPr>
        <w:t>mRNA production process is independent of the encoded protein as changes to</w:t>
      </w:r>
      <w:r>
        <w:rPr>
          <w:rFonts w:ascii="Arial" w:cs="Arial" w:eastAsia="Arial" w:hAnsi="Arial"/>
          <w:sz w:val="18"/>
          <w:szCs w:val="18"/>
          <w:i w:val="1"/>
          <w:iCs w:val="1"/>
          <w:color w:val="auto"/>
        </w:rPr>
        <w:t xml:space="preserve"> </w:t>
      </w:r>
      <w:r>
        <w:rPr>
          <w:rFonts w:ascii="Arial" w:cs="Arial" w:eastAsia="Arial" w:hAnsi="Arial"/>
          <w:sz w:val="18"/>
          <w:szCs w:val="18"/>
          <w:color w:val="auto"/>
        </w:rPr>
        <w:t>the mRNA sequence do not affect its chemical and physical properties, allowing for higher efficiency, greater speed and lower cost of production.</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Historical Challenges with Developing mRNA Treatments</w:t>
      </w:r>
    </w:p>
    <w:p>
      <w:pPr>
        <w:spacing w:after="0" w:line="144" w:lineRule="exact"/>
        <w:rPr>
          <w:sz w:val="20"/>
          <w:szCs w:val="20"/>
          <w:color w:val="auto"/>
        </w:rPr>
      </w:pPr>
    </w:p>
    <w:p>
      <w:pPr>
        <w:jc w:val="both"/>
        <w:ind w:left="1260" w:right="679" w:firstLine="648"/>
        <w:spacing w:after="0" w:line="263" w:lineRule="auto"/>
        <w:rPr>
          <w:sz w:val="20"/>
          <w:szCs w:val="20"/>
          <w:color w:val="auto"/>
        </w:rPr>
      </w:pPr>
      <w:r>
        <w:rPr>
          <w:rFonts w:ascii="Arial" w:cs="Arial" w:eastAsia="Arial" w:hAnsi="Arial"/>
          <w:sz w:val="18"/>
          <w:szCs w:val="18"/>
          <w:color w:val="auto"/>
        </w:rPr>
        <w:t>Using mRNA as a treatment has long been of interest given its potential to address limitations of existing treatment modalities. However, mRNA has historically been limited by the following theoretical and practical hurdles:</w:t>
      </w:r>
    </w:p>
    <w:p>
      <w:pPr>
        <w:spacing w:after="0" w:line="76" w:lineRule="exact"/>
        <w:rPr>
          <w:sz w:val="20"/>
          <w:szCs w:val="20"/>
          <w:color w:val="auto"/>
        </w:rPr>
      </w:pPr>
    </w:p>
    <w:p>
      <w:pPr>
        <w:ind w:left="2260" w:right="639" w:hanging="352"/>
        <w:spacing w:after="0" w:line="263" w:lineRule="auto"/>
        <w:tabs>
          <w:tab w:leader="none" w:pos="226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Stability: </w:t>
      </w:r>
      <w:r>
        <w:rPr>
          <w:rFonts w:ascii="Arial" w:cs="Arial" w:eastAsia="Arial" w:hAnsi="Arial"/>
          <w:sz w:val="18"/>
          <w:szCs w:val="18"/>
          <w:color w:val="auto"/>
        </w:rPr>
        <w:t>Naked mRNA is rapidly degraded by RNase enzymes present throughout the body</w:t>
      </w:r>
      <w:r>
        <w:rPr>
          <w:rFonts w:ascii="Arial" w:cs="Arial" w:eastAsia="Arial" w:hAnsi="Arial"/>
          <w:sz w:val="18"/>
          <w:szCs w:val="18"/>
          <w:i w:val="1"/>
          <w:iCs w:val="1"/>
          <w:color w:val="auto"/>
        </w:rPr>
        <w:t xml:space="preserve"> </w:t>
      </w:r>
      <w:r>
        <w:rPr>
          <w:rFonts w:ascii="Arial" w:cs="Arial" w:eastAsia="Arial" w:hAnsi="Arial"/>
          <w:sz w:val="18"/>
          <w:szCs w:val="18"/>
          <w:color w:val="auto"/>
        </w:rPr>
        <w:t>which limits the duration of its therapeutic effect. An effective mRNA would need to be masked from these enzymes.</w:t>
      </w:r>
    </w:p>
    <w:p>
      <w:pPr>
        <w:sectPr>
          <w:pgSz w:w="11900" w:h="16838" w:orient="portrait"/>
          <w:cols w:equalWidth="0" w:num="1">
            <w:col w:w="9879"/>
          </w:cols>
          <w:pgMar w:left="580" w:top="131" w:right="1440" w:bottom="1440" w:gutter="0" w:footer="0" w:header="0"/>
        </w:sectPr>
      </w:pPr>
    </w:p>
    <w:p>
      <w:pPr>
        <w:spacing w:after="0" w:line="37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8" w:name="page139"/>
    <w:bookmarkEnd w:id="1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60" w:right="639" w:hanging="352"/>
        <w:spacing w:after="0" w:line="263" w:lineRule="auto"/>
        <w:tabs>
          <w:tab w:leader="none" w:pos="226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Uptake by cells: </w:t>
      </w:r>
      <w:r>
        <w:rPr>
          <w:rFonts w:ascii="Arial" w:cs="Arial" w:eastAsia="Arial" w:hAnsi="Arial"/>
          <w:sz w:val="18"/>
          <w:szCs w:val="18"/>
          <w:color w:val="auto"/>
        </w:rPr>
        <w:t>Uptake of naked mRNA into cells is relatively inefficient. A more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mRNA-based medicine would need a delivery system that delivers mRNA efficiently into cells.</w:t>
      </w:r>
    </w:p>
    <w:p>
      <w:pPr>
        <w:spacing w:after="0" w:line="102" w:lineRule="exact"/>
        <w:rPr>
          <w:rFonts w:ascii="Arial" w:cs="Arial" w:eastAsia="Arial" w:hAnsi="Arial"/>
          <w:sz w:val="18"/>
          <w:szCs w:val="18"/>
          <w:color w:val="auto"/>
        </w:rPr>
      </w:pPr>
    </w:p>
    <w:p>
      <w:pPr>
        <w:jc w:val="both"/>
        <w:ind w:left="2260" w:right="1119" w:hanging="352"/>
        <w:spacing w:after="0" w:line="263" w:lineRule="auto"/>
        <w:tabs>
          <w:tab w:leader="none" w:pos="226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Expression level: </w:t>
      </w:r>
      <w:r>
        <w:rPr>
          <w:rFonts w:ascii="Arial" w:cs="Arial" w:eastAsia="Arial" w:hAnsi="Arial"/>
          <w:sz w:val="18"/>
          <w:szCs w:val="18"/>
          <w:color w:val="auto"/>
        </w:rPr>
        <w:t>Protein expression levels from synthetic mRNA obtained by</w:t>
      </w:r>
      <w:r>
        <w:rPr>
          <w:rFonts w:ascii="Arial" w:cs="Arial" w:eastAsia="Arial" w:hAnsi="Arial"/>
          <w:sz w:val="18"/>
          <w:szCs w:val="18"/>
          <w:i w:val="1"/>
          <w:iCs w:val="1"/>
          <w:color w:val="auto"/>
        </w:rPr>
        <w:t xml:space="preserve"> in vitro </w:t>
      </w:r>
      <w:r>
        <w:rPr>
          <w:rFonts w:ascii="Arial" w:cs="Arial" w:eastAsia="Arial" w:hAnsi="Arial"/>
          <w:sz w:val="18"/>
          <w:szCs w:val="18"/>
          <w:color w:val="auto"/>
        </w:rPr>
        <w:t>production have been considered too low historically for therapeutic purposes, which underlines the need for an optimized mRNA construct.</w:t>
      </w:r>
    </w:p>
    <w:p>
      <w:pPr>
        <w:spacing w:after="0" w:line="102" w:lineRule="exact"/>
        <w:rPr>
          <w:rFonts w:ascii="Arial" w:cs="Arial" w:eastAsia="Arial" w:hAnsi="Arial"/>
          <w:sz w:val="18"/>
          <w:szCs w:val="18"/>
          <w:color w:val="auto"/>
        </w:rPr>
      </w:pPr>
    </w:p>
    <w:p>
      <w:pPr>
        <w:ind w:left="2260" w:right="459" w:hanging="352"/>
        <w:spacing w:after="0" w:line="259" w:lineRule="auto"/>
        <w:tabs>
          <w:tab w:leader="none" w:pos="226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Immunogenicity: </w:t>
      </w:r>
      <w:r>
        <w:rPr>
          <w:rFonts w:ascii="Arial" w:cs="Arial" w:eastAsia="Arial" w:hAnsi="Arial"/>
          <w:sz w:val="18"/>
          <w:szCs w:val="18"/>
          <w:color w:val="auto"/>
        </w:rPr>
        <w:t>Non-optimized mRNA in the body rapidly activates receptors on immune</w:t>
      </w:r>
      <w:r>
        <w:rPr>
          <w:rFonts w:ascii="Arial" w:cs="Arial" w:eastAsia="Arial" w:hAnsi="Arial"/>
          <w:sz w:val="18"/>
          <w:szCs w:val="18"/>
          <w:i w:val="1"/>
          <w:iCs w:val="1"/>
          <w:color w:val="auto"/>
        </w:rPr>
        <w:t xml:space="preserve"> </w:t>
      </w:r>
      <w:r>
        <w:rPr>
          <w:rFonts w:ascii="Arial" w:cs="Arial" w:eastAsia="Arial" w:hAnsi="Arial"/>
          <w:sz w:val="18"/>
          <w:szCs w:val="18"/>
          <w:color w:val="auto"/>
        </w:rPr>
        <w:t>cells which triggers the innate immune response and can lead to shut down of protein translation in cells. An effective mRNA-based medicine needs to modulate the immune system according to the disease indication being targeted.</w:t>
      </w:r>
    </w:p>
    <w:p>
      <w:pPr>
        <w:spacing w:after="0" w:line="92" w:lineRule="exact"/>
        <w:rPr>
          <w:rFonts w:ascii="Arial" w:cs="Arial" w:eastAsia="Arial" w:hAnsi="Arial"/>
          <w:sz w:val="18"/>
          <w:szCs w:val="18"/>
          <w:color w:val="auto"/>
        </w:rPr>
      </w:pPr>
    </w:p>
    <w:p>
      <w:pPr>
        <w:ind w:left="2260" w:right="679" w:hanging="352"/>
        <w:spacing w:after="0" w:line="263" w:lineRule="auto"/>
        <w:tabs>
          <w:tab w:leader="none" w:pos="226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Tissue targeting: </w:t>
      </w:r>
      <w:r>
        <w:rPr>
          <w:rFonts w:ascii="Arial" w:cs="Arial" w:eastAsia="Arial" w:hAnsi="Arial"/>
          <w:sz w:val="18"/>
          <w:szCs w:val="18"/>
          <w:color w:val="auto"/>
        </w:rPr>
        <w:t>Each indication requires delivery to a specific tissue. An effective mRNA-based medicine would need a delivery system that efficiently delivers mRNA to a specific target tissue with low off-target delivery and toxicity.</w:t>
      </w:r>
    </w:p>
    <w:p>
      <w:pPr>
        <w:spacing w:after="0" w:line="102" w:lineRule="exact"/>
        <w:rPr>
          <w:rFonts w:ascii="Arial" w:cs="Arial" w:eastAsia="Arial" w:hAnsi="Arial"/>
          <w:sz w:val="18"/>
          <w:szCs w:val="18"/>
          <w:color w:val="auto"/>
        </w:rPr>
      </w:pPr>
    </w:p>
    <w:p>
      <w:pPr>
        <w:ind w:left="2260" w:right="919" w:hanging="352"/>
        <w:spacing w:after="0" w:line="277" w:lineRule="auto"/>
        <w:tabs>
          <w:tab w:leader="none" w:pos="226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Manufacturing: </w:t>
      </w:r>
      <w:r>
        <w:rPr>
          <w:rFonts w:ascii="Arial" w:cs="Arial" w:eastAsia="Arial" w:hAnsi="Arial"/>
          <w:sz w:val="18"/>
          <w:szCs w:val="18"/>
          <w:color w:val="auto"/>
        </w:rPr>
        <w:t>mRNA manufacturing technology must be scalable and cost-effective to</w:t>
      </w:r>
      <w:r>
        <w:rPr>
          <w:rFonts w:ascii="Arial" w:cs="Arial" w:eastAsia="Arial" w:hAnsi="Arial"/>
          <w:sz w:val="18"/>
          <w:szCs w:val="18"/>
          <w:i w:val="1"/>
          <w:iCs w:val="1"/>
          <w:color w:val="auto"/>
        </w:rPr>
        <w:t xml:space="preserve"> </w:t>
      </w:r>
      <w:r>
        <w:rPr>
          <w:rFonts w:ascii="Arial" w:cs="Arial" w:eastAsia="Arial" w:hAnsi="Arial"/>
          <w:sz w:val="18"/>
          <w:szCs w:val="18"/>
          <w:color w:val="auto"/>
        </w:rPr>
        <w:t>enable large production for multiple clinical trials and commercialization.</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Proprietary Technology Platform</w:t>
      </w:r>
    </w:p>
    <w:p>
      <w:pPr>
        <w:spacing w:after="0" w:line="148" w:lineRule="exact"/>
        <w:rPr>
          <w:sz w:val="20"/>
          <w:szCs w:val="20"/>
          <w:color w:val="auto"/>
        </w:rPr>
      </w:pPr>
    </w:p>
    <w:p>
      <w:pPr>
        <w:ind w:left="1260" w:right="459" w:firstLine="648"/>
        <w:spacing w:after="0" w:line="255" w:lineRule="auto"/>
        <w:rPr>
          <w:sz w:val="20"/>
          <w:szCs w:val="20"/>
          <w:color w:val="auto"/>
        </w:rPr>
      </w:pPr>
      <w:r>
        <w:rPr>
          <w:rFonts w:ascii="Arial" w:cs="Arial" w:eastAsia="Arial" w:hAnsi="Arial"/>
          <w:sz w:val="18"/>
          <w:szCs w:val="18"/>
          <w:color w:val="auto"/>
        </w:rPr>
        <w:t>The therapeutic potential of mRNAs was discovered by our co-founders in 2000. As the pioneers in the field of mRNA, we have built extensive expertise in mRNA biology, optimization and production. We have developed our proprietary technology platform, called RNAoptimizer, through continued investments over the past 20 years. We believe that we have created the broadest and most versatile platform to develop optimized mRNA-based medicines that has potential to offer differentiated profile in terms of safety, stability and expression.</w:t>
      </w:r>
    </w:p>
    <w:p>
      <w:pPr>
        <w:spacing w:after="0" w:line="125" w:lineRule="exact"/>
        <w:rPr>
          <w:sz w:val="20"/>
          <w:szCs w:val="20"/>
          <w:color w:val="auto"/>
        </w:rPr>
      </w:pPr>
    </w:p>
    <w:p>
      <w:pPr>
        <w:ind w:left="1260" w:right="459" w:firstLine="648"/>
        <w:spacing w:after="0" w:line="273" w:lineRule="auto"/>
        <w:rPr>
          <w:sz w:val="20"/>
          <w:szCs w:val="20"/>
          <w:color w:val="auto"/>
        </w:rPr>
      </w:pPr>
      <w:r>
        <w:rPr>
          <w:rFonts w:ascii="Arial" w:cs="Arial" w:eastAsia="Arial" w:hAnsi="Arial"/>
          <w:sz w:val="17"/>
          <w:szCs w:val="17"/>
          <w:color w:val="auto"/>
        </w:rPr>
        <w:t xml:space="preserve">Our optimization approach covers three pillars: protein design, mRNA optimization and mRNA delivery. Our approach is based on the extensive data libraries we have generated to date. To improve protein expression from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produced mRNA, we isolated high numbers of human natural mRNAs from different cells and identified elements which stabilize mRNA in a natural way and improve their interaction with the cellular translation machinery. We continue to invest in all levels of optimization to improve the methods we currently employ and continue advancing mRNA-based medicines.</w:t>
      </w:r>
    </w:p>
    <w:p>
      <w:pPr>
        <w:spacing w:after="0" w:line="110" w:lineRule="exact"/>
        <w:rPr>
          <w:sz w:val="20"/>
          <w:szCs w:val="20"/>
          <w:color w:val="auto"/>
        </w:rPr>
      </w:pPr>
    </w:p>
    <w:p>
      <w:pPr>
        <w:ind w:left="1260" w:right="559" w:firstLine="648"/>
        <w:spacing w:after="0" w:line="257" w:lineRule="auto"/>
        <w:rPr>
          <w:sz w:val="20"/>
          <w:szCs w:val="20"/>
          <w:color w:val="auto"/>
        </w:rPr>
      </w:pPr>
      <w:r>
        <w:rPr>
          <w:rFonts w:ascii="Arial" w:cs="Arial" w:eastAsia="Arial" w:hAnsi="Arial"/>
          <w:sz w:val="18"/>
          <w:szCs w:val="18"/>
          <w:color w:val="auto"/>
        </w:rPr>
        <w:t>We have a long track record of performing clinical trials with multiple product candidates since 2008. The data generated in these clinical trials has allowed us to better understand the biology of mRNA and to further accelerate development in new therapeutic areas and approaches. We were the first company to demonstrate that mRNA vaccines can induce protective antibody titers in a naïve human subjects with a previous version of our current rabies vaccine product candidate.</w:t>
      </w:r>
    </w:p>
    <w:p>
      <w:pPr>
        <w:spacing w:after="0" w:line="107" w:lineRule="exact"/>
        <w:rPr>
          <w:sz w:val="20"/>
          <w:szCs w:val="20"/>
          <w:color w:val="auto"/>
        </w:rPr>
      </w:pPr>
    </w:p>
    <w:p>
      <w:pPr>
        <w:ind w:left="1260" w:right="479" w:firstLine="648"/>
        <w:spacing w:after="0" w:line="257" w:lineRule="auto"/>
        <w:rPr>
          <w:sz w:val="20"/>
          <w:szCs w:val="20"/>
          <w:color w:val="auto"/>
        </w:rPr>
      </w:pPr>
      <w:r>
        <w:rPr>
          <w:rFonts w:ascii="Arial" w:cs="Arial" w:eastAsia="Arial" w:hAnsi="Arial"/>
          <w:sz w:val="18"/>
          <w:szCs w:val="18"/>
          <w:color w:val="auto"/>
        </w:rPr>
        <w:t>Our product candidates consist of two major components: the protein-coding mRNA and a delivery vehicle. Once we have established delivery capability to a target tissue, we can design new product candidates that vary only in the mRNA component, which we expect will allow for rapid target and development candidate identification. We believe that this will enable our platform to be flexible and scalable as we develop additional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271780</wp:posOffset>
            </wp:positionV>
            <wp:extent cx="680656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9" w:name="page140"/>
    <w:bookmarkEnd w:id="1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945515</wp:posOffset>
            </wp:positionH>
            <wp:positionV relativeFrom="paragraph">
              <wp:posOffset>537210</wp:posOffset>
            </wp:positionV>
            <wp:extent cx="4928870" cy="23571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928870"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Our process for creating novel mRNA therapies comprises the following three pillars:</w:t>
      </w:r>
    </w:p>
    <w:p>
      <w:pPr>
        <w:spacing w:after="0" w:line="117" w:lineRule="exact"/>
        <w:rPr>
          <w:sz w:val="20"/>
          <w:szCs w:val="20"/>
          <w:color w:val="auto"/>
        </w:rPr>
      </w:pPr>
    </w:p>
    <w:p>
      <w:pPr>
        <w:ind w:left="2260" w:right="439" w:hanging="352"/>
        <w:spacing w:after="0" w:line="277" w:lineRule="auto"/>
        <w:tabs>
          <w:tab w:leader="none" w:pos="2260"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Protein Design: </w:t>
      </w:r>
      <w:r>
        <w:rPr>
          <w:rFonts w:ascii="Arial" w:cs="Arial" w:eastAsia="Arial" w:hAnsi="Arial"/>
          <w:sz w:val="18"/>
          <w:szCs w:val="18"/>
          <w:color w:val="auto"/>
        </w:rPr>
        <w:t>Our goal is to define the amino acid sequence to optimize specific properties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encoded protein.</w:t>
      </w:r>
    </w:p>
    <w:p>
      <w:pPr>
        <w:spacing w:after="0" w:line="89" w:lineRule="exact"/>
        <w:rPr>
          <w:rFonts w:ascii="Arial" w:cs="Arial" w:eastAsia="Arial" w:hAnsi="Arial"/>
          <w:sz w:val="18"/>
          <w:szCs w:val="18"/>
          <w:color w:val="auto"/>
        </w:rPr>
      </w:pPr>
    </w:p>
    <w:p>
      <w:pPr>
        <w:ind w:left="2260" w:right="559" w:hanging="352"/>
        <w:spacing w:after="0" w:line="277" w:lineRule="auto"/>
        <w:tabs>
          <w:tab w:leader="none" w:pos="2260"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mRNA Optimization: </w:t>
      </w:r>
      <w:r>
        <w:rPr>
          <w:rFonts w:ascii="Arial" w:cs="Arial" w:eastAsia="Arial" w:hAnsi="Arial"/>
          <w:sz w:val="18"/>
          <w:szCs w:val="18"/>
          <w:color w:val="auto"/>
        </w:rPr>
        <w:t>Our goal is to define the nucleotide sequence of the mRNA encoding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optimized protein to improve the properties of the mRNA molecule.</w:t>
      </w:r>
    </w:p>
    <w:p>
      <w:pPr>
        <w:spacing w:after="0" w:line="75" w:lineRule="exact"/>
        <w:rPr>
          <w:rFonts w:ascii="Arial" w:cs="Arial" w:eastAsia="Arial" w:hAnsi="Arial"/>
          <w:sz w:val="18"/>
          <w:szCs w:val="18"/>
          <w:color w:val="auto"/>
        </w:rPr>
      </w:pPr>
    </w:p>
    <w:p>
      <w:pPr>
        <w:ind w:left="2260" w:right="599" w:hanging="352"/>
        <w:spacing w:after="0" w:line="277" w:lineRule="auto"/>
        <w:tabs>
          <w:tab w:leader="none" w:pos="2260"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mRNA Delivery: </w:t>
      </w:r>
      <w:r>
        <w:rPr>
          <w:rFonts w:ascii="Arial" w:cs="Arial" w:eastAsia="Arial" w:hAnsi="Arial"/>
          <w:sz w:val="18"/>
          <w:szCs w:val="18"/>
          <w:color w:val="auto"/>
        </w:rPr>
        <w:t>Our goal is to define mRNA encapsulation and delivery to select the optimal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formulation for each specific indication and tissue.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108585</wp:posOffset>
            </wp:positionV>
            <wp:extent cx="5203190" cy="25114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203190"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First Pillar: Protein Design</w:t>
      </w:r>
    </w:p>
    <w:p>
      <w:pPr>
        <w:spacing w:after="0" w:line="158" w:lineRule="exact"/>
        <w:rPr>
          <w:sz w:val="20"/>
          <w:szCs w:val="20"/>
          <w:color w:val="auto"/>
        </w:rPr>
      </w:pPr>
    </w:p>
    <w:p>
      <w:pPr>
        <w:ind w:left="1260" w:right="419" w:firstLine="648"/>
        <w:spacing w:after="0" w:line="275" w:lineRule="auto"/>
        <w:rPr>
          <w:sz w:val="20"/>
          <w:szCs w:val="20"/>
          <w:color w:val="auto"/>
        </w:rPr>
      </w:pPr>
      <w:r>
        <w:rPr>
          <w:rFonts w:ascii="Arial" w:cs="Arial" w:eastAsia="Arial" w:hAnsi="Arial"/>
          <w:sz w:val="17"/>
          <w:szCs w:val="17"/>
          <w:color w:val="auto"/>
        </w:rPr>
        <w:t>Proteins play a central role in biology, including formation of the structural framework of the body, aiding in intra- and extracellular transport, biological catalysts (such as enzymes), controlling the activity of cells, and enabling signal transduction throughout the body. Accordingly, mutations that alter the function of a protein that plays a critical role inside the body can disrupt normal development and cause disease. Diseases could be caused by low expression, over expression, or abnormal structures for specific proteins.</w:t>
      </w:r>
    </w:p>
    <w:p>
      <w:pPr>
        <w:spacing w:after="0" w:line="35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0" w:name="page141"/>
    <w:bookmarkEnd w:id="1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539" w:firstLine="648"/>
        <w:spacing w:after="0" w:line="255" w:lineRule="auto"/>
        <w:rPr>
          <w:sz w:val="20"/>
          <w:szCs w:val="20"/>
          <w:color w:val="auto"/>
        </w:rPr>
      </w:pPr>
      <w:r>
        <w:rPr>
          <w:rFonts w:ascii="Arial" w:cs="Arial" w:eastAsia="Arial" w:hAnsi="Arial"/>
          <w:sz w:val="18"/>
          <w:szCs w:val="18"/>
          <w:color w:val="auto"/>
        </w:rPr>
        <w:t>We target diseases that are caused by these abnormal or missing proteins. Once our team identifies the protein of interest for a specific vaccine or therapeutic target with a defined target product profile, protein design further improves the potential efficacy by adaptation of the amino acid sequence. Protein design is based on modulation of beneficial protein characteristics that are not present in the naturally occurring protein. We have a library of validated protein domains that can be leveraged using a combinatorial approach to optimize the properties of the target protein.</w:t>
      </w:r>
    </w:p>
    <w:p>
      <w:pPr>
        <w:spacing w:after="0" w:line="125" w:lineRule="exact"/>
        <w:rPr>
          <w:sz w:val="20"/>
          <w:szCs w:val="20"/>
          <w:color w:val="auto"/>
        </w:rPr>
      </w:pPr>
    </w:p>
    <w:p>
      <w:pPr>
        <w:ind w:left="1260" w:right="599" w:firstLine="648"/>
        <w:spacing w:after="0" w:line="259" w:lineRule="auto"/>
        <w:rPr>
          <w:sz w:val="20"/>
          <w:szCs w:val="20"/>
          <w:color w:val="auto"/>
        </w:rPr>
      </w:pPr>
      <w:r>
        <w:rPr>
          <w:rFonts w:ascii="Arial" w:cs="Arial" w:eastAsia="Arial" w:hAnsi="Arial"/>
          <w:sz w:val="18"/>
          <w:szCs w:val="18"/>
          <w:color w:val="auto"/>
        </w:rPr>
        <w:t>Our protein design process considers multiple factors before the protein is encoded in the mRNA, including half-life, stabilization of tertiary structure, oligomerization, secretion, and immunogenicity. We have the ability to modify each of these parameters while ensuring that these modifications work in harmony with the required function of the target protein.</w:t>
      </w:r>
    </w:p>
    <w:p>
      <w:pPr>
        <w:spacing w:after="0" w:line="119" w:lineRule="exact"/>
        <w:rPr>
          <w:sz w:val="20"/>
          <w:szCs w:val="20"/>
          <w:color w:val="auto"/>
        </w:rPr>
      </w:pPr>
    </w:p>
    <w:p>
      <w:pPr>
        <w:ind w:left="1260" w:right="479" w:firstLine="648"/>
        <w:spacing w:after="0" w:line="253" w:lineRule="auto"/>
        <w:rPr>
          <w:sz w:val="20"/>
          <w:szCs w:val="20"/>
          <w:color w:val="auto"/>
        </w:rPr>
      </w:pPr>
      <w:r>
        <w:rPr>
          <w:rFonts w:ascii="Arial" w:cs="Arial" w:eastAsia="Arial" w:hAnsi="Arial"/>
          <w:sz w:val="18"/>
          <w:szCs w:val="18"/>
          <w:color w:val="auto"/>
        </w:rPr>
        <w:t>Protein design always depends on the function of the individual protein of interest. The protein can serve as a therapeutic protein without any activation of the immune system or the protein can serve as an antigen with the goal of inducing strong immune responses against it. We employ different optimization strategies to support these distinct functions and requirements. For example, we can enhance certain parameters to extend the half-life or localization of a protein in the case of therapeutic proteins while making sure that RNA sensors remain muted to avoid activation of the immune system. For vaccines, our goal is to induce an optimal immune response mimicking response induced by bacterial or viral infections. Therefore, protein design is always bespoke and multi-factorial to support distinct functions and requirements of the specific target protein.</w:t>
      </w:r>
    </w:p>
    <w:p>
      <w:pPr>
        <w:spacing w:after="0" w:line="115" w:lineRule="exact"/>
        <w:rPr>
          <w:sz w:val="20"/>
          <w:szCs w:val="20"/>
          <w:color w:val="auto"/>
        </w:rPr>
      </w:pPr>
    </w:p>
    <w:p>
      <w:pPr>
        <w:ind w:left="1260" w:right="799" w:firstLine="648"/>
        <w:spacing w:after="0" w:line="277" w:lineRule="auto"/>
        <w:rPr>
          <w:sz w:val="20"/>
          <w:szCs w:val="20"/>
          <w:color w:val="auto"/>
        </w:rPr>
      </w:pPr>
      <w:r>
        <w:rPr>
          <w:rFonts w:ascii="Arial" w:cs="Arial" w:eastAsia="Arial" w:hAnsi="Arial"/>
          <w:sz w:val="18"/>
          <w:szCs w:val="18"/>
          <w:color w:val="auto"/>
        </w:rPr>
        <w:t>Below are several specific examples of protein modifications by which we designed a protein’s properties relative to the wild type protein:</w:t>
      </w:r>
    </w:p>
    <w:p>
      <w:pPr>
        <w:spacing w:after="0" w:line="170"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Extended Half-Life of Secreted Protein</w:t>
      </w:r>
    </w:p>
    <w:p>
      <w:pPr>
        <w:spacing w:after="0" w:line="158" w:lineRule="exact"/>
        <w:rPr>
          <w:sz w:val="20"/>
          <w:szCs w:val="20"/>
          <w:color w:val="auto"/>
        </w:rPr>
      </w:pPr>
    </w:p>
    <w:p>
      <w:pPr>
        <w:ind w:left="1260" w:right="479" w:firstLine="648"/>
        <w:spacing w:after="0" w:line="254" w:lineRule="auto"/>
        <w:rPr>
          <w:sz w:val="20"/>
          <w:szCs w:val="20"/>
          <w:color w:val="auto"/>
        </w:rPr>
      </w:pPr>
      <w:r>
        <w:rPr>
          <w:rFonts w:ascii="Arial" w:cs="Arial" w:eastAsia="Arial" w:hAnsi="Arial"/>
          <w:sz w:val="18"/>
          <w:szCs w:val="18"/>
          <w:color w:val="auto"/>
        </w:rPr>
        <w:t>This approach relies on the addition of supplementary short domains to the coding sequence of the protein of interest. Although this fusion increases protein size, the additional domains recruit binding proteins already present in blood which promote stabilization of the target protein by preventing proteolytic degradation. To support the efficient persistence of a secreted protein in the bloodstream, we can improve the half-life of this protein by adding specific, endogenous domains. By tailoring the pharmacokinetic profile of secreted proteins, we have the ability to reduce the frequency of dosing, generating a better therapeutic window, and using less material.</w:t>
      </w:r>
    </w:p>
    <w:p>
      <w:pPr>
        <w:spacing w:after="0" w:line="127" w:lineRule="exact"/>
        <w:rPr>
          <w:sz w:val="20"/>
          <w:szCs w:val="20"/>
          <w:color w:val="auto"/>
        </w:rPr>
      </w:pPr>
    </w:p>
    <w:p>
      <w:pPr>
        <w:ind w:left="1260" w:right="419" w:firstLine="648"/>
        <w:spacing w:after="0" w:line="272" w:lineRule="auto"/>
        <w:rPr>
          <w:sz w:val="20"/>
          <w:szCs w:val="20"/>
          <w:color w:val="auto"/>
        </w:rPr>
      </w:pPr>
      <w:r>
        <w:rPr>
          <w:rFonts w:ascii="Arial" w:cs="Arial" w:eastAsia="Arial" w:hAnsi="Arial"/>
          <w:sz w:val="17"/>
          <w:szCs w:val="17"/>
          <w:color w:val="auto"/>
        </w:rPr>
        <w:t>For example, wild type erythropoietin (Epo) is a protein that has a very short half-life of three to four hours in the bloodstream. In a preclinical model, mice were dosed with mouse Epo and protein engineered mouse Epo, both encoded with our optimized mRNA. Dosing with the engineered mouse Epo protein showed an increase in serum titers and pharmacokinetic profile. We were able to increase the half-life and availability of functional Epo in blood from four days to two weeks by fusing endogenous Epo to a selected domain. Notably, both mRNA-encoded Epo proteins showed significantly higher protein expression levels than the injected recombinant Epo, which was cleared from the bloodstream after a single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271780</wp:posOffset>
            </wp:positionV>
            <wp:extent cx="680656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1" w:name="page142"/>
    <w:bookmarkEnd w:id="1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537210</wp:posOffset>
            </wp:positionV>
            <wp:extent cx="4543425" cy="26574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543425"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260" w:right="539"/>
        <w:spacing w:after="0" w:line="279" w:lineRule="auto"/>
        <w:rPr>
          <w:sz w:val="20"/>
          <w:szCs w:val="20"/>
          <w:color w:val="auto"/>
        </w:rPr>
      </w:pPr>
      <w:r>
        <w:rPr>
          <w:rFonts w:ascii="Arial" w:cs="Arial" w:eastAsia="Arial" w:hAnsi="Arial"/>
          <w:sz w:val="17"/>
          <w:szCs w:val="17"/>
          <w:i w:val="1"/>
          <w:iCs w:val="1"/>
          <w:color w:val="auto"/>
        </w:rPr>
        <w:t>Mice received a single injection in the tail vein of recombinant protein (control) or mRNA encoding proteins. Mice received 2.8 μg of recombinant mouse Epo protein. Wild type Epo encoded by our optimized mRNA and engineered Epo protein encoded by our optimized mRNA were administered at a dose of 0.4 mg/kg giving rise to relevant serum titers of functional Epo and different pharmacokinetic profiles.</w:t>
      </w:r>
    </w:p>
    <w:p>
      <w:pPr>
        <w:spacing w:after="0" w:line="171"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Extended Half-Life of Intracellular Protein</w:t>
      </w:r>
    </w:p>
    <w:p>
      <w:pPr>
        <w:spacing w:after="0" w:line="158" w:lineRule="exact"/>
        <w:rPr>
          <w:sz w:val="20"/>
          <w:szCs w:val="20"/>
          <w:color w:val="auto"/>
        </w:rPr>
      </w:pPr>
    </w:p>
    <w:p>
      <w:pPr>
        <w:ind w:left="1260" w:right="579" w:firstLine="648"/>
        <w:spacing w:after="0" w:line="275" w:lineRule="auto"/>
        <w:rPr>
          <w:sz w:val="20"/>
          <w:szCs w:val="20"/>
          <w:color w:val="auto"/>
        </w:rPr>
      </w:pPr>
      <w:r>
        <w:rPr>
          <w:rFonts w:ascii="Arial" w:cs="Arial" w:eastAsia="Arial" w:hAnsi="Arial"/>
          <w:sz w:val="17"/>
          <w:szCs w:val="17"/>
          <w:color w:val="auto"/>
        </w:rPr>
        <w:t>Similar approaches can also be applied to intracellular proteins, promoting the half-life of functional target proteins. In the example below, protein variant 1 represents the fusion of a protein of interest with a selected protein domain, while variant 2 represents a construct with a single point mutation within the protein of interest. In contrast to the wild type protein, both engineered protein variants enabled the detection of protein even one week after mRNA delivery to hepatocyte cells in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112395</wp:posOffset>
            </wp:positionV>
            <wp:extent cx="3917315" cy="22288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91731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60" w:right="599"/>
        <w:spacing w:after="0" w:line="259" w:lineRule="auto"/>
        <w:rPr>
          <w:sz w:val="20"/>
          <w:szCs w:val="20"/>
          <w:color w:val="auto"/>
        </w:rPr>
      </w:pPr>
      <w:r>
        <w:rPr>
          <w:rFonts w:ascii="Arial" w:cs="Arial" w:eastAsia="Arial" w:hAnsi="Arial"/>
          <w:sz w:val="18"/>
          <w:szCs w:val="18"/>
          <w:i w:val="1"/>
          <w:iCs w:val="1"/>
          <w:color w:val="auto"/>
        </w:rPr>
        <w:t>Intracellular abundance of engineered protein variants in comparison to unmodified wild type protein. Protein levels were determined by whole cell Western Blot analysis in human hepatocytes, followed by normalization to signals from a cytosolic loading control and relative to the wild type protein. Same doses used in wild type and engineered protein variants.</w:t>
      </w: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2" w:name="page143"/>
    <w:bookmarkEnd w:id="1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Increased Oligomerization</w:t>
      </w:r>
    </w:p>
    <w:p>
      <w:pPr>
        <w:spacing w:after="0" w:line="158" w:lineRule="exact"/>
        <w:rPr>
          <w:sz w:val="20"/>
          <w:szCs w:val="20"/>
          <w:color w:val="auto"/>
        </w:rPr>
      </w:pPr>
    </w:p>
    <w:p>
      <w:pPr>
        <w:jc w:val="both"/>
        <w:ind w:left="1260" w:right="419" w:firstLine="648"/>
        <w:spacing w:after="0" w:line="279" w:lineRule="auto"/>
        <w:rPr>
          <w:sz w:val="20"/>
          <w:szCs w:val="20"/>
          <w:color w:val="auto"/>
        </w:rPr>
      </w:pPr>
      <w:r>
        <w:rPr>
          <w:rFonts w:ascii="Arial" w:cs="Arial" w:eastAsia="Arial" w:hAnsi="Arial"/>
          <w:sz w:val="17"/>
          <w:szCs w:val="17"/>
          <w:color w:val="auto"/>
        </w:rPr>
        <w:t>Protein oligomerization is a process that converts monomers to macromolecular complexes through polymerization. We can engineer protein oligomerization by adding domains capable to perform this process to the target protein. As antigens need to be secreted and build clusters to form virus-like particles, or VLPs, this oligomerization process is beneficial in boosting the immune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109220</wp:posOffset>
            </wp:positionV>
            <wp:extent cx="4483100" cy="25031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483100"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right="559"/>
        <w:spacing w:after="0" w:line="275" w:lineRule="auto"/>
        <w:rPr>
          <w:sz w:val="20"/>
          <w:szCs w:val="20"/>
          <w:color w:val="auto"/>
        </w:rPr>
      </w:pPr>
      <w:r>
        <w:rPr>
          <w:rFonts w:ascii="Arial" w:cs="Arial" w:eastAsia="Arial" w:hAnsi="Arial"/>
          <w:sz w:val="17"/>
          <w:szCs w:val="17"/>
          <w:i w:val="1"/>
          <w:iCs w:val="1"/>
          <w:color w:val="auto"/>
        </w:rPr>
        <w:t>Protein sequence of viral antigen was optimized (design 2) by adding an element promoting secretion and clustering of antigen. In the left-hand side of the graphic, secretion of antigen in form of clusters was confirmed by Western Blot analysis of supernatants from transfected human cells. In the right-hand side of the graphic, vaccination of mice with an mRNA vaccine based on this improved protein design resulted in higher immunogenicity, measured by induction of virus neutralizing antibodies.</w:t>
      </w:r>
    </w:p>
    <w:p>
      <w:pPr>
        <w:spacing w:after="0" w:line="176"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Improved Secretion</w:t>
      </w:r>
    </w:p>
    <w:p>
      <w:pPr>
        <w:spacing w:after="0" w:line="158" w:lineRule="exact"/>
        <w:rPr>
          <w:sz w:val="20"/>
          <w:szCs w:val="20"/>
          <w:color w:val="auto"/>
        </w:rPr>
      </w:pPr>
    </w:p>
    <w:p>
      <w:pPr>
        <w:ind w:left="1260" w:right="479" w:firstLine="648"/>
        <w:spacing w:after="0" w:line="279" w:lineRule="auto"/>
        <w:rPr>
          <w:sz w:val="20"/>
          <w:szCs w:val="20"/>
          <w:color w:val="auto"/>
        </w:rPr>
      </w:pPr>
      <w:r>
        <w:rPr>
          <w:rFonts w:ascii="Arial" w:cs="Arial" w:eastAsia="Arial" w:hAnsi="Arial"/>
          <w:sz w:val="17"/>
          <w:szCs w:val="17"/>
          <w:color w:val="auto"/>
        </w:rPr>
        <w:t>The potency of secreted target proteins can be improved by using alternative, more powerful signal peptides. These signal peptides are responsible for transporting the target protein from the cytoplasm to the outside of the cell, where the secreted protein fulfills its primary function. We screen large libraries of signal peptides to optimize secretion of any given target protein and in any cell type of choice.</w:t>
      </w:r>
    </w:p>
    <w:p>
      <w:pPr>
        <w:spacing w:after="0" w:line="90" w:lineRule="exact"/>
        <w:rPr>
          <w:sz w:val="20"/>
          <w:szCs w:val="20"/>
          <w:color w:val="auto"/>
        </w:rPr>
      </w:pPr>
    </w:p>
    <w:p>
      <w:pPr>
        <w:ind w:left="1260" w:right="479" w:firstLine="648"/>
        <w:spacing w:after="0" w:line="279" w:lineRule="auto"/>
        <w:rPr>
          <w:sz w:val="20"/>
          <w:szCs w:val="20"/>
          <w:color w:val="auto"/>
        </w:rPr>
      </w:pPr>
      <w:r>
        <w:rPr>
          <w:rFonts w:ascii="Arial" w:cs="Arial" w:eastAsia="Arial" w:hAnsi="Arial"/>
          <w:sz w:val="17"/>
          <w:szCs w:val="17"/>
          <w:color w:val="auto"/>
        </w:rPr>
        <w:t>For example, we selected a set of 87 verified signal peptides to maximize secretion. These were combined with the novel target protein via automated cloning to enable facile screening and selection of the most potent product candidate. In the figure below, the top hit from this screen increased the secreted protein levels in primary human muscle cells by three-fold relative to the native signal peptide.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3" w:name="page144"/>
    <w:bookmarkEnd w:id="1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1271270</wp:posOffset>
            </wp:positionH>
            <wp:positionV relativeFrom="paragraph">
              <wp:posOffset>537210</wp:posOffset>
            </wp:positionV>
            <wp:extent cx="4277360" cy="23056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277360"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Modified Immunogenicity</w:t>
      </w:r>
    </w:p>
    <w:p>
      <w:pPr>
        <w:spacing w:after="0" w:line="144" w:lineRule="exact"/>
        <w:rPr>
          <w:sz w:val="20"/>
          <w:szCs w:val="20"/>
          <w:color w:val="auto"/>
        </w:rPr>
      </w:pPr>
    </w:p>
    <w:p>
      <w:pPr>
        <w:ind w:left="1260" w:right="539" w:firstLine="648"/>
        <w:spacing w:after="0"/>
        <w:rPr>
          <w:sz w:val="20"/>
          <w:szCs w:val="20"/>
          <w:color w:val="auto"/>
        </w:rPr>
      </w:pPr>
      <w:r>
        <w:rPr>
          <w:rFonts w:ascii="Arial" w:cs="Arial" w:eastAsia="Arial" w:hAnsi="Arial"/>
          <w:sz w:val="18"/>
          <w:szCs w:val="18"/>
          <w:color w:val="auto"/>
        </w:rPr>
        <w:t>If the target protein serves as a therapeutic agent, it is important to curb the protein’s natural immunogenicity. Our protein design process analyzes and replaces immunogenic epitopes, masking immunogenic epitopes and thereby rendering the target protein more immunosilent. In contrast, we also have the ability to improve immunogenicity for certain applications (for example in a cancer vaccine) by protein design. These protein sequence adaptations promote immunogenicity and suppress tumor growth in mouse models, as shown in the below example.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86360</wp:posOffset>
            </wp:positionV>
            <wp:extent cx="4389120" cy="24003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38912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60" w:right="619"/>
        <w:spacing w:after="0" w:line="259" w:lineRule="auto"/>
        <w:rPr>
          <w:sz w:val="20"/>
          <w:szCs w:val="20"/>
          <w:color w:val="auto"/>
        </w:rPr>
      </w:pPr>
      <w:r>
        <w:rPr>
          <w:rFonts w:ascii="Arial" w:cs="Arial" w:eastAsia="Arial" w:hAnsi="Arial"/>
          <w:sz w:val="17"/>
          <w:szCs w:val="17"/>
          <w:i w:val="1"/>
          <w:iCs w:val="1"/>
          <w:color w:val="auto"/>
        </w:rPr>
        <w:t>Therapeutic vaccination with mRNA vaccine encoding optimized Trp2 cell antigen inhibited tumor growth in murine melanoma model. Syngeneic mice were challenged subcutaneously with melanoma cells. When tumors were palpable, mice were vaccinated intradermally twice a week with LNP-formulated mRNA encoding either wild-type murine antigen Trp2 or Trp2 designed to improve antigen presentation. Mice vaccinated with LNP-formulated irrelevant mRNA (PpLuc) served as control.</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Second Pillar: mRNA Optimization</w:t>
      </w:r>
    </w:p>
    <w:p>
      <w:pPr>
        <w:spacing w:after="0" w:line="185"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Overview of mRNA Biology</w:t>
      </w:r>
    </w:p>
    <w:p>
      <w:pPr>
        <w:spacing w:after="0" w:line="131" w:lineRule="exact"/>
        <w:rPr>
          <w:sz w:val="20"/>
          <w:szCs w:val="20"/>
          <w:color w:val="auto"/>
        </w:rPr>
      </w:pPr>
    </w:p>
    <w:p>
      <w:pPr>
        <w:ind w:left="1260" w:right="579" w:firstLine="648"/>
        <w:spacing w:after="0" w:line="291" w:lineRule="auto"/>
        <w:rPr>
          <w:sz w:val="20"/>
          <w:szCs w:val="20"/>
          <w:color w:val="auto"/>
        </w:rPr>
      </w:pPr>
      <w:r>
        <w:rPr>
          <w:rFonts w:ascii="Arial" w:cs="Arial" w:eastAsia="Arial" w:hAnsi="Arial"/>
          <w:sz w:val="17"/>
          <w:szCs w:val="17"/>
          <w:color w:val="auto"/>
        </w:rPr>
        <w:t>mRNA is a linear polymer comprised of four monomers called nucleotides: adenosine (A), guanosine (G), cytidine (C), and uridine (U). The sequence at any mRNA’s center instructing the synthesis</w:t>
      </w:r>
    </w:p>
    <w:p>
      <w:pPr>
        <w:sectPr>
          <w:pgSz w:w="11900" w:h="16838" w:orient="portrait"/>
          <w:cols w:equalWidth="0" w:num="1">
            <w:col w:w="9879"/>
          </w:cols>
          <w:pgMar w:left="580" w:top="131" w:right="1440" w:bottom="1440" w:gutter="0" w:footer="0" w:header="0"/>
        </w:sectPr>
      </w:pPr>
    </w:p>
    <w:p>
      <w:pPr>
        <w:spacing w:after="0" w:line="33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4" w:name="page145"/>
    <w:bookmarkEnd w:id="1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19"/>
        <w:spacing w:after="0" w:line="238" w:lineRule="auto"/>
        <w:rPr>
          <w:sz w:val="20"/>
          <w:szCs w:val="20"/>
          <w:color w:val="auto"/>
        </w:rPr>
      </w:pPr>
      <w:r>
        <w:rPr>
          <w:rFonts w:ascii="Arial" w:cs="Arial" w:eastAsia="Arial" w:hAnsi="Arial"/>
          <w:sz w:val="18"/>
          <w:szCs w:val="18"/>
          <w:color w:val="auto"/>
        </w:rPr>
        <w:t>of the protein encoded by it is the open reading frame (ORF, also known as coding sequence). The ORF is a continuous stretch of groups of three nucleotides (called codons) that is decoded and translated into protein by the ribosome. The process of translation begins at the first codon of the ORF, always an AUG (the start codon). The start codon signals to the ribosome where to start protein synthesis. The ribosome then progresses along the ORF one codon at a time, adding the amino acid to the protein chain fitting to the codon. A stop codon at the end of the ORF (UAA, UAG, or UGA) signals to the ribosome to terminate protein synthesis. In every cell, hundreds of thousands of mRNAs are translated into hundreds of millions of proteins every day. A typical protein contains 200-600 amino acids; therefore, a typical mRNA coding region ranges from 600-1,800 nucleotides.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In addition to the coding sequence, mRNAs contain the following elements:</w:t>
      </w:r>
    </w:p>
    <w:p>
      <w:pPr>
        <w:spacing w:after="0" w:line="117" w:lineRule="exact"/>
        <w:rPr>
          <w:sz w:val="20"/>
          <w:szCs w:val="20"/>
          <w:color w:val="auto"/>
        </w:rPr>
      </w:pPr>
    </w:p>
    <w:p>
      <w:pPr>
        <w:ind w:left="2260" w:right="499" w:hanging="352"/>
        <w:spacing w:after="0" w:line="275" w:lineRule="auto"/>
        <w:tabs>
          <w:tab w:leader="none" w:pos="22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Untranslated regions, or UTRs — UTRs are sequences that are not translated into protein. The 5’ UTR precedes the start codon, the 3’ UTR follows the stop codon. These regions play important roles in gene expression including mRNA stability, mRNA localization and translational efficiency via protein-RNA interactions. Some of the elements in the UTRs form characteristic secondary structures that are involved in mRNA regulation.</w:t>
      </w:r>
    </w:p>
    <w:p>
      <w:pPr>
        <w:spacing w:after="0" w:line="68" w:lineRule="exact"/>
        <w:rPr>
          <w:rFonts w:ascii="Arial" w:cs="Arial" w:eastAsia="Arial" w:hAnsi="Arial"/>
          <w:sz w:val="17"/>
          <w:szCs w:val="17"/>
          <w:color w:val="auto"/>
        </w:rPr>
      </w:pPr>
    </w:p>
    <w:p>
      <w:pPr>
        <w:ind w:left="2260" w:right="479" w:hanging="352"/>
        <w:spacing w:after="0" w:line="277" w:lineRule="auto"/>
        <w:tabs>
          <w:tab w:leader="none" w:pos="22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5’ cap — The cap structure is required to recruit ribosomes and additional proteins involved in translation to the mRNA.</w:t>
      </w:r>
    </w:p>
    <w:p>
      <w:pPr>
        <w:spacing w:after="0" w:line="48" w:lineRule="exact"/>
        <w:rPr>
          <w:rFonts w:ascii="Arial" w:cs="Arial" w:eastAsia="Arial" w:hAnsi="Arial"/>
          <w:sz w:val="18"/>
          <w:szCs w:val="18"/>
          <w:color w:val="auto"/>
        </w:rPr>
      </w:pPr>
    </w:p>
    <w:p>
      <w:pPr>
        <w:ind w:left="2260" w:right="459" w:hanging="352"/>
        <w:spacing w:after="0" w:line="279" w:lineRule="auto"/>
        <w:tabs>
          <w:tab w:leader="none" w:pos="22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3’ polyadenosine, or poly-A, tail — The 3’ poly-A tail is a long sequence of adenosine nucleotides (often several hundred) at the 3’ end of mRNA. This tail promotes mRNA export from the nucleus and translation, and protects mRNA from degradation. In addition, the 3’ end of the mRNA can include a stretch or sequence of nucleotides following the 3’ poly-A tail.</w:t>
      </w:r>
    </w:p>
    <w:p>
      <w:pPr>
        <w:spacing w:after="0" w:line="171"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Our Approach</w:t>
      </w:r>
    </w:p>
    <w:p>
      <w:pPr>
        <w:spacing w:after="0" w:line="158" w:lineRule="exact"/>
        <w:rPr>
          <w:sz w:val="20"/>
          <w:szCs w:val="20"/>
          <w:color w:val="auto"/>
        </w:rPr>
      </w:pPr>
    </w:p>
    <w:p>
      <w:pPr>
        <w:ind w:left="1260" w:right="759" w:firstLine="648"/>
        <w:spacing w:after="0"/>
        <w:rPr>
          <w:sz w:val="20"/>
          <w:szCs w:val="20"/>
          <w:color w:val="auto"/>
        </w:rPr>
      </w:pPr>
      <w:r>
        <w:rPr>
          <w:rFonts w:ascii="Arial" w:cs="Arial" w:eastAsia="Arial" w:hAnsi="Arial"/>
          <w:sz w:val="18"/>
          <w:szCs w:val="18"/>
          <w:color w:val="auto"/>
        </w:rPr>
        <w:t>Our mRNA optimization process is designed to generate the most efficacious mRNA for any particular target and indication by optimizing translation, stability and immunogenicity. Each of these parameters can be modified by changing individual mRNA elements and their interplay guided by the envisaged application. Our mRNA molecule contains six elements that can be optimized to improve the potential efficacy of the mRNA construct. These elements include 5’ cap, 5’ UTR, ORF, 3’ UTR, and 3’ poly-A tail and 3’ end.</w:t>
      </w:r>
    </w:p>
    <w:p>
      <w:pPr>
        <w:spacing w:after="0" w:line="122" w:lineRule="exact"/>
        <w:rPr>
          <w:sz w:val="20"/>
          <w:szCs w:val="20"/>
          <w:color w:val="auto"/>
        </w:rPr>
      </w:pPr>
    </w:p>
    <w:p>
      <w:pPr>
        <w:ind w:left="1260" w:right="459" w:firstLine="648"/>
        <w:spacing w:after="0" w:line="238" w:lineRule="auto"/>
        <w:rPr>
          <w:sz w:val="20"/>
          <w:szCs w:val="20"/>
          <w:color w:val="auto"/>
        </w:rPr>
      </w:pPr>
      <w:r>
        <w:rPr>
          <w:rFonts w:ascii="Arial" w:cs="Arial" w:eastAsia="Arial" w:hAnsi="Arial"/>
          <w:sz w:val="18"/>
          <w:szCs w:val="18"/>
          <w:color w:val="auto"/>
        </w:rPr>
        <w:t>Depending on the target and indication, the required pharmacokinetics of protein expression might be different. Some applications may require the highest possible protein expression but only for a limited time, as is the case for gene editing approaches. For other applications, for example some protein replacement therapies, long-lasting protein expression might be key. Peak level and duration of protein expression can be adjusted by the choice or design of enhancer and stabilizing elements in untranslated regions of mRNA. Each of the mRNA elements together in combination with the overall sequence influence the degree of activation of the immune system by any particular mRNA. Therefore, our approach to RNA optimization always considers multiple factors as well as the whole construct to generate the optimal mRNA.</w:t>
      </w:r>
    </w:p>
    <w:p>
      <w:pPr>
        <w:spacing w:after="0" w:line="110" w:lineRule="exact"/>
        <w:rPr>
          <w:sz w:val="20"/>
          <w:szCs w:val="20"/>
          <w:color w:val="auto"/>
        </w:rPr>
      </w:pPr>
    </w:p>
    <w:p>
      <w:pPr>
        <w:ind w:left="1260" w:right="479" w:firstLine="648"/>
        <w:spacing w:after="0" w:line="259" w:lineRule="auto"/>
        <w:rPr>
          <w:sz w:val="20"/>
          <w:szCs w:val="20"/>
          <w:color w:val="auto"/>
        </w:rPr>
      </w:pPr>
      <w:r>
        <w:rPr>
          <w:rFonts w:ascii="Arial" w:cs="Arial" w:eastAsia="Arial" w:hAnsi="Arial"/>
          <w:sz w:val="17"/>
          <w:szCs w:val="17"/>
          <w:color w:val="auto"/>
        </w:rPr>
        <w:t xml:space="preserve">UTRs contribute decisively to the potential efficacy of therapeutic mRNAs. Natural mRNAs contain several different 5’ and 3’ UTRs, setting the individual level of translation and stability for each message. We have tapped this natural wealth of regulatory sequences and identified a large set of UTRs that confer translation or mRNA stability via diverse protein-RNA interactions. Producing mRNA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using the four natural building blocks of mRNA (adenosine (A), guanosine (G), cytidine (C), and uridine (U)),</w:t>
      </w:r>
    </w:p>
    <w:p>
      <w:pPr>
        <w:sectPr>
          <w:pgSz w:w="11900" w:h="16838" w:orient="portrait"/>
          <w:cols w:equalWidth="0" w:num="1">
            <w:col w:w="9879"/>
          </w:cols>
          <w:pgMar w:left="580" w:top="131" w:right="1440" w:bottom="1440" w:gutter="0" w:footer="0" w:header="0"/>
        </w:sectPr>
      </w:pPr>
    </w:p>
    <w:p>
      <w:pPr>
        <w:spacing w:after="0" w:line="36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5" w:name="page146"/>
    <w:bookmarkEnd w:id="1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579"/>
        <w:spacing w:after="0" w:line="262" w:lineRule="auto"/>
        <w:rPr>
          <w:sz w:val="20"/>
          <w:szCs w:val="20"/>
          <w:color w:val="auto"/>
        </w:rPr>
      </w:pPr>
      <w:r>
        <w:rPr>
          <w:rFonts w:ascii="Arial" w:cs="Arial" w:eastAsia="Arial" w:hAnsi="Arial"/>
          <w:sz w:val="17"/>
          <w:szCs w:val="17"/>
          <w:color w:val="auto"/>
        </w:rPr>
        <w:t>we find that many of these UTRs retain their favorable properties also in combination with a heterologous ORF, for example in coding for a therapeutic protein of interest. Specifically, with our unmodified mRNA, no additional structural optimization to preserve or restore these critical protein-RNA interactions is required as these are an inherent feature of the natural building blocks we employ.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1263015</wp:posOffset>
            </wp:positionH>
            <wp:positionV relativeFrom="paragraph">
              <wp:posOffset>75565</wp:posOffset>
            </wp:positionV>
            <wp:extent cx="4294505" cy="25114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294505"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60" w:right="479" w:firstLine="648"/>
        <w:spacing w:after="0" w:line="253" w:lineRule="auto"/>
        <w:rPr>
          <w:sz w:val="20"/>
          <w:szCs w:val="20"/>
          <w:color w:val="auto"/>
        </w:rPr>
      </w:pPr>
      <w:r>
        <w:rPr>
          <w:rFonts w:ascii="Arial" w:cs="Arial" w:eastAsia="Arial" w:hAnsi="Arial"/>
          <w:sz w:val="17"/>
          <w:szCs w:val="17"/>
          <w:color w:val="auto"/>
        </w:rPr>
        <w:t xml:space="preserve">Historically, one factor limiting the use of mRNA as a treatment has been the observation that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vitro </w:t>
      </w:r>
      <w:r>
        <w:rPr>
          <w:rFonts w:ascii="Arial" w:cs="Arial" w:eastAsia="Arial" w:hAnsi="Arial"/>
          <w:sz w:val="17"/>
          <w:szCs w:val="17"/>
          <w:color w:val="auto"/>
        </w:rPr>
        <w:t>produced synthetic mRNA activated the innate immune system, resulting in a fast shutdown of protein</w:t>
      </w:r>
      <w:r>
        <w:rPr>
          <w:rFonts w:ascii="Arial" w:cs="Arial" w:eastAsia="Arial" w:hAnsi="Arial"/>
          <w:sz w:val="17"/>
          <w:szCs w:val="17"/>
          <w:i w:val="1"/>
          <w:iCs w:val="1"/>
          <w:color w:val="auto"/>
        </w:rPr>
        <w:t xml:space="preserve"> </w:t>
      </w:r>
      <w:r>
        <w:rPr>
          <w:rFonts w:ascii="Arial" w:cs="Arial" w:eastAsia="Arial" w:hAnsi="Arial"/>
          <w:sz w:val="17"/>
          <w:szCs w:val="17"/>
          <w:color w:val="auto"/>
        </w:rPr>
        <w:t>translation in cells. An effective mRNA therapy would need to evade recognition by the immune system to avoid shut down of protein translation. We have accumulated significant knowledge about the signatures recognized by the innate immune system over the past few years. With the insights we have gained, we are able to avoid signatures activating the immune system in elements at our disposal or eliminate them from mRNA constructs. This is demonstrated by the following example where formulated mRNA was injected intradermally in mice and both B-cells and T-cells were activated in the draining lymph node. In contrast, unformulated mRNA injected intradermally had limited immunostimulatory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74295</wp:posOffset>
            </wp:positionV>
            <wp:extent cx="5074920" cy="20231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074920"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260" w:right="559"/>
        <w:spacing w:after="0" w:line="270" w:lineRule="auto"/>
        <w:rPr>
          <w:sz w:val="20"/>
          <w:szCs w:val="20"/>
          <w:color w:val="auto"/>
        </w:rPr>
      </w:pPr>
      <w:r>
        <w:rPr>
          <w:rFonts w:ascii="Arial" w:cs="Arial" w:eastAsia="Arial" w:hAnsi="Arial"/>
          <w:sz w:val="17"/>
          <w:szCs w:val="17"/>
          <w:i w:val="1"/>
          <w:iCs w:val="1"/>
          <w:color w:val="auto"/>
        </w:rPr>
        <w:t>10 μg of mRNA, either free or formulated, was administered intradermally to the back of mice. 24 hours post treatment, draining lymph nodes were isolated and the activation status of immune cells was analyzed by flow cytometry. A higher CD69 signal indicates activation of the respective immune cells.</w:t>
      </w:r>
    </w:p>
    <w:p>
      <w:pPr>
        <w:spacing w:after="0" w:line="110"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Cap Structure</w:t>
      </w:r>
    </w:p>
    <w:p>
      <w:pPr>
        <w:spacing w:after="0" w:line="144" w:lineRule="exact"/>
        <w:rPr>
          <w:sz w:val="20"/>
          <w:szCs w:val="20"/>
          <w:color w:val="auto"/>
        </w:rPr>
      </w:pPr>
    </w:p>
    <w:p>
      <w:pPr>
        <w:ind w:left="1260" w:right="419" w:firstLine="648"/>
        <w:spacing w:after="0" w:line="261" w:lineRule="auto"/>
        <w:rPr>
          <w:sz w:val="20"/>
          <w:szCs w:val="20"/>
          <w:color w:val="auto"/>
        </w:rPr>
      </w:pPr>
      <w:r>
        <w:rPr>
          <w:rFonts w:ascii="Arial" w:cs="Arial" w:eastAsia="Arial" w:hAnsi="Arial"/>
          <w:sz w:val="18"/>
          <w:szCs w:val="18"/>
          <w:color w:val="auto"/>
        </w:rPr>
        <w:t>The cap structure influences translation as it recruits the translational machinery including initiation factors and the ribosome. The cap structure also affects mRNA stability due to its influence on</w:t>
      </w:r>
    </w:p>
    <w:p>
      <w:pPr>
        <w:sectPr>
          <w:pgSz w:w="11900" w:h="16838" w:orient="portrait"/>
          <w:cols w:equalWidth="0" w:num="1">
            <w:col w:w="9879"/>
          </w:cols>
          <w:pgMar w:left="580" w:top="131" w:right="1440" w:bottom="1440" w:gutter="0" w:footer="0" w:header="0"/>
        </w:sectPr>
      </w:pPr>
    </w:p>
    <w:p>
      <w:pPr>
        <w:spacing w:after="0" w:line="34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6" w:name="page147"/>
    <w:bookmarkEnd w:id="1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559"/>
        <w:spacing w:after="0" w:line="291" w:lineRule="auto"/>
        <w:rPr>
          <w:sz w:val="20"/>
          <w:szCs w:val="20"/>
          <w:color w:val="auto"/>
        </w:rPr>
      </w:pPr>
      <w:r>
        <w:rPr>
          <w:rFonts w:ascii="Arial" w:cs="Arial" w:eastAsia="Arial" w:hAnsi="Arial"/>
          <w:sz w:val="16"/>
          <w:szCs w:val="16"/>
          <w:color w:val="auto"/>
        </w:rPr>
        <w:t xml:space="preserve">the various proteins recruited to mRNA. Further, the cap structure is a determinant of activation of the innate immune system as different cap structures are differentially recognized by several innate immune sensors. In addition, different cap structures are incorporated during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production of mRNA with different capping efficiency, resulting in varying proportion of mRNA lacking a cap, which is an mRNA species which is recognized by yet other sensors of the innate immune system. Accordingly, there is great potential to improve protein expression and immunosilence in mRNA by optimizing the cap structure. We have access to several cap structures, including those we have developed and commercially available ones.</w:t>
      </w:r>
    </w:p>
    <w:p>
      <w:pPr>
        <w:spacing w:after="0" w:line="166"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5’ and 3’ UTRs</w:t>
      </w:r>
    </w:p>
    <w:p>
      <w:pPr>
        <w:spacing w:after="0" w:line="158" w:lineRule="exact"/>
        <w:rPr>
          <w:sz w:val="20"/>
          <w:szCs w:val="20"/>
          <w:color w:val="auto"/>
        </w:rPr>
      </w:pPr>
    </w:p>
    <w:p>
      <w:pPr>
        <w:ind w:left="1260" w:right="439" w:firstLine="648"/>
        <w:spacing w:after="0" w:line="272" w:lineRule="auto"/>
        <w:rPr>
          <w:sz w:val="20"/>
          <w:szCs w:val="20"/>
          <w:color w:val="auto"/>
        </w:rPr>
      </w:pPr>
      <w:r>
        <w:rPr>
          <w:rFonts w:ascii="Arial" w:cs="Arial" w:eastAsia="Arial" w:hAnsi="Arial"/>
          <w:sz w:val="17"/>
          <w:szCs w:val="17"/>
          <w:color w:val="auto"/>
        </w:rPr>
        <w:t>We have identified high numbers of naturally occurring 5’ and 3’ UTRs. Using bioinformatics analysis to identify patterns of increased expression, duration of expression, and reduced immunogenicity, we have catalogued more than one million 5’ and 3’ UTRs. From these, we selected a large set of potential enhancer elements (improving the rate of protein expression) and stabilizer elements (improving half-life of protein expression). By running a high throughput combinatorial approach, we identify and create optimized UTR combinations for a specific construct. Further, we have created UTR sub-libraries because we discovered that different UTRs perform differently in various tissue 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1040130</wp:posOffset>
            </wp:positionH>
            <wp:positionV relativeFrom="paragraph">
              <wp:posOffset>113030</wp:posOffset>
            </wp:positionV>
            <wp:extent cx="4740275" cy="27686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740275"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60" w:right="519" w:firstLine="648"/>
        <w:spacing w:after="0" w:line="308" w:lineRule="auto"/>
        <w:rPr>
          <w:sz w:val="20"/>
          <w:szCs w:val="20"/>
          <w:color w:val="auto"/>
        </w:rPr>
      </w:pPr>
      <w:r>
        <w:rPr>
          <w:rFonts w:ascii="Arial" w:cs="Arial" w:eastAsia="Arial" w:hAnsi="Arial"/>
          <w:sz w:val="17"/>
          <w:szCs w:val="17"/>
          <w:color w:val="auto"/>
        </w:rPr>
        <w:t>Below is an example of the effectiveness of our UTR library to optimize protein expression as part of our collaboration with CRISPR Therapeutics. An open reading frame coding for an optimized Cas9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7" w:name="page148"/>
    <w:bookmarkEnd w:id="1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1139"/>
        <w:spacing w:after="0" w:line="263" w:lineRule="auto"/>
        <w:rPr>
          <w:sz w:val="20"/>
          <w:szCs w:val="20"/>
          <w:color w:val="auto"/>
        </w:rPr>
      </w:pPr>
      <w:r>
        <w:rPr>
          <w:rFonts w:ascii="Arial" w:cs="Arial" w:eastAsia="Arial" w:hAnsi="Arial"/>
          <w:sz w:val="18"/>
          <w:szCs w:val="18"/>
          <w:color w:val="auto"/>
        </w:rPr>
        <w:t>protein was combined with 83 UTR combinations via automated cloning. This target-specific UTR screening increased Cas9 protein levels in HepG2 cells five-fold compared to an already optimized construct.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116840</wp:posOffset>
            </wp:positionV>
            <wp:extent cx="4526280" cy="30346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526280"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260" w:right="479"/>
        <w:spacing w:after="0" w:line="275" w:lineRule="auto"/>
        <w:rPr>
          <w:sz w:val="20"/>
          <w:szCs w:val="20"/>
          <w:color w:val="auto"/>
        </w:rPr>
      </w:pPr>
      <w:r>
        <w:rPr>
          <w:rFonts w:ascii="Arial" w:cs="Arial" w:eastAsia="Arial" w:hAnsi="Arial"/>
          <w:sz w:val="17"/>
          <w:szCs w:val="17"/>
          <w:i w:val="1"/>
          <w:iCs w:val="1"/>
          <w:color w:val="auto"/>
        </w:rPr>
        <w:t>To maximize expression of the target protein a set of 83 combinations of untranslated regions (UTR) was selected from screens identifying stable or highly translated endogenous transcripts. These UTR combinations were combined with the target open reading frame (ORF) via automated cloning to enable facile screening and selection of the most potent product candidates. Target-specific UTR screening led to a five-fold increase in protein levels in HepG2 cells compared to an already optimized construct.</w:t>
      </w:r>
    </w:p>
    <w:p>
      <w:pPr>
        <w:spacing w:after="0" w:line="176"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Open reading frame (ORF)</w:t>
      </w:r>
    </w:p>
    <w:p>
      <w:pPr>
        <w:spacing w:after="0" w:line="158" w:lineRule="exact"/>
        <w:rPr>
          <w:sz w:val="20"/>
          <w:szCs w:val="20"/>
          <w:color w:val="auto"/>
        </w:rPr>
      </w:pPr>
    </w:p>
    <w:p>
      <w:pPr>
        <w:ind w:left="1260" w:right="439" w:firstLine="648"/>
        <w:spacing w:after="0" w:line="269" w:lineRule="auto"/>
        <w:rPr>
          <w:sz w:val="20"/>
          <w:szCs w:val="20"/>
          <w:color w:val="auto"/>
        </w:rPr>
      </w:pPr>
      <w:r>
        <w:rPr>
          <w:rFonts w:ascii="Arial" w:cs="Arial" w:eastAsia="Arial" w:hAnsi="Arial"/>
          <w:sz w:val="17"/>
          <w:szCs w:val="17"/>
          <w:color w:val="auto"/>
        </w:rPr>
        <w:t>The ORF instructs the synthesis of the protein it encodes by the ribosome. The ORF is a continuous stretch of groups of three nucleotides called codons. Ribosomes decode each codon as an amino acid to be added to the nascent protein. Each codon specifies a particular amino acid, however, many amino acids are specified by more than one codon. Due to this multiplicity of codons that specify an amino acid, any protein can be encoded by a myriad of coding sequences differing in their codon composition. These various ORFs differ largely in their properties and for any particular protein a top-performing ORF needs to be identified or designed to make an efficacious mRNA-based medicine. We currently optimize the ORF in a broad, holistic approach that includes multiple parameters taking into account codon optimality. Our algorithms also take into account that, similar to UTRs, different codons are optimal for different tissues. Furthermore, these algorithms also analyze and consider secondary structure. For example, as certain elements are known to drive immune stimulation by secondary structure, our algorithms avoid generation of sequences that may give rise to such immune stimulations.</w:t>
      </w:r>
    </w:p>
    <w:p>
      <w:pPr>
        <w:spacing w:after="0" w:line="111" w:lineRule="exact"/>
        <w:rPr>
          <w:sz w:val="20"/>
          <w:szCs w:val="20"/>
          <w:color w:val="auto"/>
        </w:rPr>
      </w:pPr>
    </w:p>
    <w:p>
      <w:pPr>
        <w:ind w:left="1260" w:right="459" w:firstLine="648"/>
        <w:spacing w:after="0" w:line="259" w:lineRule="auto"/>
        <w:rPr>
          <w:sz w:val="20"/>
          <w:szCs w:val="20"/>
          <w:color w:val="auto"/>
        </w:rPr>
      </w:pPr>
      <w:r>
        <w:rPr>
          <w:rFonts w:ascii="Arial" w:cs="Arial" w:eastAsia="Arial" w:hAnsi="Arial"/>
          <w:sz w:val="18"/>
          <w:szCs w:val="18"/>
          <w:color w:val="auto"/>
        </w:rPr>
        <w:t>In the following example, protein expressed from our mRNA containing a wild type coding sequence was abundant in the livers of mice injected intravenously with LNP-encapsulated mRNA. However, protein levels were higher from our mRNA containing a coding sequence engineered for maximal protein expression.</w:t>
      </w:r>
    </w:p>
    <w:p>
      <w:pPr>
        <w:spacing w:after="0" w:line="200" w:lineRule="exact"/>
        <w:rPr>
          <w:sz w:val="20"/>
          <w:szCs w:val="20"/>
          <w:color w:val="auto"/>
        </w:rPr>
      </w:pPr>
    </w:p>
    <w:p>
      <w:pPr>
        <w:spacing w:after="0" w:line="23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8" w:name="page149"/>
    <w:bookmarkEnd w:id="1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537210</wp:posOffset>
            </wp:positionV>
            <wp:extent cx="3806190" cy="29400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806190" cy="294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479"/>
        <w:spacing w:after="0" w:line="243" w:lineRule="auto"/>
        <w:rPr>
          <w:sz w:val="20"/>
          <w:szCs w:val="20"/>
          <w:color w:val="auto"/>
        </w:rPr>
      </w:pPr>
      <w:r>
        <w:rPr>
          <w:rFonts w:ascii="Arial" w:cs="Arial" w:eastAsia="Arial" w:hAnsi="Arial"/>
          <w:sz w:val="18"/>
          <w:szCs w:val="18"/>
          <w:i w:val="1"/>
          <w:iCs w:val="1"/>
          <w:color w:val="auto"/>
        </w:rPr>
        <w:t>Abundance of a therapeutic protein in mouse liver expressed from an engineered open reading frame (ORF) in comparison to the wild ORF. mRNAs containing ORF variants were formulated in LNPs and injected intravenously into mice (called engineered ORF) . Protein levels were determined by Western Blot analysis of liver lysates, followed by normalization to the signal from a loading control.</w:t>
      </w:r>
    </w:p>
    <w:p>
      <w:pPr>
        <w:spacing w:after="0" w:line="174"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Poly(A) tail and 3’ end</w:t>
      </w:r>
    </w:p>
    <w:p>
      <w:pPr>
        <w:spacing w:after="0" w:line="158" w:lineRule="exact"/>
        <w:rPr>
          <w:sz w:val="20"/>
          <w:szCs w:val="20"/>
          <w:color w:val="auto"/>
        </w:rPr>
      </w:pPr>
    </w:p>
    <w:p>
      <w:pPr>
        <w:ind w:left="1260" w:right="459" w:firstLine="648"/>
        <w:spacing w:after="0" w:line="248" w:lineRule="auto"/>
        <w:rPr>
          <w:sz w:val="20"/>
          <w:szCs w:val="20"/>
          <w:color w:val="auto"/>
        </w:rPr>
      </w:pPr>
      <w:r>
        <w:rPr>
          <w:rFonts w:ascii="Arial" w:cs="Arial" w:eastAsia="Arial" w:hAnsi="Arial"/>
          <w:sz w:val="18"/>
          <w:szCs w:val="18"/>
          <w:color w:val="auto"/>
        </w:rPr>
        <w:t>The 3’ end of the mRNA molecule, prone to degradation by nucleases, is another form of optimization. The 3’ end can be sealed using different stabilizing elements, including secondary structure or specific nucleotide sequences, to inhibit RNA nucleases degrading RNA from the 3’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99060</wp:posOffset>
            </wp:positionV>
            <wp:extent cx="3789045" cy="2434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789045"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60" w:right="539"/>
        <w:spacing w:after="0" w:line="262" w:lineRule="auto"/>
        <w:rPr>
          <w:sz w:val="20"/>
          <w:szCs w:val="20"/>
          <w:color w:val="auto"/>
        </w:rPr>
      </w:pPr>
      <w:r>
        <w:rPr>
          <w:rFonts w:ascii="Arial" w:cs="Arial" w:eastAsia="Arial" w:hAnsi="Arial"/>
          <w:sz w:val="17"/>
          <w:szCs w:val="17"/>
          <w:i w:val="1"/>
          <w:iCs w:val="1"/>
          <w:color w:val="auto"/>
        </w:rPr>
        <w:t>Impact of different mRNA 3’ end on serum levels of a therapeutic protein. mRNAs containing different vector- encoded 3’ end variants were formulated in LNPs and injected intravenously at a dose of 20 μg into female Balb/c mice. Six hours after injection, serum levels of secreted protein were determined by an enzyme-linked immunosorbent assay test, also referred to as ELISA, to measure antibodies in blood.</w:t>
      </w:r>
    </w:p>
    <w:p>
      <w:pPr>
        <w:spacing w:after="0" w:line="36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9" w:name="page150"/>
    <w:bookmarkEnd w:id="1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39" w:firstLine="648"/>
        <w:spacing w:after="0" w:line="248" w:lineRule="auto"/>
        <w:rPr>
          <w:sz w:val="20"/>
          <w:szCs w:val="20"/>
          <w:color w:val="auto"/>
        </w:rPr>
      </w:pPr>
      <w:r>
        <w:rPr>
          <w:rFonts w:ascii="Arial" w:cs="Arial" w:eastAsia="Arial" w:hAnsi="Arial"/>
          <w:sz w:val="18"/>
          <w:szCs w:val="18"/>
          <w:color w:val="auto"/>
        </w:rPr>
        <w:t>Finally, we analyze the structure of the optimized mRNA as a whole including ORF and UTRs to predict its recognition by RNA sensors and immune activating potential and modify any inappropriate elements.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Third Pillar: mRNA Delivery</w:t>
      </w:r>
    </w:p>
    <w:p>
      <w:pPr>
        <w:spacing w:after="0" w:line="158" w:lineRule="exact"/>
        <w:rPr>
          <w:sz w:val="20"/>
          <w:szCs w:val="20"/>
          <w:color w:val="auto"/>
        </w:rPr>
      </w:pPr>
    </w:p>
    <w:p>
      <w:pPr>
        <w:ind w:left="1260" w:right="419" w:firstLine="648"/>
        <w:spacing w:after="0" w:line="255" w:lineRule="auto"/>
        <w:rPr>
          <w:sz w:val="20"/>
          <w:szCs w:val="20"/>
          <w:color w:val="auto"/>
        </w:rPr>
      </w:pPr>
      <w:r>
        <w:rPr>
          <w:rFonts w:ascii="Arial" w:cs="Arial" w:eastAsia="Arial" w:hAnsi="Arial"/>
          <w:sz w:val="17"/>
          <w:szCs w:val="17"/>
          <w:color w:val="auto"/>
        </w:rPr>
        <w:t>The potency of the administered mRNA drug product is the combination of the potential efficacy of the mRNA that encodes the protein and the delivery system that transports the mRNA to the cells. Protein levels are highly correlated with the number of transfected cells which requires optimized delivery systems. While it is possible to deliver mRNA directly into the target tissue without delivery systems in certain cases, the presence of RNA degrading enzymes in blood and interstitial fluids rapidly regrade any extracellular mRNA. Additionally, cell membranes act as a significant barrier to entry of large molecules such as mRNA. These delivery technologies enable us to deliver large quantities of mRNA to the target cells.</w:t>
      </w:r>
    </w:p>
    <w:p>
      <w:pPr>
        <w:spacing w:after="0" w:line="112" w:lineRule="exact"/>
        <w:rPr>
          <w:sz w:val="20"/>
          <w:szCs w:val="20"/>
          <w:color w:val="auto"/>
        </w:rPr>
      </w:pPr>
    </w:p>
    <w:p>
      <w:pPr>
        <w:ind w:left="1260" w:right="439" w:firstLine="648"/>
        <w:spacing w:after="0" w:line="241" w:lineRule="auto"/>
        <w:rPr>
          <w:sz w:val="20"/>
          <w:szCs w:val="20"/>
          <w:color w:val="auto"/>
        </w:rPr>
      </w:pPr>
      <w:r>
        <w:rPr>
          <w:rFonts w:ascii="Arial" w:cs="Arial" w:eastAsia="Arial" w:hAnsi="Arial"/>
          <w:sz w:val="18"/>
          <w:szCs w:val="18"/>
          <w:color w:val="auto"/>
        </w:rPr>
        <w:t>We have access to a diverse portfolio of third-party and proprietary delivery systems that allow us to target a range of diseases. Access to this broad range of delivery technologies allows us to select the best-suited technology for development of each of our product candidates. We choose the most suited delivery system based on a number of factors including immunogenicity, duration of treatment, dose levels, mode of administration and targeted tissue type.</w:t>
      </w:r>
    </w:p>
    <w:p>
      <w:pPr>
        <w:spacing w:after="0" w:line="10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key delivery systems that we currently employ include:</w:t>
      </w:r>
    </w:p>
    <w:p>
      <w:pPr>
        <w:spacing w:after="0" w:line="104" w:lineRule="exact"/>
        <w:rPr>
          <w:sz w:val="20"/>
          <w:szCs w:val="20"/>
          <w:color w:val="auto"/>
        </w:rPr>
      </w:pPr>
    </w:p>
    <w:p>
      <w:pPr>
        <w:ind w:left="2260" w:right="479" w:hanging="352"/>
        <w:spacing w:after="0" w:line="257" w:lineRule="auto"/>
        <w:tabs>
          <w:tab w:leader="none" w:pos="22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Lipid-based delivery systems — We employ lipid nanoparticles, or LNPs, to deliver our mRNA-based prophylactic and cancer vaccines locally. For protein and antibody therapeutic candidates, we apply LNP-formulated mRNA systemically. We have relied on third-party state of the art LNP delivery systems for our initial clinical programs, and we are developing our proprietary LNP delivery systems for our future clinical programs.</w:t>
      </w:r>
    </w:p>
    <w:p>
      <w:pPr>
        <w:spacing w:after="0" w:line="66" w:lineRule="exact"/>
        <w:rPr>
          <w:rFonts w:ascii="Arial" w:cs="Arial" w:eastAsia="Arial" w:hAnsi="Arial"/>
          <w:sz w:val="18"/>
          <w:szCs w:val="18"/>
          <w:color w:val="auto"/>
        </w:rPr>
      </w:pPr>
    </w:p>
    <w:p>
      <w:pPr>
        <w:ind w:left="2260" w:right="479" w:hanging="352"/>
        <w:spacing w:after="0" w:line="257" w:lineRule="auto"/>
        <w:tabs>
          <w:tab w:leader="none" w:pos="22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Polymer-based delivery systems — We employ our novel, proprietary PEGylated polymer system, the CureVac Carrier Molecule, or CVCM, to administer therapeutic candidates to such organs as eye and lung. CVCMs are designed to be delivered locally and their administration method may vary (injection, nebulization, among others) due to the robustness of the formulation.</w:t>
      </w:r>
    </w:p>
    <w:p>
      <w:pPr>
        <w:spacing w:after="0" w:line="120" w:lineRule="exact"/>
        <w:rPr>
          <w:sz w:val="20"/>
          <w:szCs w:val="20"/>
          <w:color w:val="auto"/>
        </w:rPr>
      </w:pPr>
    </w:p>
    <w:p>
      <w:pPr>
        <w:ind w:left="1260" w:right="479" w:firstLine="648"/>
        <w:spacing w:after="0" w:line="243" w:lineRule="auto"/>
        <w:rPr>
          <w:sz w:val="20"/>
          <w:szCs w:val="20"/>
          <w:color w:val="auto"/>
        </w:rPr>
      </w:pPr>
      <w:r>
        <w:rPr>
          <w:rFonts w:ascii="Arial" w:cs="Arial" w:eastAsia="Arial" w:hAnsi="Arial"/>
          <w:sz w:val="18"/>
          <w:szCs w:val="18"/>
          <w:color w:val="auto"/>
        </w:rPr>
        <w:t>LNPs and CVCM delivery technologies complement each other in their applicability and enable us to cover a greater number of modalities within the mRNA space. With these delivery modalities at hand, we are currently expanding our development pipeline and plan to bring new mRNA therapies to different organs and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93980</wp:posOffset>
            </wp:positionV>
            <wp:extent cx="4869180" cy="27089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869180" cy="270891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286385</wp:posOffset>
            </wp:positionV>
            <wp:extent cx="680656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50" w:name="page151"/>
    <w:bookmarkEnd w:id="1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Lipid Nanoparticles (LNPs)</w:t>
      </w:r>
    </w:p>
    <w:p>
      <w:pPr>
        <w:spacing w:after="0" w:line="144" w:lineRule="exact"/>
        <w:rPr>
          <w:sz w:val="20"/>
          <w:szCs w:val="20"/>
          <w:color w:val="auto"/>
        </w:rPr>
      </w:pPr>
    </w:p>
    <w:p>
      <w:pPr>
        <w:ind w:left="1260" w:right="439" w:firstLine="648"/>
        <w:spacing w:after="0" w:line="243" w:lineRule="auto"/>
        <w:rPr>
          <w:sz w:val="20"/>
          <w:szCs w:val="20"/>
          <w:color w:val="auto"/>
        </w:rPr>
      </w:pPr>
      <w:r>
        <w:rPr>
          <w:rFonts w:ascii="Arial" w:cs="Arial" w:eastAsia="Arial" w:hAnsi="Arial"/>
          <w:sz w:val="18"/>
          <w:szCs w:val="18"/>
          <w:color w:val="auto"/>
        </w:rPr>
        <w:t>A variety of nanoparticles have been developed over the years for use in drug delivery. LNPs represent the most clinically advanced non- viral delivery systems. Encapsulation of the mRNA within LNPs enables delivery to the site of action within the cell. LNPs protect the mRNA from degradation, rapid excretion and liver clearance, enabling higher bioavailability and longer half-life.</w:t>
      </w:r>
    </w:p>
    <w:p>
      <w:pPr>
        <w:spacing w:after="0" w:line="107" w:lineRule="exact"/>
        <w:rPr>
          <w:sz w:val="20"/>
          <w:szCs w:val="20"/>
          <w:color w:val="auto"/>
        </w:rPr>
      </w:pPr>
    </w:p>
    <w:p>
      <w:pPr>
        <w:ind w:left="1260" w:right="459" w:firstLine="648"/>
        <w:spacing w:after="0" w:line="253" w:lineRule="auto"/>
        <w:rPr>
          <w:sz w:val="20"/>
          <w:szCs w:val="20"/>
          <w:color w:val="auto"/>
        </w:rPr>
      </w:pPr>
      <w:r>
        <w:rPr>
          <w:rFonts w:ascii="Arial" w:cs="Arial" w:eastAsia="Arial" w:hAnsi="Arial"/>
          <w:sz w:val="17"/>
          <w:szCs w:val="17"/>
          <w:color w:val="auto"/>
        </w:rPr>
        <w:t>LNPs consist of different lipids that form together a lipid nanoparticle with a solid core. The four primary LNP components include cationic lipids, pegylated lipids, phospholipids, and cholesterols. LNPs mimic low- density lipoproteins, which allows them to be taken up by an endogenous cellular transport pathway to deliver the mRNA cargo to cells. When LNPs are injected into biological systems, they attach to natural transport proteins, apolipoproteins, to facilitate the transport of lipids within the bloodstream and throughout the body. Following intravenous administration, the apolipoprotein binding enables efficient transport of the mRNA cargo to the liver. Once internalized in endosomes within cells, the LNPs are designed to escape the endosome and release their mRNA cargo into the cytoplasm, where the mRNA can be translated. Any mRNA and LNP components that do not escape the endosome are typically delivered to lysosomes where they are degraded by the natural process of cellular digestion.</w:t>
      </w:r>
    </w:p>
    <w:p>
      <w:pPr>
        <w:spacing w:after="0" w:line="113" w:lineRule="exact"/>
        <w:rPr>
          <w:sz w:val="20"/>
          <w:szCs w:val="20"/>
          <w:color w:val="auto"/>
        </w:rPr>
      </w:pPr>
    </w:p>
    <w:p>
      <w:pPr>
        <w:ind w:left="1260" w:right="479" w:firstLine="648"/>
        <w:spacing w:after="0" w:line="259" w:lineRule="auto"/>
        <w:rPr>
          <w:sz w:val="20"/>
          <w:szCs w:val="20"/>
          <w:color w:val="auto"/>
        </w:rPr>
      </w:pPr>
      <w:r>
        <w:rPr>
          <w:rFonts w:ascii="Arial" w:cs="Arial" w:eastAsia="Arial" w:hAnsi="Arial"/>
          <w:sz w:val="17"/>
          <w:szCs w:val="17"/>
          <w:color w:val="auto"/>
        </w:rPr>
        <w:t>The properties of each LNP system can be customized based on altering each component or overall composition. All of the LNPs we employ in our projects are designed to be biodegradable. We have extensively tested over 40 different delivery solutions and have selected the ones we use based on comparative data for the most efficient LNPs available from third parties for licensure. Having access to these technologies enables us to develop fast powerful solutions for vaccines and protein therapy.</w:t>
      </w:r>
    </w:p>
    <w:p>
      <w:pPr>
        <w:spacing w:after="0" w:line="106" w:lineRule="exact"/>
        <w:rPr>
          <w:sz w:val="20"/>
          <w:szCs w:val="20"/>
          <w:color w:val="auto"/>
        </w:rPr>
      </w:pPr>
    </w:p>
    <w:p>
      <w:pPr>
        <w:ind w:left="1260" w:right="479" w:firstLine="648"/>
        <w:spacing w:after="0"/>
        <w:rPr>
          <w:sz w:val="20"/>
          <w:szCs w:val="20"/>
          <w:color w:val="auto"/>
        </w:rPr>
      </w:pPr>
      <w:r>
        <w:rPr>
          <w:rFonts w:ascii="Arial" w:cs="Arial" w:eastAsia="Arial" w:hAnsi="Arial"/>
          <w:sz w:val="18"/>
          <w:szCs w:val="18"/>
          <w:color w:val="auto"/>
        </w:rPr>
        <w:t>Besides the licensed LNP technology from our partners, we are also developing our own LNP technology. We have established two ionizable lipid families and are developing those LNPs for application in local vaccination and systemic delivery to the liver. For local vaccination in skin and muscle, we are currently conducting a systematic screening of LNP components and compositions, optimized exactly for this route. Those adjusted LNP formulations incorporating our own lipids helped to raise significant levels of immune response in epitope based vaccinations.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86360</wp:posOffset>
            </wp:positionV>
            <wp:extent cx="5203190" cy="22885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20319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260" w:right="419" w:firstLine="648"/>
        <w:spacing w:after="0" w:line="257" w:lineRule="auto"/>
        <w:rPr>
          <w:sz w:val="20"/>
          <w:szCs w:val="20"/>
          <w:color w:val="auto"/>
        </w:rPr>
      </w:pPr>
      <w:r>
        <w:rPr>
          <w:rFonts w:ascii="Arial" w:cs="Arial" w:eastAsia="Arial" w:hAnsi="Arial"/>
          <w:sz w:val="17"/>
          <w:szCs w:val="17"/>
          <w:color w:val="auto"/>
        </w:rPr>
        <w:t>The graphs above demonstrate the induction of antigen-specific T cell responses after intradermal vaccination of mice with LNP-formulated mRNA encoding for selected neoepitopes. Animals vaccinated with LNP-formulated mRNA encoding reporter protein served as negative controls. Stimulation of splenocytes harvested 7 days post last vaccination with respective peptides demonstrated strong induction of antigen specific T cells in enzyme- linked immune absorbent spot, or Elispot, (depicted in the left hand graph) and Fluorescence-activated cell sorting, or FACs analysis (depicted in the right hand graph).</w:t>
      </w:r>
    </w:p>
    <w:p>
      <w:pPr>
        <w:spacing w:after="0" w:line="175"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CureVac Carrier Molecule or CVCM Delivery Technology</w:t>
      </w:r>
    </w:p>
    <w:p>
      <w:pPr>
        <w:spacing w:after="0" w:line="144" w:lineRule="exact"/>
        <w:rPr>
          <w:sz w:val="20"/>
          <w:szCs w:val="20"/>
          <w:color w:val="auto"/>
        </w:rPr>
      </w:pPr>
    </w:p>
    <w:p>
      <w:pPr>
        <w:ind w:left="1260" w:right="899" w:firstLine="648"/>
        <w:spacing w:after="0" w:line="291" w:lineRule="auto"/>
        <w:rPr>
          <w:sz w:val="20"/>
          <w:szCs w:val="20"/>
          <w:color w:val="auto"/>
        </w:rPr>
      </w:pPr>
      <w:r>
        <w:rPr>
          <w:rFonts w:ascii="Arial" w:cs="Arial" w:eastAsia="Arial" w:hAnsi="Arial"/>
          <w:sz w:val="17"/>
          <w:szCs w:val="17"/>
          <w:color w:val="auto"/>
        </w:rPr>
        <w:t>Our proprietary CVCM delivery technology is a polymer based approach for local delivery of mRNA medicines to selected tissues. CVCMs are uptaken via endocytosis and at lower pH during the</w:t>
      </w:r>
    </w:p>
    <w:p>
      <w:pPr>
        <w:sectPr>
          <w:pgSz w:w="11900" w:h="16838" w:orient="portrait"/>
          <w:cols w:equalWidth="0" w:num="1">
            <w:col w:w="9879"/>
          </w:cols>
          <w:pgMar w:left="580" w:top="131" w:right="1440" w:bottom="1440" w:gutter="0" w:footer="0" w:header="0"/>
        </w:sectPr>
      </w:pP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51" w:name="page152"/>
    <w:bookmarkEnd w:id="1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59" w:lineRule="auto"/>
        <w:rPr>
          <w:sz w:val="20"/>
          <w:szCs w:val="20"/>
          <w:color w:val="auto"/>
        </w:rPr>
      </w:pPr>
      <w:r>
        <w:rPr>
          <w:rFonts w:ascii="Arial" w:cs="Arial" w:eastAsia="Arial" w:hAnsi="Arial"/>
          <w:sz w:val="18"/>
          <w:szCs w:val="18"/>
          <w:color w:val="auto"/>
        </w:rPr>
        <w:t>trafficking, the core peptide and the lipids get protonated. The lipids are then released from the CVCM particles and are inserted into the endosomal membrane, thereby disrupting the membrane. Within the reducing environment of the cytosol, the CVCMs get destabilized and broken down into its components, resulting in mRNA being efficiently released.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 believe the CVCM delivery technology offers the following key advantages:</w:t>
      </w:r>
    </w:p>
    <w:p>
      <w:pPr>
        <w:spacing w:after="0" w:line="117" w:lineRule="exact"/>
        <w:rPr>
          <w:sz w:val="20"/>
          <w:szCs w:val="20"/>
          <w:color w:val="auto"/>
        </w:rPr>
      </w:pPr>
    </w:p>
    <w:p>
      <w:pPr>
        <w:ind w:left="2260" w:right="579" w:hanging="352"/>
        <w:spacing w:after="0" w:line="259" w:lineRule="auto"/>
        <w:tabs>
          <w:tab w:leader="none" w:pos="226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 xml:space="preserve">Stability: </w:t>
      </w:r>
      <w:r>
        <w:rPr>
          <w:rFonts w:ascii="Arial" w:cs="Arial" w:eastAsia="Arial" w:hAnsi="Arial"/>
          <w:sz w:val="18"/>
          <w:szCs w:val="18"/>
          <w:color w:val="auto"/>
        </w:rPr>
        <w:t>CVCM formulation confers physicochemical stability by design and generates very</w:t>
      </w:r>
      <w:r>
        <w:rPr>
          <w:rFonts w:ascii="Arial" w:cs="Arial" w:eastAsia="Arial" w:hAnsi="Arial"/>
          <w:sz w:val="18"/>
          <w:szCs w:val="18"/>
          <w:i w:val="1"/>
          <w:iCs w:val="1"/>
          <w:color w:val="auto"/>
        </w:rPr>
        <w:t xml:space="preserve"> </w:t>
      </w:r>
      <w:r>
        <w:rPr>
          <w:rFonts w:ascii="Arial" w:cs="Arial" w:eastAsia="Arial" w:hAnsi="Arial"/>
          <w:sz w:val="18"/>
          <w:szCs w:val="18"/>
          <w:color w:val="auto"/>
        </w:rPr>
        <w:t>stable complexes that can survive physical stress. CVCMs can be effectively spray dried, lyophilized, or nebulized, enabling formulation methods that are difficult to achieve with LNPs.</w:t>
      </w:r>
    </w:p>
    <w:p>
      <w:pPr>
        <w:spacing w:after="0" w:line="92" w:lineRule="exact"/>
        <w:rPr>
          <w:rFonts w:ascii="Arial" w:cs="Arial" w:eastAsia="Arial" w:hAnsi="Arial"/>
          <w:sz w:val="18"/>
          <w:szCs w:val="18"/>
          <w:color w:val="auto"/>
        </w:rPr>
      </w:pPr>
    </w:p>
    <w:p>
      <w:pPr>
        <w:ind w:left="2260" w:right="879" w:hanging="352"/>
        <w:spacing w:after="0" w:line="259" w:lineRule="auto"/>
        <w:tabs>
          <w:tab w:leader="none" w:pos="226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 xml:space="preserve">Degradation and Excretion: </w:t>
      </w:r>
      <w:r>
        <w:rPr>
          <w:rFonts w:ascii="Arial" w:cs="Arial" w:eastAsia="Arial" w:hAnsi="Arial"/>
          <w:sz w:val="18"/>
          <w:szCs w:val="18"/>
          <w:color w:val="auto"/>
        </w:rPr>
        <w:t>The human body handles the degradation and excretion of</w:t>
      </w:r>
      <w:r>
        <w:rPr>
          <w:rFonts w:ascii="Arial" w:cs="Arial" w:eastAsia="Arial" w:hAnsi="Arial"/>
          <w:sz w:val="18"/>
          <w:szCs w:val="18"/>
          <w:i w:val="1"/>
          <w:iCs w:val="1"/>
          <w:color w:val="auto"/>
        </w:rPr>
        <w:t xml:space="preserve"> </w:t>
      </w:r>
      <w:r>
        <w:rPr>
          <w:rFonts w:ascii="Arial" w:cs="Arial" w:eastAsia="Arial" w:hAnsi="Arial"/>
          <w:sz w:val="18"/>
          <w:szCs w:val="18"/>
          <w:color w:val="auto"/>
        </w:rPr>
        <w:t>hydrophilic materials very well, without any accumulation in lipid membranes. CVCM polymer is designed and equipped with intrinsic degradation mechanism that enables fast decomposition in the cytosol of cells.</w:t>
      </w:r>
    </w:p>
    <w:p>
      <w:pPr>
        <w:spacing w:after="0" w:line="105" w:lineRule="exact"/>
        <w:rPr>
          <w:rFonts w:ascii="Arial" w:cs="Arial" w:eastAsia="Arial" w:hAnsi="Arial"/>
          <w:sz w:val="18"/>
          <w:szCs w:val="18"/>
          <w:color w:val="auto"/>
        </w:rPr>
      </w:pPr>
    </w:p>
    <w:p>
      <w:pPr>
        <w:jc w:val="both"/>
        <w:ind w:left="2260" w:right="439" w:hanging="352"/>
        <w:spacing w:after="0" w:line="271" w:lineRule="auto"/>
        <w:tabs>
          <w:tab w:leader="none" w:pos="2260" w:val="left"/>
        </w:tabs>
        <w:numPr>
          <w:ilvl w:val="0"/>
          <w:numId w:val="94"/>
        </w:numPr>
        <w:rPr>
          <w:rFonts w:ascii="Arial" w:cs="Arial" w:eastAsia="Arial" w:hAnsi="Arial"/>
          <w:sz w:val="17"/>
          <w:szCs w:val="17"/>
          <w:color w:val="auto"/>
        </w:rPr>
      </w:pPr>
      <w:r>
        <w:rPr>
          <w:rFonts w:ascii="Arial" w:cs="Arial" w:eastAsia="Arial" w:hAnsi="Arial"/>
          <w:sz w:val="17"/>
          <w:szCs w:val="17"/>
          <w:i w:val="1"/>
          <w:iCs w:val="1"/>
          <w:color w:val="auto"/>
        </w:rPr>
        <w:t xml:space="preserve">Tolerability: </w:t>
      </w:r>
      <w:r>
        <w:rPr>
          <w:rFonts w:ascii="Arial" w:cs="Arial" w:eastAsia="Arial" w:hAnsi="Arial"/>
          <w:sz w:val="17"/>
          <w:szCs w:val="17"/>
          <w:color w:val="auto"/>
        </w:rPr>
        <w:t>The human body tolerates polymers very well due to the fact that polymers do not</w:t>
      </w:r>
      <w:r>
        <w:rPr>
          <w:rFonts w:ascii="Arial" w:cs="Arial" w:eastAsia="Arial" w:hAnsi="Arial"/>
          <w:sz w:val="17"/>
          <w:szCs w:val="17"/>
          <w:i w:val="1"/>
          <w:iCs w:val="1"/>
          <w:color w:val="auto"/>
        </w:rPr>
        <w:t xml:space="preserve"> </w:t>
      </w:r>
      <w:r>
        <w:rPr>
          <w:rFonts w:ascii="Arial" w:cs="Arial" w:eastAsia="Arial" w:hAnsi="Arial"/>
          <w:sz w:val="17"/>
          <w:szCs w:val="17"/>
          <w:color w:val="auto"/>
        </w:rPr>
        <w:t>disturb the lipid membrane. We have extensively optimized and adapted our CVCM system for mRNA to enable efficient complexation and protection of the mRNA in hostile environments.</w:t>
      </w:r>
    </w:p>
    <w:p>
      <w:pPr>
        <w:ind w:left="2260" w:right="619"/>
        <w:spacing w:after="0" w:line="255" w:lineRule="auto"/>
        <w:rPr>
          <w:rFonts w:ascii="Arial" w:cs="Arial" w:eastAsia="Arial" w:hAnsi="Arial"/>
          <w:sz w:val="17"/>
          <w:szCs w:val="17"/>
          <w:color w:val="auto"/>
        </w:rPr>
      </w:pPr>
      <w:r>
        <w:rPr>
          <w:rFonts w:ascii="Arial" w:cs="Arial" w:eastAsia="Arial" w:hAnsi="Arial"/>
          <w:sz w:val="18"/>
          <w:szCs w:val="18"/>
          <w:color w:val="auto"/>
        </w:rPr>
        <w:t>The excipient to cargo ratio is an important metric that influences the tolerability of delivery systems. For our CVCMs, this excipient to cargo ratio is very low, allowing us to deliver higher amounts of mRNA.</w:t>
      </w:r>
    </w:p>
    <w:p>
      <w:pPr>
        <w:spacing w:after="0" w:line="95" w:lineRule="exact"/>
        <w:rPr>
          <w:rFonts w:ascii="Arial" w:cs="Arial" w:eastAsia="Arial" w:hAnsi="Arial"/>
          <w:sz w:val="17"/>
          <w:szCs w:val="17"/>
          <w:color w:val="auto"/>
        </w:rPr>
      </w:pPr>
    </w:p>
    <w:p>
      <w:pPr>
        <w:ind w:left="2260" w:right="419" w:hanging="352"/>
        <w:spacing w:after="0" w:line="277" w:lineRule="auto"/>
        <w:tabs>
          <w:tab w:leader="none" w:pos="226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 xml:space="preserve">Immunogenicity: </w:t>
      </w:r>
      <w:r>
        <w:rPr>
          <w:rFonts w:ascii="Arial" w:cs="Arial" w:eastAsia="Arial" w:hAnsi="Arial"/>
          <w:sz w:val="18"/>
          <w:szCs w:val="18"/>
          <w:color w:val="auto"/>
        </w:rPr>
        <w:t>Polymeric systems are immunosilent as they do not mimic virus-like particles</w:t>
      </w:r>
      <w:r>
        <w:rPr>
          <w:rFonts w:ascii="Arial" w:cs="Arial" w:eastAsia="Arial" w:hAnsi="Arial"/>
          <w:sz w:val="18"/>
          <w:szCs w:val="18"/>
          <w:i w:val="1"/>
          <w:iCs w:val="1"/>
          <w:color w:val="auto"/>
        </w:rPr>
        <w:t xml:space="preserve"> </w:t>
      </w:r>
      <w:r>
        <w:rPr>
          <w:rFonts w:ascii="Arial" w:cs="Arial" w:eastAsia="Arial" w:hAnsi="Arial"/>
          <w:sz w:val="18"/>
          <w:szCs w:val="18"/>
          <w:color w:val="auto"/>
        </w:rPr>
        <w:t>and do not interact with RNA or lipid sensors.</w:t>
      </w:r>
    </w:p>
    <w:p>
      <w:pPr>
        <w:spacing w:after="0" w:line="75" w:lineRule="exact"/>
        <w:rPr>
          <w:rFonts w:ascii="Arial" w:cs="Arial" w:eastAsia="Arial" w:hAnsi="Arial"/>
          <w:sz w:val="18"/>
          <w:szCs w:val="18"/>
          <w:color w:val="auto"/>
        </w:rPr>
      </w:pPr>
    </w:p>
    <w:p>
      <w:pPr>
        <w:ind w:left="2260" w:right="459" w:hanging="352"/>
        <w:spacing w:after="0" w:line="308" w:lineRule="auto"/>
        <w:tabs>
          <w:tab w:leader="none" w:pos="2260" w:val="left"/>
        </w:tabs>
        <w:numPr>
          <w:ilvl w:val="0"/>
          <w:numId w:val="94"/>
        </w:numPr>
        <w:rPr>
          <w:rFonts w:ascii="Arial" w:cs="Arial" w:eastAsia="Arial" w:hAnsi="Arial"/>
          <w:sz w:val="17"/>
          <w:szCs w:val="17"/>
          <w:color w:val="auto"/>
        </w:rPr>
      </w:pPr>
      <w:r>
        <w:rPr>
          <w:rFonts w:ascii="Arial" w:cs="Arial" w:eastAsia="Arial" w:hAnsi="Arial"/>
          <w:sz w:val="17"/>
          <w:szCs w:val="17"/>
          <w:i w:val="1"/>
          <w:iCs w:val="1"/>
          <w:color w:val="auto"/>
        </w:rPr>
        <w:t xml:space="preserve">Production of mRNA Therapies: </w:t>
      </w:r>
      <w:r>
        <w:rPr>
          <w:rFonts w:ascii="Arial" w:cs="Arial" w:eastAsia="Arial" w:hAnsi="Arial"/>
          <w:sz w:val="17"/>
          <w:szCs w:val="17"/>
          <w:color w:val="auto"/>
        </w:rPr>
        <w:t>Polymeric systems tend to be water soluble and enable a</w:t>
      </w:r>
      <w:r>
        <w:rPr>
          <w:rFonts w:ascii="Arial" w:cs="Arial" w:eastAsia="Arial" w:hAnsi="Arial"/>
          <w:sz w:val="17"/>
          <w:szCs w:val="17"/>
          <w:i w:val="1"/>
          <w:iCs w:val="1"/>
          <w:color w:val="auto"/>
        </w:rPr>
        <w:t xml:space="preserve"> </w:t>
      </w:r>
      <w:r>
        <w:rPr>
          <w:rFonts w:ascii="Arial" w:cs="Arial" w:eastAsia="Arial" w:hAnsi="Arial"/>
          <w:sz w:val="17"/>
          <w:szCs w:val="17"/>
          <w:color w:val="auto"/>
        </w:rPr>
        <w:t>homogeneous mixing with the mRNA, thus allowing for less complicated production methods.</w:t>
      </w:r>
    </w:p>
    <w:p>
      <w:pPr>
        <w:spacing w:after="0" w:line="79" w:lineRule="exact"/>
        <w:rPr>
          <w:sz w:val="20"/>
          <w:szCs w:val="20"/>
          <w:color w:val="auto"/>
        </w:rPr>
      </w:pPr>
    </w:p>
    <w:p>
      <w:pPr>
        <w:ind w:left="1260" w:right="679" w:firstLine="648"/>
        <w:spacing w:after="0" w:line="259" w:lineRule="auto"/>
        <w:rPr>
          <w:sz w:val="20"/>
          <w:szCs w:val="20"/>
          <w:color w:val="auto"/>
        </w:rPr>
      </w:pPr>
      <w:r>
        <w:rPr>
          <w:rFonts w:ascii="Arial" w:cs="Arial" w:eastAsia="Arial" w:hAnsi="Arial"/>
          <w:sz w:val="18"/>
          <w:szCs w:val="18"/>
          <w:color w:val="auto"/>
        </w:rPr>
        <w:t>The combination of low immune stimulatory capacity and high tolerability makes CVCM formulation highly suitable for sensitive tissues like eye (nerve tissue) and lung (immune sensitive). In preclinical models, CVCM technology enabled high protein in eye (nerve tissue) after intravitreal or sub-retinal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101600</wp:posOffset>
            </wp:positionV>
            <wp:extent cx="4937760" cy="22028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937760"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260" w:right="859"/>
        <w:spacing w:after="0" w:line="277" w:lineRule="auto"/>
        <w:rPr>
          <w:sz w:val="20"/>
          <w:szCs w:val="20"/>
          <w:color w:val="auto"/>
        </w:rPr>
      </w:pPr>
      <w:r>
        <w:rPr>
          <w:rFonts w:ascii="Arial" w:cs="Arial" w:eastAsia="Arial" w:hAnsi="Arial"/>
          <w:sz w:val="18"/>
          <w:szCs w:val="18"/>
          <w:i w:val="1"/>
          <w:iCs w:val="1"/>
          <w:color w:val="auto"/>
        </w:rPr>
        <w:t>CVCM nanoparticles mediated protein expression in eye in rats (left panel subretinal injection; middle panel intravitreal injection) and rabbits (right panel intravitreal injection)</w:t>
      </w:r>
    </w:p>
    <w:p>
      <w:pPr>
        <w:spacing w:after="0" w:line="103" w:lineRule="exact"/>
        <w:rPr>
          <w:sz w:val="20"/>
          <w:szCs w:val="20"/>
          <w:color w:val="auto"/>
        </w:rPr>
      </w:pPr>
    </w:p>
    <w:p>
      <w:pPr>
        <w:ind w:left="1260" w:right="559" w:firstLine="648"/>
        <w:spacing w:after="0" w:line="263" w:lineRule="auto"/>
        <w:rPr>
          <w:sz w:val="20"/>
          <w:szCs w:val="20"/>
          <w:color w:val="auto"/>
        </w:rPr>
      </w:pPr>
      <w:r>
        <w:rPr>
          <w:rFonts w:ascii="Arial" w:cs="Arial" w:eastAsia="Arial" w:hAnsi="Arial"/>
          <w:sz w:val="18"/>
          <w:szCs w:val="18"/>
          <w:color w:val="auto"/>
        </w:rPr>
        <w:t>The high physicochemical stability during physical stress is also well suited for the administration of CVCM formulation to the lung via the airway. Enabling an administration as an aerosol or as a dry powder formulation.</w:t>
      </w: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271780</wp:posOffset>
            </wp:positionV>
            <wp:extent cx="680656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52" w:name="page153"/>
    <w:bookmarkEnd w:id="1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537210</wp:posOffset>
            </wp:positionV>
            <wp:extent cx="5212080" cy="26574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21208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CVCM formulated mRNA, encoding Luciferase was delivered, intratracheal using penncentury device.</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Manufacturing Platform</w:t>
      </w:r>
    </w:p>
    <w:p>
      <w:pPr>
        <w:spacing w:after="0" w:line="162" w:lineRule="exact"/>
        <w:rPr>
          <w:sz w:val="20"/>
          <w:szCs w:val="20"/>
          <w:color w:val="auto"/>
        </w:rPr>
      </w:pPr>
    </w:p>
    <w:p>
      <w:pPr>
        <w:ind w:left="1260" w:right="499" w:firstLine="648"/>
        <w:spacing w:after="0" w:line="253" w:lineRule="auto"/>
        <w:rPr>
          <w:sz w:val="20"/>
          <w:szCs w:val="20"/>
          <w:color w:val="auto"/>
        </w:rPr>
      </w:pPr>
      <w:r>
        <w:rPr>
          <w:rFonts w:ascii="Arial" w:cs="Arial" w:eastAsia="Arial" w:hAnsi="Arial"/>
          <w:sz w:val="18"/>
          <w:szCs w:val="18"/>
          <w:color w:val="auto"/>
        </w:rPr>
        <w:t>We are an integrated biopharmaceutical company with in-house manufacturing capabilities and expertise. We consider our manufacturing process an important part of our strategy that allows us to continuously improve our technology platform and maintain flexibility in clinical development. The close interaction of our technical development and research teams enables us to rapidly implement innovations to the manufacturing process and creates a feedback loop between manufacturing and research. Using this feedback loop, we have created processes and analytics. We control the critical steps of manufacturing in-house as well as for the integrated European vaccine manufacturing network that we are currently building up to increase existing manufacturing capacities with highly experienced Contract Development and Manufacturing Organization partners for each of the key manufacturing steps for CVnCoV. Both of which allow us to drive innovation and to maintain flexibility, and in turn allows us to pivot quickly in pandemic settings such as COVID-19.</w:t>
      </w:r>
    </w:p>
    <w:p>
      <w:pPr>
        <w:spacing w:after="0" w:line="111" w:lineRule="exact"/>
        <w:rPr>
          <w:sz w:val="20"/>
          <w:szCs w:val="20"/>
          <w:color w:val="auto"/>
        </w:rPr>
      </w:pPr>
    </w:p>
    <w:p>
      <w:pPr>
        <w:ind w:left="1260" w:right="459" w:firstLine="648"/>
        <w:spacing w:after="0" w:line="254" w:lineRule="auto"/>
        <w:rPr>
          <w:sz w:val="20"/>
          <w:szCs w:val="20"/>
          <w:color w:val="auto"/>
        </w:rPr>
      </w:pPr>
      <w:r>
        <w:rPr>
          <w:rFonts w:ascii="Arial" w:cs="Arial" w:eastAsia="Arial" w:hAnsi="Arial"/>
          <w:sz w:val="18"/>
          <w:szCs w:val="18"/>
          <w:color w:val="auto"/>
        </w:rPr>
        <w:t>All of our mRNA-based active ingredients for various fields of application originate from a common technology platform and are based on identical source materials. This enables us to produce all mRNA therapies using a substantially similar platform process concept. Given the differences in the encoded protein only require alterations of the sequence of the mRNA molecule, leaving its physicochemical characteristics largely unaffected, we can use the same mRNA production strategy applying the same unit operations for diverse products. This allows us to save time and reduce costs compared to other manufacturing processes. Our approach supports a seamless production concept based on our experience and know-how in mRNA manufacturing.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3" w:name="page154"/>
    <w:bookmarkEnd w:id="1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GMP Manufacturing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134620</wp:posOffset>
            </wp:positionV>
            <wp:extent cx="5203190" cy="19202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20319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260" w:right="479" w:firstLine="648"/>
        <w:spacing w:after="0" w:line="279" w:lineRule="auto"/>
        <w:rPr>
          <w:sz w:val="20"/>
          <w:szCs w:val="20"/>
          <w:color w:val="auto"/>
        </w:rPr>
      </w:pPr>
      <w:r>
        <w:rPr>
          <w:rFonts w:ascii="Arial" w:cs="Arial" w:eastAsia="Arial" w:hAnsi="Arial"/>
          <w:sz w:val="17"/>
          <w:szCs w:val="17"/>
          <w:color w:val="auto"/>
        </w:rPr>
        <w:t>We have continued to invest significantly in building and expanding our manufacturing capabilities since 2006. We currently have the capacity to produce late stage clinical trial RNA material and early commercial lots. Since 2006, we have manufactured thousands of mRNA constructs, from high throughput and small amounts for discovery and preclinical development to GMP level of quality.</w:t>
      </w:r>
    </w:p>
    <w:p>
      <w:pPr>
        <w:spacing w:after="0" w:line="90" w:lineRule="exact"/>
        <w:rPr>
          <w:sz w:val="20"/>
          <w:szCs w:val="20"/>
          <w:color w:val="auto"/>
        </w:rPr>
      </w:pPr>
    </w:p>
    <w:p>
      <w:pPr>
        <w:ind w:left="1260" w:right="499" w:firstLine="648"/>
        <w:spacing w:after="0" w:line="268" w:lineRule="auto"/>
        <w:rPr>
          <w:sz w:val="20"/>
          <w:szCs w:val="20"/>
          <w:color w:val="auto"/>
        </w:rPr>
      </w:pPr>
      <w:r>
        <w:rPr>
          <w:rFonts w:ascii="Arial" w:cs="Arial" w:eastAsia="Arial" w:hAnsi="Arial"/>
          <w:sz w:val="17"/>
          <w:szCs w:val="17"/>
          <w:color w:val="auto"/>
        </w:rPr>
        <w:t>We are currently operating three GMP-certified suites. Our GMP I/II facility was designed to run up to 14 different products in parallel, using a lab scale process. The facility covers all steps from starting material pDNA, through mRNA manufacturing to fill and finish. Our GMP I/II facility is dedicated to provide supplies for early clinical development (Phase 1 and 2), with capacity to produce multiple batches per year. In 2019, we expanded our production capacity to meet the increasing demands for clinical studies and future initial commercial supply by adding a GMP III facility. In contrast to the GMP I/II facility, our GMP III facility allows us to achieve additional scale and reduce manufacturing process time. Our GMP III facility focuses on the production of mRNA, and we currently use CMOs for starting material plasmid DNA, or pDNA. We intend to add the formulation step by mid-2021. Our GMP III facility is intended to provide supply for our late-stage clinical studies and initial market supply, and is based on a new scalable process design compared to our GMP I/II facility. We are currently in the process of building a GMP IV facility, which is being designed to cover all manufacturing steps from starting material to formulation, to support our future commercial launches, as shown in the picture below. On November 17, 2020, we announced the build-up of a broad and integrated European vaccine manufacturing network with highly experienced Contract Development and Manufacturing Organization partners for each of the key manufacturing steps for CVnCoV to accelerate the delivery of pandemic-scale vaccine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1880235</wp:posOffset>
            </wp:positionH>
            <wp:positionV relativeFrom="paragraph">
              <wp:posOffset>106045</wp:posOffset>
            </wp:positionV>
            <wp:extent cx="3060065" cy="20485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060065"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900"/>
        <w:spacing w:after="0"/>
        <w:rPr>
          <w:sz w:val="20"/>
          <w:szCs w:val="20"/>
          <w:color w:val="auto"/>
        </w:rPr>
      </w:pPr>
      <w:r>
        <w:rPr>
          <w:rFonts w:ascii="Arial" w:cs="Arial" w:eastAsia="Arial" w:hAnsi="Arial"/>
          <w:sz w:val="18"/>
          <w:szCs w:val="18"/>
          <w:i w:val="1"/>
          <w:iCs w:val="1"/>
          <w:color w:val="auto"/>
        </w:rPr>
        <w:t>GMP IV facility</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4" w:name="page155"/>
    <w:bookmarkEnd w:id="1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 RNA Printer</w:t>
      </w:r>
    </w:p>
    <w:p>
      <w:pPr>
        <w:spacing w:after="0" w:line="158" w:lineRule="exact"/>
        <w:rPr>
          <w:sz w:val="20"/>
          <w:szCs w:val="20"/>
          <w:color w:val="auto"/>
        </w:rPr>
      </w:pPr>
    </w:p>
    <w:p>
      <w:pPr>
        <w:ind w:left="1260" w:right="459" w:firstLine="648"/>
        <w:spacing w:after="0" w:line="253" w:lineRule="auto"/>
        <w:rPr>
          <w:sz w:val="20"/>
          <w:szCs w:val="20"/>
          <w:color w:val="auto"/>
        </w:rPr>
      </w:pPr>
      <w:r>
        <w:rPr>
          <w:rFonts w:ascii="Arial" w:cs="Arial" w:eastAsia="Arial" w:hAnsi="Arial"/>
          <w:sz w:val="17"/>
          <w:szCs w:val="17"/>
          <w:color w:val="auto"/>
        </w:rPr>
        <w:t>In addition to our GMP manufacturing facilities, we are currently developing a new automated production concept, the RNA Printer. The RNA Printer is a GMP production system that is being designed to downscale the manufacturing process and automate major manufacturing steps. This fully synthetic production process would allow us to have rapid manufacturing of products and offer reproducibility. It will also include automated cleaning and sanitization in place procedures and continuous process validation. Testing and process development of the first RNA Printer prototype is ongoing. We have successfully manufactured a demonstration batch with the first RNA Printer prototype and are developing a second generation prototype. These new prototypes for DNA and RNA production are being designed to cover automated down-and upstream production up to drug substance.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2326005</wp:posOffset>
            </wp:positionH>
            <wp:positionV relativeFrom="paragraph">
              <wp:posOffset>100330</wp:posOffset>
            </wp:positionV>
            <wp:extent cx="2160270" cy="28803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16027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640"/>
        <w:spacing w:after="0"/>
        <w:rPr>
          <w:sz w:val="20"/>
          <w:szCs w:val="20"/>
          <w:color w:val="auto"/>
        </w:rPr>
      </w:pPr>
      <w:r>
        <w:rPr>
          <w:rFonts w:ascii="Arial" w:cs="Arial" w:eastAsia="Arial" w:hAnsi="Arial"/>
          <w:sz w:val="18"/>
          <w:szCs w:val="18"/>
          <w:i w:val="1"/>
          <w:iCs w:val="1"/>
          <w:color w:val="auto"/>
        </w:rPr>
        <w:t>RNA Printer</w:t>
      </w:r>
    </w:p>
    <w:p>
      <w:pPr>
        <w:spacing w:after="0" w:line="158" w:lineRule="exact"/>
        <w:rPr>
          <w:sz w:val="20"/>
          <w:szCs w:val="20"/>
          <w:color w:val="auto"/>
        </w:rPr>
      </w:pPr>
    </w:p>
    <w:p>
      <w:pPr>
        <w:ind w:left="1260" w:right="419" w:firstLine="648"/>
        <w:spacing w:after="0" w:line="239" w:lineRule="auto"/>
        <w:rPr>
          <w:sz w:val="20"/>
          <w:szCs w:val="20"/>
          <w:color w:val="auto"/>
        </w:rPr>
      </w:pPr>
      <w:r>
        <w:rPr>
          <w:rFonts w:ascii="Arial" w:cs="Arial" w:eastAsia="Arial" w:hAnsi="Arial"/>
          <w:sz w:val="18"/>
          <w:szCs w:val="18"/>
          <w:color w:val="auto"/>
        </w:rPr>
        <w:t>The key characteristics of the RNA Printer are rapid throughput, easy operator access to equipment, sophisticated precision control software, and data capture and the small footprint that allows for easy decentralization. With its modular design, it could be used for a rapid first response in outbreak scenarios or even be placed as a stand-alone device for epidemic areas. We view the RNA Printer as complementary to our manufacturing strategy. For example, we expect that the RNA Printer could be deployed to the front lines of pandemic outbreaks complementing our large scale production facilities that can be used to generate supplies to protect the broader population.</w:t>
      </w:r>
    </w:p>
    <w:p>
      <w:pPr>
        <w:spacing w:after="0" w:line="110" w:lineRule="exact"/>
        <w:rPr>
          <w:sz w:val="20"/>
          <w:szCs w:val="20"/>
          <w:color w:val="auto"/>
        </w:rPr>
      </w:pPr>
    </w:p>
    <w:p>
      <w:pPr>
        <w:ind w:left="1260" w:right="439" w:firstLine="648"/>
        <w:spacing w:after="0" w:line="243" w:lineRule="auto"/>
        <w:rPr>
          <w:sz w:val="20"/>
          <w:szCs w:val="20"/>
          <w:color w:val="auto"/>
        </w:rPr>
      </w:pPr>
      <w:r>
        <w:rPr>
          <w:rFonts w:ascii="Arial" w:cs="Arial" w:eastAsia="Arial" w:hAnsi="Arial"/>
          <w:sz w:val="18"/>
          <w:szCs w:val="18"/>
          <w:color w:val="auto"/>
        </w:rPr>
        <w:t>Our vision is to have a flexible, mobile and automated end-to- end solution for the different fields of application. Our objective is to cover the entire production stream and we believe efficient accompanying analytics will help to rapidly produce high quality material. All data generated during production would be collected to further improve production processes and product development.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Approach to Disease Selection</w:t>
      </w:r>
    </w:p>
    <w:p>
      <w:pPr>
        <w:spacing w:after="0" w:line="162" w:lineRule="exact"/>
        <w:rPr>
          <w:sz w:val="20"/>
          <w:szCs w:val="20"/>
          <w:color w:val="auto"/>
        </w:rPr>
      </w:pPr>
    </w:p>
    <w:p>
      <w:pPr>
        <w:ind w:left="1260" w:right="439" w:firstLine="648"/>
        <w:spacing w:after="0" w:line="243" w:lineRule="auto"/>
        <w:rPr>
          <w:sz w:val="20"/>
          <w:szCs w:val="20"/>
          <w:color w:val="auto"/>
        </w:rPr>
      </w:pPr>
      <w:r>
        <w:rPr>
          <w:rFonts w:ascii="Arial" w:cs="Arial" w:eastAsia="Arial" w:hAnsi="Arial"/>
          <w:sz w:val="18"/>
          <w:szCs w:val="18"/>
          <w:color w:val="auto"/>
        </w:rPr>
        <w:t>Our approach seeks to mitigate risk across multiple levels to advance and expand our broad product portfolio. While mRNA is still an emerging treatment modality, we believe that we have made advances towards utilizing the potential of our technology platform through rational disease selection. Our approach for selecting new programs is based on the following key factors:</w:t>
      </w:r>
    </w:p>
    <w:p>
      <w:pPr>
        <w:spacing w:after="0" w:line="80" w:lineRule="exact"/>
        <w:rPr>
          <w:sz w:val="20"/>
          <w:szCs w:val="20"/>
          <w:color w:val="auto"/>
        </w:rPr>
      </w:pPr>
    </w:p>
    <w:p>
      <w:pPr>
        <w:ind w:left="2260" w:right="799" w:hanging="352"/>
        <w:spacing w:after="0" w:line="277" w:lineRule="auto"/>
        <w:tabs>
          <w:tab w:leader="none" w:pos="22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Target diseases with high unmet medical needs that are not effectively addressed using the current standard of care.</w:t>
      </w:r>
    </w:p>
    <w:p>
      <w:pPr>
        <w:spacing w:after="0" w:line="34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5" w:name="page156"/>
    <w:bookmarkEnd w:id="1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60" w:right="499" w:hanging="352"/>
        <w:spacing w:after="0" w:line="277" w:lineRule="auto"/>
        <w:tabs>
          <w:tab w:leader="none" w:pos="22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Target areas where the underlying mode of action of the disease is understood or hypothesized which allows us to identify the required protein(s) or antigen(s).</w:t>
      </w:r>
    </w:p>
    <w:p>
      <w:pPr>
        <w:spacing w:after="0" w:line="75" w:lineRule="exact"/>
        <w:rPr>
          <w:rFonts w:ascii="Arial" w:cs="Arial" w:eastAsia="Arial" w:hAnsi="Arial"/>
          <w:sz w:val="18"/>
          <w:szCs w:val="18"/>
          <w:color w:val="auto"/>
        </w:rPr>
      </w:pPr>
    </w:p>
    <w:p>
      <w:pPr>
        <w:ind w:left="2260" w:right="439" w:hanging="352"/>
        <w:spacing w:after="0" w:line="277" w:lineRule="auto"/>
        <w:tabs>
          <w:tab w:leader="none" w:pos="22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Identify areas where mRNA therapies have potential to have differentiated profile compared to the conventional treatment modalities.</w:t>
      </w:r>
    </w:p>
    <w:p>
      <w:pPr>
        <w:spacing w:after="0" w:line="62" w:lineRule="exact"/>
        <w:rPr>
          <w:rFonts w:ascii="Arial" w:cs="Arial" w:eastAsia="Arial" w:hAnsi="Arial"/>
          <w:sz w:val="18"/>
          <w:szCs w:val="18"/>
          <w:color w:val="auto"/>
        </w:rPr>
      </w:pPr>
    </w:p>
    <w:p>
      <w:pPr>
        <w:jc w:val="both"/>
        <w:ind w:left="2260" w:right="639" w:hanging="352"/>
        <w:spacing w:after="0" w:line="263" w:lineRule="auto"/>
        <w:tabs>
          <w:tab w:leader="none" w:pos="22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Assess the likelihood of being able to address the disease using our technology platform and seek to continuously improve and expand the capabilities of our platform to address an even broader range of diseases.</w:t>
      </w:r>
    </w:p>
    <w:p>
      <w:pPr>
        <w:spacing w:after="0" w:line="75" w:lineRule="exact"/>
        <w:rPr>
          <w:rFonts w:ascii="Arial" w:cs="Arial" w:eastAsia="Arial" w:hAnsi="Arial"/>
          <w:sz w:val="18"/>
          <w:szCs w:val="18"/>
          <w:color w:val="auto"/>
        </w:rPr>
      </w:pPr>
    </w:p>
    <w:p>
      <w:pPr>
        <w:ind w:left="2260" w:right="539" w:hanging="352"/>
        <w:spacing w:after="0" w:line="308" w:lineRule="auto"/>
        <w:tabs>
          <w:tab w:leader="none" w:pos="22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Seek to build on our deep understanding of mRNA biology, data derived from our technology platform and previous clinical and preclinical studies to apply to new indications.</w:t>
      </w:r>
    </w:p>
    <w:p>
      <w:pPr>
        <w:spacing w:after="0" w:line="79" w:lineRule="exact"/>
        <w:rPr>
          <w:sz w:val="20"/>
          <w:szCs w:val="20"/>
          <w:color w:val="auto"/>
        </w:rPr>
      </w:pPr>
    </w:p>
    <w:p>
      <w:pPr>
        <w:ind w:left="1260" w:right="439" w:firstLine="648"/>
        <w:spacing w:after="0" w:line="268" w:lineRule="auto"/>
        <w:rPr>
          <w:sz w:val="20"/>
          <w:szCs w:val="20"/>
          <w:color w:val="auto"/>
        </w:rPr>
      </w:pPr>
      <w:r>
        <w:rPr>
          <w:rFonts w:ascii="Arial" w:cs="Arial" w:eastAsia="Arial" w:hAnsi="Arial"/>
          <w:sz w:val="17"/>
          <w:szCs w:val="17"/>
          <w:color w:val="auto"/>
        </w:rPr>
        <w:t>In building our product portfolio, we have considered a number of factors including immune response, duration of expression, dosing requirements, delivery technology, target tissue type, potential for responsiveness to mRNA-based medicine, and target disease profile, among other factors. A disease indication may require a mRNA-based medicine that triggers an immune response, or that is immune active, or a mRNA-based medicine that requires no immune activation, or that is immune silent. Each of the disease indications that we are targeting require different levels of immune activation for the mRNA-based medicine to be effective. Our approach is to initially target indications that require an immune active approach (such as prophylactic vaccines), given the need for lower doses and transient expression of the antigen. These initial indications are amenable to localized delivery using an LNP delivery system. Following the proof of concept observed in preclinical studies from our prophylactic vaccines program and our advanced understanding of mRNA biology and immune stimulation modulation, we have expanded our product portfolio to target indications that require an immune silent approach (such as protein delivery). Targeting diseases amenable to the immune silent approach requires higher doses and longer expression of the protein, with potential for long-term repeat dosing for chronic diseases. By using both LNP and our proprietary CVCM delivery systems, we are able to address a broad range of target tissue 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99060</wp:posOffset>
            </wp:positionV>
            <wp:extent cx="5109210" cy="22542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09210"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We are able to explore the full potential of mRNA product candidates via two main approaches:</w:t>
      </w:r>
    </w:p>
    <w:p>
      <w:pPr>
        <w:spacing w:after="0" w:line="142" w:lineRule="exact"/>
        <w:rPr>
          <w:sz w:val="20"/>
          <w:szCs w:val="20"/>
          <w:color w:val="auto"/>
        </w:rPr>
      </w:pPr>
    </w:p>
    <w:p>
      <w:pPr>
        <w:ind w:left="2260" w:right="459" w:hanging="352"/>
        <w:spacing w:after="0" w:line="270" w:lineRule="auto"/>
        <w:tabs>
          <w:tab w:leader="none" w:pos="2260" w:val="left"/>
        </w:tabs>
        <w:numPr>
          <w:ilvl w:val="0"/>
          <w:numId w:val="9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Immune active. </w:t>
      </w:r>
      <w:r>
        <w:rPr>
          <w:rFonts w:ascii="Arial" w:cs="Arial" w:eastAsia="Arial" w:hAnsi="Arial"/>
          <w:sz w:val="17"/>
          <w:szCs w:val="17"/>
          <w:color w:val="auto"/>
        </w:rPr>
        <w:t>For indications that require immune stimulation such as prophylactic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therapeutic vaccines, our technology optimizes the combination of mRNA molecules encoding specific antigens and selected delivery modalities to provide the desired immunostimulatory capacity. This allows us to design vaccines with high immunogenic effect. The goal is to induce an immune response against the encoded antigen. The mRNA is taken up by cells, including dendritic cells, at the injection site. Expressed antigens are then presented to the adaptive immune system leading to selective activation of T cells and B cells that recognize these antigens. These activated adaptive immune cells can then recognize and attack similar antigens that are found on tumors or pathogens.</w:t>
      </w:r>
    </w:p>
    <w:p>
      <w:pPr>
        <w:sectPr>
          <w:pgSz w:w="11900" w:h="16838" w:orient="portrait"/>
          <w:cols w:equalWidth="0" w:num="1">
            <w:col w:w="9879"/>
          </w:cols>
          <w:pgMar w:left="580" w:top="132" w:right="1440" w:bottom="1440" w:gutter="0" w:footer="0" w:header="0"/>
        </w:sectPr>
      </w:pPr>
    </w:p>
    <w:p>
      <w:pPr>
        <w:spacing w:after="0" w:line="35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6" w:name="page157"/>
    <w:bookmarkEnd w:id="1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60" w:right="459" w:hanging="352"/>
        <w:spacing w:after="0" w:line="257" w:lineRule="auto"/>
        <w:tabs>
          <w:tab w:leader="none" w:pos="2260" w:val="left"/>
        </w:tabs>
        <w:numPr>
          <w:ilvl w:val="0"/>
          <w:numId w:val="9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Immune silent. </w:t>
      </w:r>
      <w:r>
        <w:rPr>
          <w:rFonts w:ascii="Arial" w:cs="Arial" w:eastAsia="Arial" w:hAnsi="Arial"/>
          <w:sz w:val="18"/>
          <w:szCs w:val="18"/>
          <w:color w:val="auto"/>
        </w:rPr>
        <w:t>For indications that require no immune stimulation such as protein delivery,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technology can also design product candidates to be immuno-silent and to express encoded proteins over an extended period of time. These product candidates can be expressed either locally (eye or lung) or systemically, using the liver as a bioreactor for production of the therapeutic proteins (enzymes and antibodies).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Oncology</w:t>
      </w:r>
    </w:p>
    <w:p>
      <w:pPr>
        <w:spacing w:after="0" w:line="158" w:lineRule="exact"/>
        <w:rPr>
          <w:sz w:val="20"/>
          <w:szCs w:val="20"/>
          <w:color w:val="auto"/>
        </w:rPr>
      </w:pPr>
    </w:p>
    <w:p>
      <w:pPr>
        <w:ind w:left="1260" w:right="599" w:firstLine="648"/>
        <w:spacing w:after="0" w:line="248" w:lineRule="auto"/>
        <w:rPr>
          <w:sz w:val="20"/>
          <w:szCs w:val="20"/>
          <w:color w:val="auto"/>
        </w:rPr>
      </w:pPr>
      <w:r>
        <w:rPr>
          <w:rFonts w:ascii="Arial" w:cs="Arial" w:eastAsia="Arial" w:hAnsi="Arial"/>
          <w:sz w:val="18"/>
          <w:szCs w:val="18"/>
          <w:color w:val="auto"/>
        </w:rPr>
        <w:t>mRNA is a versatile platform for cancer vaccine development allowing to encode a wide range of antigens from full length tumor associated antigens to neoepitopes. We are taking multiple approaches in oncology to induce tumor specific immune responses in patients:</w:t>
      </w:r>
    </w:p>
    <w:p>
      <w:pPr>
        <w:spacing w:after="0" w:line="74" w:lineRule="exact"/>
        <w:rPr>
          <w:sz w:val="20"/>
          <w:szCs w:val="20"/>
          <w:color w:val="auto"/>
        </w:rPr>
      </w:pPr>
    </w:p>
    <w:p>
      <w:pPr>
        <w:ind w:left="2260" w:right="479" w:hanging="352"/>
        <w:spacing w:after="0" w:line="272" w:lineRule="auto"/>
        <w:tabs>
          <w:tab w:leader="none" w:pos="2260" w:val="left"/>
        </w:tabs>
        <w:numPr>
          <w:ilvl w:val="0"/>
          <w:numId w:val="9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Intratumoral therapy: </w:t>
      </w:r>
      <w:r>
        <w:rPr>
          <w:rFonts w:ascii="Arial" w:cs="Arial" w:eastAsia="Arial" w:hAnsi="Arial"/>
          <w:sz w:val="17"/>
          <w:szCs w:val="17"/>
          <w:color w:val="auto"/>
        </w:rPr>
        <w:t>Intratumoral injection of immunostimulating agents into tumors is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alternative to classic vaccination to induce a therapeutic immune response. High concentration of such agents can be achieved by local administration in the tumor tissue with little systemic side effects. Intratumoral immunotherapy activates antigen-presenting cells in the tumor environment and draining lymph nodes to present a broad panel of antigens expressed by the tumor to T and B cells and induce a systemic immune response against the injected tumor as well as non-injected metastatic lesions (abscopal effect).</w:t>
      </w:r>
    </w:p>
    <w:p>
      <w:pPr>
        <w:spacing w:after="0" w:line="96" w:lineRule="exact"/>
        <w:rPr>
          <w:sz w:val="20"/>
          <w:szCs w:val="20"/>
          <w:color w:val="auto"/>
        </w:rPr>
      </w:pPr>
    </w:p>
    <w:p>
      <w:pPr>
        <w:ind w:left="2240" w:right="419"/>
        <w:spacing w:after="0" w:line="269" w:lineRule="auto"/>
        <w:rPr>
          <w:sz w:val="20"/>
          <w:szCs w:val="20"/>
          <w:color w:val="auto"/>
        </w:rPr>
      </w:pPr>
      <w:r>
        <w:rPr>
          <w:rFonts w:ascii="Arial" w:cs="Arial" w:eastAsia="Arial" w:hAnsi="Arial"/>
          <w:sz w:val="17"/>
          <w:szCs w:val="17"/>
          <w:color w:val="auto"/>
        </w:rPr>
        <w:t>Our lead oncology product candidate, CV8102, is based on a complex of single stranded non-coding RNA with a polymeric peptide carrier which has been shown to activate the TLR7, TLR8, and RIG-I pathways. These pathways activate the innate immune system upon detection of RNA molecule. We are currently evaluating CV8102 in a Phase 1 clinical trial for the treatment of four types of solid tumors. We are also investigating mRNAs encoding immunostimulating proteins for intratumoral therapy. We have shown in several animal models that intratumoral injection of mRNA encoding immunostimulating proteins, such as cytokines, can induce regression of the injected tumors and prolong survival of the animals. We are testing different mRNA constructs and formulations in preclinical studies to achieve optimal expression of proteins in the tumor. We are also exploring combinations of mRNA encoding different immunostimulating proteins in order to demonstrate optimal therapeutic level in tumor models that are refractory to immunotherapies like anti-PD-1 agents.</w:t>
      </w:r>
    </w:p>
    <w:p>
      <w:pPr>
        <w:spacing w:after="0" w:line="71" w:lineRule="exact"/>
        <w:rPr>
          <w:sz w:val="20"/>
          <w:szCs w:val="20"/>
          <w:color w:val="auto"/>
        </w:rPr>
      </w:pPr>
    </w:p>
    <w:p>
      <w:pPr>
        <w:ind w:left="2260" w:right="439" w:hanging="352"/>
        <w:spacing w:after="0" w:line="273" w:lineRule="auto"/>
        <w:tabs>
          <w:tab w:leader="none" w:pos="2260" w:val="left"/>
        </w:tabs>
        <w:numPr>
          <w:ilvl w:val="0"/>
          <w:numId w:val="10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Novel cancer vaccines: </w:t>
      </w:r>
      <w:r>
        <w:rPr>
          <w:rFonts w:ascii="Arial" w:cs="Arial" w:eastAsia="Arial" w:hAnsi="Arial"/>
          <w:sz w:val="17"/>
          <w:szCs w:val="17"/>
          <w:color w:val="auto"/>
        </w:rPr>
        <w:t>We are also working on discovery of novel vaccines against tumor-associated antigens, which are antigens that are overexpressed in tumor tissues with no or little expression on healthy tissues, using our LNP formulations. It is known that these antigens are often less immunogenic than neoantigens and require optimized design to improve their presentation to immune cells as well vaccine formulation with strong immunostimulating properties (vaccine adjuvant effect) to enable the induction of relevant immune responses.</w:t>
      </w:r>
    </w:p>
    <w:p>
      <w:pPr>
        <w:spacing w:after="0" w:line="97" w:lineRule="exact"/>
        <w:rPr>
          <w:sz w:val="20"/>
          <w:szCs w:val="20"/>
          <w:color w:val="auto"/>
        </w:rPr>
      </w:pPr>
    </w:p>
    <w:p>
      <w:pPr>
        <w:ind w:left="2240" w:right="459"/>
        <w:spacing w:after="0" w:line="269" w:lineRule="auto"/>
        <w:rPr>
          <w:sz w:val="20"/>
          <w:szCs w:val="20"/>
          <w:color w:val="auto"/>
        </w:rPr>
      </w:pPr>
      <w:r>
        <w:rPr>
          <w:rFonts w:ascii="Arial" w:cs="Arial" w:eastAsia="Arial" w:hAnsi="Arial"/>
          <w:sz w:val="17"/>
          <w:szCs w:val="17"/>
          <w:color w:val="auto"/>
        </w:rPr>
        <w:t>We have demonstrated in a preclinical model that an optimized LNP formulated mRNA vaccine, encoding a TAA, that is also a self-antigen, can induce cellular and anti-tumoral immune responses and single agent therapeutic activity. These immune responses led to single agent therapeutic effect in the B16F10 tumor model that does not respond to anti-PD-1 antibodies alone. The therapeutic effect of the vaccine was further enhanced by concomitant systemic anti-PD-1 antibody treatment. Based on these encouraging data, we are developing vaccine candidates targeting tumor associated antigens for different indications. We aim to focus on indications and settings with a high medical need showing a low response rate to anti-PD-1 antibodies alone or indications with minimal residual disease after standard of care surgery (adjuvant setting) and aim to use the vaccines to prevent cancer relapse.</w:t>
      </w:r>
    </w:p>
    <w:p>
      <w:pPr>
        <w:spacing w:after="0" w:line="104" w:lineRule="exact"/>
        <w:rPr>
          <w:sz w:val="20"/>
          <w:szCs w:val="20"/>
          <w:color w:val="auto"/>
        </w:rPr>
      </w:pPr>
    </w:p>
    <w:p>
      <w:pPr>
        <w:ind w:left="2240" w:right="799"/>
        <w:spacing w:after="0" w:line="263" w:lineRule="auto"/>
        <w:rPr>
          <w:sz w:val="20"/>
          <w:szCs w:val="20"/>
          <w:color w:val="auto"/>
        </w:rPr>
      </w:pPr>
      <w:r>
        <w:rPr>
          <w:rFonts w:ascii="Arial" w:cs="Arial" w:eastAsia="Arial" w:hAnsi="Arial"/>
          <w:sz w:val="18"/>
          <w:szCs w:val="18"/>
          <w:color w:val="auto"/>
        </w:rPr>
        <w:t>We are also developing novel vaccine targeting a number of neoantigens. We have demonstrated that LNP formulated mRNA vaccines encoding are also able to induce T cell responses against model neoantigens.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Prophylactic Vaccines</w:t>
      </w:r>
    </w:p>
    <w:p>
      <w:pPr>
        <w:spacing w:after="0" w:line="158" w:lineRule="exact"/>
        <w:rPr>
          <w:sz w:val="20"/>
          <w:szCs w:val="20"/>
          <w:color w:val="auto"/>
        </w:rPr>
      </w:pPr>
    </w:p>
    <w:p>
      <w:pPr>
        <w:ind w:left="1260" w:right="519" w:firstLine="648"/>
        <w:spacing w:after="0" w:line="324" w:lineRule="auto"/>
        <w:rPr>
          <w:sz w:val="20"/>
          <w:szCs w:val="20"/>
          <w:color w:val="auto"/>
        </w:rPr>
      </w:pPr>
      <w:r>
        <w:rPr>
          <w:rFonts w:ascii="Arial" w:cs="Arial" w:eastAsia="Arial" w:hAnsi="Arial"/>
          <w:sz w:val="16"/>
          <w:szCs w:val="16"/>
          <w:color w:val="auto"/>
        </w:rPr>
        <w:t>Similar to the proteins expressed on cancer cells, infectious disease-related proteins, such as viral surface proteins, specific target for the body’s immune defense system can be expressed by injected mRNA</w:t>
      </w:r>
    </w:p>
    <w:p>
      <w:pPr>
        <w:sectPr>
          <w:pgSz w:w="11900" w:h="16838" w:orient="portrait"/>
          <w:cols w:equalWidth="0" w:num="1">
            <w:col w:w="9879"/>
          </w:cols>
          <w:pgMar w:left="580" w:top="132" w:right="1440" w:bottom="1440" w:gutter="0" w:footer="0" w:header="0"/>
        </w:sectPr>
      </w:pPr>
    </w:p>
    <w:p>
      <w:pPr>
        <w:spacing w:after="0" w:line="30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7" w:name="page158"/>
    <w:bookmarkEnd w:id="15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19"/>
        <w:spacing w:after="0" w:line="243" w:lineRule="auto"/>
        <w:rPr>
          <w:sz w:val="20"/>
          <w:szCs w:val="20"/>
          <w:color w:val="auto"/>
        </w:rPr>
      </w:pPr>
      <w:r>
        <w:rPr>
          <w:rFonts w:ascii="Arial" w:cs="Arial" w:eastAsia="Arial" w:hAnsi="Arial"/>
          <w:sz w:val="18"/>
          <w:szCs w:val="18"/>
          <w:color w:val="auto"/>
        </w:rPr>
        <w:t>and then presented to B-and differentiated T-cells, activating a specific immune response. We believe that our mRNA technology offers a platform for the development and production of prophylactic vaccines against infectious diseases. We believe our mRNA vaccines offer many potential advantages over existing vaccine technologies, including:</w:t>
      </w:r>
    </w:p>
    <w:p>
      <w:pPr>
        <w:spacing w:after="0" w:line="80" w:lineRule="exact"/>
        <w:rPr>
          <w:sz w:val="20"/>
          <w:szCs w:val="20"/>
          <w:color w:val="auto"/>
        </w:rPr>
      </w:pPr>
    </w:p>
    <w:p>
      <w:pPr>
        <w:ind w:left="2260" w:right="439" w:hanging="352"/>
        <w:spacing w:after="0" w:line="277" w:lineRule="auto"/>
        <w:tabs>
          <w:tab w:leader="none" w:pos="22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mRNA vaccines mimic several aspects of a natural viral infection and has the potential to offer improved and balanced immune response.</w:t>
      </w:r>
    </w:p>
    <w:p>
      <w:pPr>
        <w:spacing w:after="0" w:line="62" w:lineRule="exact"/>
        <w:rPr>
          <w:rFonts w:ascii="Arial" w:cs="Arial" w:eastAsia="Arial" w:hAnsi="Arial"/>
          <w:sz w:val="18"/>
          <w:szCs w:val="18"/>
          <w:color w:val="auto"/>
        </w:rPr>
      </w:pPr>
    </w:p>
    <w:p>
      <w:pPr>
        <w:ind w:left="2260" w:right="679" w:hanging="352"/>
        <w:spacing w:after="0" w:line="277" w:lineRule="auto"/>
        <w:tabs>
          <w:tab w:leader="none" w:pos="22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mRNAs allow us to encode for specific protein antigens of choice, offering potential for the development against known and yet unidentified pathogenic threats.</w:t>
      </w:r>
    </w:p>
    <w:p>
      <w:pPr>
        <w:spacing w:after="0" w:line="62" w:lineRule="exact"/>
        <w:rPr>
          <w:rFonts w:ascii="Arial" w:cs="Arial" w:eastAsia="Arial" w:hAnsi="Arial"/>
          <w:sz w:val="18"/>
          <w:szCs w:val="18"/>
          <w:color w:val="auto"/>
        </w:rPr>
      </w:pPr>
    </w:p>
    <w:p>
      <w:pPr>
        <w:ind w:left="2260" w:right="419" w:hanging="352"/>
        <w:spacing w:after="0" w:line="286" w:lineRule="auto"/>
        <w:tabs>
          <w:tab w:leader="none" w:pos="22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mRNAs allow production of multivalent vaccines with the potential to either demonstrate a broader efficacy by including additional target pathogens, or to strengthen potential efficacy by better targeting a specific pathogen, for example by adding of immunogenic epitopes, or both.</w:t>
      </w:r>
    </w:p>
    <w:p>
      <w:pPr>
        <w:spacing w:after="0" w:line="57" w:lineRule="exact"/>
        <w:rPr>
          <w:rFonts w:ascii="Arial" w:cs="Arial" w:eastAsia="Arial" w:hAnsi="Arial"/>
          <w:sz w:val="17"/>
          <w:szCs w:val="17"/>
          <w:color w:val="auto"/>
        </w:rPr>
      </w:pPr>
    </w:p>
    <w:p>
      <w:pPr>
        <w:ind w:left="2260" w:right="419" w:hanging="352"/>
        <w:spacing w:after="0" w:line="263" w:lineRule="auto"/>
        <w:tabs>
          <w:tab w:leader="none" w:pos="22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mRNA vaccines are generally expected to be safer than live or attenuated vaccines since no living virus is injected. As they do not interact with the host-cell DNA, they avoid the potential risk of genomic integration posed by DNA-based vaccines.</w:t>
      </w:r>
    </w:p>
    <w:p>
      <w:pPr>
        <w:spacing w:after="0" w:line="75" w:lineRule="exact"/>
        <w:rPr>
          <w:rFonts w:ascii="Arial" w:cs="Arial" w:eastAsia="Arial" w:hAnsi="Arial"/>
          <w:sz w:val="18"/>
          <w:szCs w:val="18"/>
          <w:color w:val="auto"/>
        </w:rPr>
      </w:pPr>
    </w:p>
    <w:p>
      <w:pPr>
        <w:ind w:left="2260" w:right="1339" w:hanging="352"/>
        <w:spacing w:after="0" w:line="277" w:lineRule="auto"/>
        <w:tabs>
          <w:tab w:leader="none" w:pos="22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mRNA binds to pattern recognition receptors and mRNA vaccines are thereby self-adjuvanting, a property which peptide- and protein-based vaccines lack.</w:t>
      </w:r>
    </w:p>
    <w:p>
      <w:pPr>
        <w:spacing w:after="0" w:line="48" w:lineRule="exact"/>
        <w:rPr>
          <w:rFonts w:ascii="Arial" w:cs="Arial" w:eastAsia="Arial" w:hAnsi="Arial"/>
          <w:sz w:val="18"/>
          <w:szCs w:val="18"/>
          <w:color w:val="auto"/>
        </w:rPr>
      </w:pPr>
    </w:p>
    <w:p>
      <w:pPr>
        <w:ind w:left="2260" w:right="539" w:hanging="352"/>
        <w:spacing w:after="0" w:line="263" w:lineRule="auto"/>
        <w:tabs>
          <w:tab w:leader="none" w:pos="22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Rapid speed of development from knowing the sequence of the virus to progressing programs in clinical development given our ability to produce antigens without dedicated cell cultures and fermentation-based manufacturing processes</w:t>
      </w:r>
      <w:r>
        <w:rPr>
          <w:rFonts w:ascii="Arial" w:cs="Arial" w:eastAsia="Arial" w:hAnsi="Arial"/>
          <w:sz w:val="18"/>
          <w:szCs w:val="18"/>
          <w:i w:val="1"/>
          <w:iCs w:val="1"/>
          <w:color w:val="auto"/>
        </w:rPr>
        <w:t>.</w:t>
      </w:r>
    </w:p>
    <w:p>
      <w:pPr>
        <w:spacing w:after="0" w:line="75" w:lineRule="exact"/>
        <w:rPr>
          <w:rFonts w:ascii="Arial" w:cs="Arial" w:eastAsia="Arial" w:hAnsi="Arial"/>
          <w:sz w:val="18"/>
          <w:szCs w:val="18"/>
          <w:color w:val="auto"/>
        </w:rPr>
      </w:pPr>
    </w:p>
    <w:p>
      <w:pPr>
        <w:ind w:left="2260" w:right="619" w:hanging="352"/>
        <w:spacing w:after="0" w:line="263" w:lineRule="auto"/>
        <w:tabs>
          <w:tab w:leader="none" w:pos="22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Commercial scale production of mRNA is fast, cost-effective and, in contrast to traditional vaccine approaches, does not require cell culture or the use of live pathogens and as a result, multiple vaccines can be produced in the same plant.</w:t>
      </w:r>
    </w:p>
    <w:p>
      <w:pPr>
        <w:spacing w:after="0" w:line="116"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Our current approach to the development of potential prophylactic vaccines is focused on:</w:t>
      </w:r>
    </w:p>
    <w:p>
      <w:pPr>
        <w:spacing w:after="0" w:line="113" w:lineRule="exact"/>
        <w:rPr>
          <w:sz w:val="20"/>
          <w:szCs w:val="20"/>
          <w:color w:val="auto"/>
        </w:rPr>
      </w:pPr>
    </w:p>
    <w:p>
      <w:pPr>
        <w:ind w:left="2260" w:right="459" w:hanging="352"/>
        <w:spacing w:after="0" w:line="254" w:lineRule="auto"/>
        <w:tabs>
          <w:tab w:leader="none" w:pos="226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 xml:space="preserve">CVnCoV for SARS-CoV-2: </w:t>
      </w:r>
      <w:r>
        <w:rPr>
          <w:rFonts w:ascii="Arial" w:cs="Arial" w:eastAsia="Arial" w:hAnsi="Arial"/>
          <w:sz w:val="18"/>
          <w:szCs w:val="18"/>
          <w:color w:val="auto"/>
        </w:rPr>
        <w:t>Our most advanced mRNA vaccine program against SARS-CoV-2</w:t>
      </w:r>
      <w:r>
        <w:rPr>
          <w:rFonts w:ascii="Arial" w:cs="Arial" w:eastAsia="Arial" w:hAnsi="Arial"/>
          <w:sz w:val="18"/>
          <w:szCs w:val="18"/>
          <w:b w:val="1"/>
          <w:bCs w:val="1"/>
          <w:color w:val="auto"/>
        </w:rPr>
        <w:t xml:space="preserve"> </w:t>
      </w:r>
      <w:r>
        <w:rPr>
          <w:rFonts w:ascii="Arial" w:cs="Arial" w:eastAsia="Arial" w:hAnsi="Arial"/>
          <w:sz w:val="18"/>
          <w:szCs w:val="18"/>
          <w:color w:val="auto"/>
        </w:rPr>
        <w:t>is currently being evaluated in Phase 1, Phase 2a and Phase 2b/3 clinical studies. Positive interim data reported for our Phase 1 clinical trial showed that, as of the cutoff date of October 31, 2020, our vaccine candidate induced relevant antibody titers. The quality of the immune responses observed in vaccinated and healthy volunteers was found to be comparable to the immune response identified or detected in convalescent sera taken from recovered COVID-19 patients, thereby closely mimicking the immune response observed after a natural COVID-19 infection.</w:t>
      </w:r>
    </w:p>
    <w:p>
      <w:pPr>
        <w:spacing w:after="0" w:line="87" w:lineRule="exact"/>
        <w:rPr>
          <w:rFonts w:ascii="Arial" w:cs="Arial" w:eastAsia="Arial" w:hAnsi="Arial"/>
          <w:sz w:val="18"/>
          <w:szCs w:val="18"/>
          <w:color w:val="auto"/>
        </w:rPr>
      </w:pPr>
    </w:p>
    <w:p>
      <w:pPr>
        <w:ind w:left="2260" w:right="499" w:hanging="352"/>
        <w:spacing w:after="0" w:line="259" w:lineRule="auto"/>
        <w:tabs>
          <w:tab w:leader="none" w:pos="2260" w:val="left"/>
        </w:tabs>
        <w:numPr>
          <w:ilvl w:val="0"/>
          <w:numId w:val="10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CV7202 for rabies: </w:t>
      </w:r>
      <w:r>
        <w:rPr>
          <w:rFonts w:ascii="Arial" w:cs="Arial" w:eastAsia="Arial" w:hAnsi="Arial"/>
          <w:sz w:val="18"/>
          <w:szCs w:val="18"/>
          <w:color w:val="auto"/>
        </w:rPr>
        <w:t>Our most advanced program, CV7202, is a rabies vaccine candidate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currently in a Phase 1 clinical trial. CV7202 induced adaptive immune response as shown by rabies-specific VNTs above the WHO thresholds considered to be protective, 28 days after the second dose in all subjects, at the lowest 1μg and 2μg dose levels.</w:t>
      </w:r>
    </w:p>
    <w:p>
      <w:pPr>
        <w:spacing w:after="0" w:line="78" w:lineRule="exact"/>
        <w:rPr>
          <w:rFonts w:ascii="Arial" w:cs="Arial" w:eastAsia="Arial" w:hAnsi="Arial"/>
          <w:sz w:val="18"/>
          <w:szCs w:val="18"/>
          <w:color w:val="auto"/>
        </w:rPr>
      </w:pPr>
    </w:p>
    <w:p>
      <w:pPr>
        <w:ind w:left="2260" w:right="419" w:hanging="352"/>
        <w:spacing w:after="0" w:line="275" w:lineRule="auto"/>
        <w:tabs>
          <w:tab w:leader="none" w:pos="2260" w:val="left"/>
        </w:tabs>
        <w:numPr>
          <w:ilvl w:val="0"/>
          <w:numId w:val="10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CV-SSIV for influenza: </w:t>
      </w:r>
      <w:r>
        <w:rPr>
          <w:rFonts w:ascii="Arial" w:cs="Arial" w:eastAsia="Arial" w:hAnsi="Arial"/>
          <w:sz w:val="17"/>
          <w:szCs w:val="17"/>
          <w:color w:val="auto"/>
        </w:rPr>
        <w:t>As part of our influenza program, we have evaluated mRNA-based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influenza vaccines starting with a monovalent influenza vaccine followed by seasonal cocktails based on influenza hemagglutinin, or influenza HA. In preclinical studies, we demonstrated that the multivalent mRNA vaccines induced hemagglutination inhibition, or HI, titers above the accepted threshold for protective immunity in ferrets and non-human primates, or NHPs.</w:t>
      </w:r>
    </w:p>
    <w:p>
      <w:pPr>
        <w:spacing w:after="0" w:line="68" w:lineRule="exact"/>
        <w:rPr>
          <w:rFonts w:ascii="Arial" w:cs="Arial" w:eastAsia="Arial" w:hAnsi="Arial"/>
          <w:sz w:val="17"/>
          <w:szCs w:val="17"/>
          <w:color w:val="auto"/>
        </w:rPr>
      </w:pPr>
    </w:p>
    <w:p>
      <w:pPr>
        <w:ind w:left="2260" w:right="419" w:hanging="352"/>
        <w:spacing w:after="0" w:line="257" w:lineRule="auto"/>
        <w:tabs>
          <w:tab w:leader="none" w:pos="2260" w:val="left"/>
        </w:tabs>
        <w:numPr>
          <w:ilvl w:val="0"/>
          <w:numId w:val="10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Respiratory Syncytial Virus, or RSV vaccine: </w:t>
      </w:r>
      <w:r>
        <w:rPr>
          <w:rFonts w:ascii="Arial" w:cs="Arial" w:eastAsia="Arial" w:hAnsi="Arial"/>
          <w:sz w:val="18"/>
          <w:szCs w:val="18"/>
          <w:color w:val="auto"/>
        </w:rPr>
        <w:t>Our approach for the RSV program is based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delivering mRNAs encoding for the RSV F (fusion) protein. Based 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challenge studies in cotton rat, we have demonstrated that our mRNA vaccines induce high levels of virus neutralizing antibodies, protect animals against RSV infection, without any signs of lung pathology.</w:t>
      </w:r>
    </w:p>
    <w:p>
      <w:pPr>
        <w:spacing w:after="0" w:line="79" w:lineRule="exact"/>
        <w:rPr>
          <w:rFonts w:ascii="Arial" w:cs="Arial" w:eastAsia="Arial" w:hAnsi="Arial"/>
          <w:sz w:val="18"/>
          <w:szCs w:val="18"/>
          <w:color w:val="auto"/>
        </w:rPr>
      </w:pPr>
    </w:p>
    <w:p>
      <w:pPr>
        <w:jc w:val="both"/>
        <w:ind w:left="2260" w:right="639" w:hanging="352"/>
        <w:spacing w:after="0" w:line="263" w:lineRule="auto"/>
        <w:tabs>
          <w:tab w:leader="none" w:pos="2260" w:val="left"/>
        </w:tabs>
        <w:numPr>
          <w:ilvl w:val="0"/>
          <w:numId w:val="10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prophylactic vaccines: </w:t>
      </w:r>
      <w:r>
        <w:rPr>
          <w:rFonts w:ascii="Arial" w:cs="Arial" w:eastAsia="Arial" w:hAnsi="Arial"/>
          <w:sz w:val="18"/>
          <w:szCs w:val="18"/>
          <w:color w:val="auto"/>
        </w:rPr>
        <w:t>In partnership with the Bill &amp; Melinda Gates Foundation, we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developing prophylactic vaccines for prevention of other infectious diseases associated with high mortality in the developing world including malaria and rotavirus.</w:t>
      </w: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8" w:name="page159"/>
    <w:bookmarkEnd w:id="15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Protein Therapy: Deliver mRNA to express the right protein wherever needed</w:t>
      </w:r>
    </w:p>
    <w:p>
      <w:pPr>
        <w:spacing w:after="0" w:line="158" w:lineRule="exact"/>
        <w:rPr>
          <w:sz w:val="20"/>
          <w:szCs w:val="20"/>
          <w:color w:val="auto"/>
        </w:rPr>
      </w:pPr>
    </w:p>
    <w:p>
      <w:pPr>
        <w:ind w:left="1260" w:right="599" w:firstLine="648"/>
        <w:spacing w:after="0" w:line="259" w:lineRule="auto"/>
        <w:rPr>
          <w:sz w:val="20"/>
          <w:szCs w:val="20"/>
          <w:color w:val="auto"/>
        </w:rPr>
      </w:pPr>
      <w:r>
        <w:rPr>
          <w:rFonts w:ascii="Arial" w:cs="Arial" w:eastAsia="Arial" w:hAnsi="Arial"/>
          <w:sz w:val="17"/>
          <w:szCs w:val="17"/>
          <w:color w:val="auto"/>
        </w:rPr>
        <w:t>We are seeking to optimize mRNA molecules to trigger production of antibodies. Our antibody work has potential to protect against viruses and toxins and can be applied in many disease indications including cancer, cardiovascular diseases, infectious diseases and autoimmune diseases. In preclinical studies in non- human primates, we have demonstrated that antibodies encoded by mRNA can be produced in hepatocytes very rapidly and can reach in the blood stream at relevant therapeutic levels.</w:t>
      </w:r>
    </w:p>
    <w:p>
      <w:pPr>
        <w:spacing w:after="0" w:line="106" w:lineRule="exact"/>
        <w:rPr>
          <w:sz w:val="20"/>
          <w:szCs w:val="20"/>
          <w:color w:val="auto"/>
        </w:rPr>
      </w:pPr>
    </w:p>
    <w:p>
      <w:pPr>
        <w:ind w:left="1260" w:right="719" w:firstLine="648"/>
        <w:spacing w:after="0" w:line="243" w:lineRule="auto"/>
        <w:rPr>
          <w:sz w:val="20"/>
          <w:szCs w:val="20"/>
          <w:color w:val="auto"/>
        </w:rPr>
      </w:pPr>
      <w:r>
        <w:rPr>
          <w:rFonts w:ascii="Arial" w:cs="Arial" w:eastAsia="Arial" w:hAnsi="Arial"/>
          <w:sz w:val="18"/>
          <w:szCs w:val="18"/>
          <w:color w:val="auto"/>
        </w:rPr>
        <w:t>With our technology, we can instruct human cells to produce specific proteins in the nucleus, cytoplasm, cellular organelles, cell membrane, or get them secreted. Based on this “healthy” information delivered by mRNA, our cells are designed to produce proteins, which are required to treat the disease caused by missing or inactive proteins.</w:t>
      </w:r>
    </w:p>
    <w:p>
      <w:pPr>
        <w:spacing w:after="0" w:line="107" w:lineRule="exact"/>
        <w:rPr>
          <w:sz w:val="20"/>
          <w:szCs w:val="20"/>
          <w:color w:val="auto"/>
        </w:rPr>
      </w:pPr>
    </w:p>
    <w:p>
      <w:pPr>
        <w:ind w:left="1260" w:right="979" w:firstLine="648"/>
        <w:spacing w:after="0" w:line="261" w:lineRule="auto"/>
        <w:rPr>
          <w:sz w:val="20"/>
          <w:szCs w:val="20"/>
          <w:color w:val="auto"/>
        </w:rPr>
      </w:pPr>
      <w:r>
        <w:rPr>
          <w:rFonts w:ascii="Arial" w:cs="Arial" w:eastAsia="Arial" w:hAnsi="Arial"/>
          <w:sz w:val="18"/>
          <w:szCs w:val="18"/>
          <w:color w:val="auto"/>
        </w:rPr>
        <w:t>We believe there are several advantages of our technology applied to development of protein therapy, including:</w:t>
      </w:r>
    </w:p>
    <w:p>
      <w:pPr>
        <w:spacing w:after="0" w:line="63" w:lineRule="exact"/>
        <w:rPr>
          <w:sz w:val="20"/>
          <w:szCs w:val="20"/>
          <w:color w:val="auto"/>
        </w:rPr>
      </w:pPr>
    </w:p>
    <w:p>
      <w:pPr>
        <w:ind w:left="2260" w:right="539" w:hanging="352"/>
        <w:spacing w:after="0" w:line="263" w:lineRule="auto"/>
        <w:tabs>
          <w:tab w:leader="none" w:pos="22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mRNA encoded proteins can function within or outside of cells as well as inside cell membranes, allowing us to address intracellular protein deficiencies that are not addressed by recombinant proteins.</w:t>
      </w:r>
    </w:p>
    <w:p>
      <w:pPr>
        <w:spacing w:after="0" w:line="48" w:lineRule="exact"/>
        <w:rPr>
          <w:rFonts w:ascii="Arial" w:cs="Arial" w:eastAsia="Arial" w:hAnsi="Arial"/>
          <w:sz w:val="18"/>
          <w:szCs w:val="18"/>
          <w:color w:val="auto"/>
        </w:rPr>
      </w:pPr>
    </w:p>
    <w:p>
      <w:pPr>
        <w:ind w:left="2260" w:right="1099" w:hanging="352"/>
        <w:spacing w:after="0" w:line="277" w:lineRule="auto"/>
        <w:tabs>
          <w:tab w:leader="none" w:pos="22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mRNAs can enable production of complex proteins that are challenging to make using recombinant technologies due to their folding requirements and complexity.</w:t>
      </w:r>
    </w:p>
    <w:p>
      <w:pPr>
        <w:spacing w:after="0" w:line="35" w:lineRule="exact"/>
        <w:rPr>
          <w:rFonts w:ascii="Arial" w:cs="Arial" w:eastAsia="Arial" w:hAnsi="Arial"/>
          <w:sz w:val="18"/>
          <w:szCs w:val="18"/>
          <w:color w:val="auto"/>
        </w:rPr>
      </w:pPr>
    </w:p>
    <w:p>
      <w:pPr>
        <w:ind w:left="2260" w:right="579" w:hanging="352"/>
        <w:spacing w:after="0" w:line="259" w:lineRule="auto"/>
        <w:tabs>
          <w:tab w:leader="none" w:pos="22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Administered mRNAs encode proteins using natural pathways allowing for post-translational modifications such as glycosylation whereas recombinant proteins use non-human post-translational modifications which may lead to lower effectiveness and increased immunogenicity.</w:t>
      </w:r>
    </w:p>
    <w:p>
      <w:pPr>
        <w:spacing w:after="0" w:line="51" w:lineRule="exact"/>
        <w:rPr>
          <w:rFonts w:ascii="Arial" w:cs="Arial" w:eastAsia="Arial" w:hAnsi="Arial"/>
          <w:sz w:val="18"/>
          <w:szCs w:val="18"/>
          <w:color w:val="auto"/>
        </w:rPr>
      </w:pPr>
    </w:p>
    <w:p>
      <w:pPr>
        <w:ind w:left="2260" w:right="819" w:hanging="352"/>
        <w:spacing w:after="0" w:line="277" w:lineRule="auto"/>
        <w:tabs>
          <w:tab w:leader="none" w:pos="22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mRNA constructs can be optimized to produce proteins that offer desirable pharmacology relative to the wild type protein, such as increased half-life.</w:t>
      </w:r>
    </w:p>
    <w:p>
      <w:pPr>
        <w:spacing w:after="0" w:line="35" w:lineRule="exact"/>
        <w:rPr>
          <w:rFonts w:ascii="Arial" w:cs="Arial" w:eastAsia="Arial" w:hAnsi="Arial"/>
          <w:sz w:val="18"/>
          <w:szCs w:val="18"/>
          <w:color w:val="auto"/>
        </w:rPr>
      </w:pPr>
    </w:p>
    <w:p>
      <w:pPr>
        <w:ind w:left="2260" w:right="459" w:hanging="352"/>
        <w:spacing w:after="0" w:line="277" w:lineRule="auto"/>
        <w:tabs>
          <w:tab w:leader="none" w:pos="22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mRNA allows for dosing flexibility to meet patient needs without causing irreversible changes to the genome.</w:t>
      </w:r>
    </w:p>
    <w:p>
      <w:pPr>
        <w:spacing w:after="0" w:line="35" w:lineRule="exact"/>
        <w:rPr>
          <w:rFonts w:ascii="Arial" w:cs="Arial" w:eastAsia="Arial" w:hAnsi="Arial"/>
          <w:sz w:val="18"/>
          <w:szCs w:val="18"/>
          <w:color w:val="auto"/>
        </w:rPr>
      </w:pPr>
    </w:p>
    <w:p>
      <w:pPr>
        <w:ind w:left="2260" w:right="599" w:hanging="352"/>
        <w:spacing w:after="0" w:line="277" w:lineRule="auto"/>
        <w:tabs>
          <w:tab w:leader="none" w:pos="22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mRNA can be delivered repeatedly, creating the opportunity to provide long-term benefit for treatment of chronic diseases.</w:t>
      </w:r>
    </w:p>
    <w:p>
      <w:pPr>
        <w:spacing w:after="0" w:line="8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We currently have collaborations focused on:</w:t>
      </w:r>
    </w:p>
    <w:p>
      <w:pPr>
        <w:spacing w:after="0" w:line="117" w:lineRule="exact"/>
        <w:rPr>
          <w:sz w:val="20"/>
          <w:szCs w:val="20"/>
          <w:color w:val="auto"/>
        </w:rPr>
      </w:pPr>
    </w:p>
    <w:p>
      <w:pPr>
        <w:ind w:left="2260" w:right="499" w:hanging="352"/>
        <w:spacing w:after="0" w:line="254" w:lineRule="auto"/>
        <w:tabs>
          <w:tab w:leader="none" w:pos="2260" w:val="left"/>
        </w:tabs>
        <w:numPr>
          <w:ilvl w:val="0"/>
          <w:numId w:val="10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Therapeutic antibodies: </w:t>
      </w:r>
      <w:r>
        <w:rPr>
          <w:rFonts w:ascii="Arial" w:cs="Arial" w:eastAsia="Arial" w:hAnsi="Arial"/>
          <w:sz w:val="18"/>
          <w:szCs w:val="18"/>
          <w:color w:val="auto"/>
        </w:rPr>
        <w:t>We are also developing mRNAs therapies to produce antibodies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systemically using the liver as a bioreactor for subsequent secretion and systemic distribution of the antibodies to primary organs affected by a disease. Our collaboration with Genmab, a global leader in antibody discovery and design, will allow us to work with novel antibodies produced using our mRNA technology. This partnership represents the first-ever publicly disclosed mRNA antibody focused deal and will allow us to optimize and manufacture mRNA encoded antibodies for Genmab.</w:t>
      </w:r>
    </w:p>
    <w:p>
      <w:pPr>
        <w:spacing w:after="0" w:line="59" w:lineRule="exact"/>
        <w:rPr>
          <w:rFonts w:ascii="Arial" w:cs="Arial" w:eastAsia="Arial" w:hAnsi="Arial"/>
          <w:sz w:val="18"/>
          <w:szCs w:val="18"/>
          <w:color w:val="auto"/>
        </w:rPr>
      </w:pPr>
    </w:p>
    <w:p>
      <w:pPr>
        <w:jc w:val="both"/>
        <w:ind w:left="2260" w:right="499" w:hanging="352"/>
        <w:spacing w:after="0" w:line="263" w:lineRule="auto"/>
        <w:tabs>
          <w:tab w:leader="none" w:pos="2260" w:val="left"/>
        </w:tabs>
        <w:numPr>
          <w:ilvl w:val="0"/>
          <w:numId w:val="10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Eye diseases: </w:t>
      </w:r>
      <w:r>
        <w:rPr>
          <w:rFonts w:ascii="Arial" w:cs="Arial" w:eastAsia="Arial" w:hAnsi="Arial"/>
          <w:sz w:val="18"/>
          <w:szCs w:val="18"/>
          <w:color w:val="auto"/>
        </w:rPr>
        <w:t>Using our CVCM delivery system that enables different routes of delivery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eye, we are investigating development of mRNA-based treatments for undisclosed ophthalmic indications. We have a collaboration with SERI for our discovery efforts.</w:t>
      </w:r>
    </w:p>
    <w:p>
      <w:pPr>
        <w:spacing w:after="0" w:line="48" w:lineRule="exact"/>
        <w:rPr>
          <w:rFonts w:ascii="Arial" w:cs="Arial" w:eastAsia="Arial" w:hAnsi="Arial"/>
          <w:sz w:val="18"/>
          <w:szCs w:val="18"/>
          <w:color w:val="auto"/>
        </w:rPr>
      </w:pPr>
    </w:p>
    <w:p>
      <w:pPr>
        <w:ind w:left="2260" w:right="619" w:hanging="352"/>
        <w:spacing w:after="0" w:line="255" w:lineRule="auto"/>
        <w:tabs>
          <w:tab w:leader="none" w:pos="2260" w:val="left"/>
        </w:tabs>
        <w:numPr>
          <w:ilvl w:val="0"/>
          <w:numId w:val="10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Lung diseases: </w:t>
      </w:r>
      <w:r>
        <w:rPr>
          <w:rFonts w:ascii="Arial" w:cs="Arial" w:eastAsia="Arial" w:hAnsi="Arial"/>
          <w:sz w:val="18"/>
          <w:szCs w:val="18"/>
          <w:color w:val="auto"/>
        </w:rPr>
        <w:t>The CVCM delivery system is also well suited for delivery of mRNA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lung, administered as either an aerosol or a dry powder formulation. Proof of concept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animal studies showed that CVCM mRNA formulations, administered using the intrapulmonary route, were able to transfect airway epithelial cells and produce functional therapeutic proteins in the lung. We have a collaboration with Yale University focused on discovery of novel molecular targets in pulmonary diseases.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Key Pipeline Candidates</w:t>
      </w:r>
    </w:p>
    <w:p>
      <w:pPr>
        <w:spacing w:after="0" w:line="21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CV8102</w:t>
      </w:r>
    </w:p>
    <w:p>
      <w:pPr>
        <w:spacing w:after="0" w:line="158" w:lineRule="exact"/>
        <w:rPr>
          <w:sz w:val="20"/>
          <w:szCs w:val="20"/>
          <w:color w:val="auto"/>
        </w:rPr>
      </w:pPr>
    </w:p>
    <w:p>
      <w:pPr>
        <w:ind w:left="1260" w:right="459" w:firstLine="648"/>
        <w:spacing w:after="0" w:line="243" w:lineRule="auto"/>
        <w:rPr>
          <w:sz w:val="20"/>
          <w:szCs w:val="20"/>
          <w:color w:val="auto"/>
        </w:rPr>
      </w:pPr>
      <w:r>
        <w:rPr>
          <w:rFonts w:ascii="Arial" w:cs="Arial" w:eastAsia="Arial" w:hAnsi="Arial"/>
          <w:sz w:val="18"/>
          <w:szCs w:val="18"/>
          <w:color w:val="auto"/>
        </w:rPr>
        <w:t>CV8102 is the first compound we are developing for treatment of various solid tumors using an intratumoral approach. CV8102 is based on a complex of single stranded non-coding RNA with a polymeric peptide that binds and coats the RNA, protecting it from rapid degradation while also helping to stimulate the immune system.</w:t>
      </w:r>
    </w:p>
    <w:p>
      <w:pPr>
        <w:sectPr>
          <w:pgSz w:w="11900" w:h="16838" w:orient="portrait"/>
          <w:cols w:equalWidth="0" w:num="1">
            <w:col w:w="9879"/>
          </w:cols>
          <w:pgMar w:left="580" w:top="132" w:right="1440" w:bottom="1440" w:gutter="0" w:footer="0" w:header="0"/>
        </w:sectPr>
      </w:pPr>
    </w:p>
    <w:p>
      <w:pPr>
        <w:spacing w:after="0" w:line="36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9" w:name="page160"/>
    <w:bookmarkEnd w:id="15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559" w:firstLine="648"/>
        <w:spacing w:after="0" w:line="255" w:lineRule="auto"/>
        <w:rPr>
          <w:sz w:val="20"/>
          <w:szCs w:val="20"/>
          <w:color w:val="auto"/>
        </w:rPr>
      </w:pPr>
      <w:r>
        <w:rPr>
          <w:rFonts w:ascii="Arial" w:cs="Arial" w:eastAsia="Arial" w:hAnsi="Arial"/>
          <w:sz w:val="18"/>
          <w:szCs w:val="18"/>
          <w:color w:val="auto"/>
        </w:rPr>
        <w:t>CV8102 was shown to activate cellular receptors that normally detect viral pathogens entering the cells (such as TLR7, TLR8, and RIG-I pathways). By mimicking a viral infection at the injection site, CV8102 is designed to induce an inflammation that can activate the immune system to reject the tumor. CV8102 was initially developed as a vaccine adjuvant and was shown to enhance the induction of multifunctional CD8 T cell responses and therapeutic activity of peptide vaccines against cancer in preclinical models.</w:t>
      </w:r>
    </w:p>
    <w:p>
      <w:pPr>
        <w:spacing w:after="0" w:line="125" w:lineRule="exact"/>
        <w:rPr>
          <w:sz w:val="20"/>
          <w:szCs w:val="20"/>
          <w:color w:val="auto"/>
        </w:rPr>
      </w:pPr>
    </w:p>
    <w:p>
      <w:pPr>
        <w:jc w:val="both"/>
        <w:ind w:left="1260" w:right="519" w:firstLine="648"/>
        <w:spacing w:after="0" w:line="263" w:lineRule="auto"/>
        <w:rPr>
          <w:sz w:val="20"/>
          <w:szCs w:val="20"/>
          <w:color w:val="auto"/>
        </w:rPr>
      </w:pPr>
      <w:r>
        <w:rPr>
          <w:rFonts w:ascii="Arial" w:cs="Arial" w:eastAsia="Arial" w:hAnsi="Arial"/>
          <w:sz w:val="18"/>
          <w:szCs w:val="18"/>
          <w:color w:val="auto"/>
        </w:rPr>
        <w:t>CV8102 is currently in a Phase 1 clinical trial for the intratumoral treatment of four types of solid tumors — cutaneous melanoma, or cMEL, adenoidcystic carcinoma, or ACC, and squamous cell carcinoma of skin, or SCC, as well as squamous cell carcinoma of head and neck, or HNSCC.</w:t>
      </w:r>
    </w:p>
    <w:p>
      <w:pPr>
        <w:spacing w:after="0" w:line="116" w:lineRule="exact"/>
        <w:rPr>
          <w:sz w:val="20"/>
          <w:szCs w:val="20"/>
          <w:color w:val="auto"/>
        </w:rPr>
      </w:pPr>
    </w:p>
    <w:p>
      <w:pPr>
        <w:ind w:left="1260" w:right="459" w:firstLine="648"/>
        <w:spacing w:after="0" w:line="259" w:lineRule="auto"/>
        <w:rPr>
          <w:sz w:val="20"/>
          <w:szCs w:val="20"/>
          <w:color w:val="auto"/>
        </w:rPr>
      </w:pPr>
      <w:r>
        <w:rPr>
          <w:rFonts w:ascii="Arial" w:cs="Arial" w:eastAsia="Arial" w:hAnsi="Arial"/>
          <w:sz w:val="18"/>
          <w:szCs w:val="18"/>
          <w:color w:val="auto"/>
        </w:rPr>
        <w:t>As of October 5, 2020, we have enrolled 50 patients (29 in the single agent cohort and 21 in the combination cohort) in the Phase 1 dose-escalation portion of the study. Intratumoral CV8102 was observed to be tolerated without dose limiting toxicities, or DLTs, at dose levels up to 600 µg (single agent and combination).</w:t>
      </w:r>
    </w:p>
    <w:p>
      <w:pPr>
        <w:spacing w:after="0" w:line="106" w:lineRule="exact"/>
        <w:rPr>
          <w:sz w:val="20"/>
          <w:szCs w:val="20"/>
          <w:color w:val="auto"/>
        </w:rPr>
      </w:pPr>
    </w:p>
    <w:p>
      <w:pPr>
        <w:ind w:left="1260" w:right="419" w:firstLine="648"/>
        <w:spacing w:after="0" w:line="259" w:lineRule="auto"/>
        <w:rPr>
          <w:sz w:val="20"/>
          <w:szCs w:val="20"/>
          <w:color w:val="auto"/>
        </w:rPr>
      </w:pPr>
      <w:r>
        <w:rPr>
          <w:rFonts w:ascii="Arial" w:cs="Arial" w:eastAsia="Arial" w:hAnsi="Arial"/>
          <w:sz w:val="18"/>
          <w:szCs w:val="18"/>
          <w:color w:val="auto"/>
        </w:rPr>
        <w:t>As of October 5, 2020, in the 900 µg single agent cohort, one out of six patients experienced a DLT of Grade 3 increase in the liver enzymes ALT and AST, observed in the context of a Grade 2 cytokine release syndrome. Another patient in this cohort experienced a potentially related Grade 3 immune-mediated pneumonitis that occurred after DLT evaluation period set forth in the protocol.</w:t>
      </w:r>
    </w:p>
    <w:p>
      <w:pPr>
        <w:spacing w:after="0" w:line="119" w:lineRule="exact"/>
        <w:rPr>
          <w:sz w:val="20"/>
          <w:szCs w:val="20"/>
          <w:color w:val="auto"/>
        </w:rPr>
      </w:pPr>
    </w:p>
    <w:p>
      <w:pPr>
        <w:ind w:left="1260" w:right="619" w:firstLine="648"/>
        <w:spacing w:after="0" w:line="277" w:lineRule="auto"/>
        <w:rPr>
          <w:sz w:val="20"/>
          <w:szCs w:val="20"/>
          <w:color w:val="auto"/>
        </w:rPr>
      </w:pPr>
      <w:r>
        <w:rPr>
          <w:rFonts w:ascii="Arial" w:cs="Arial" w:eastAsia="Arial" w:hAnsi="Arial"/>
          <w:sz w:val="18"/>
          <w:szCs w:val="18"/>
          <w:color w:val="auto"/>
        </w:rPr>
        <w:t>In the 900 µg combination cohort, 2 patients have been treated without DLTs as of the cutoff date and enrolment in this cohort continues.</w:t>
      </w:r>
    </w:p>
    <w:p>
      <w:pPr>
        <w:spacing w:after="0" w:line="103" w:lineRule="exact"/>
        <w:rPr>
          <w:sz w:val="20"/>
          <w:szCs w:val="20"/>
          <w:color w:val="auto"/>
        </w:rPr>
      </w:pPr>
    </w:p>
    <w:p>
      <w:pPr>
        <w:ind w:left="1260" w:right="439" w:firstLine="648"/>
        <w:spacing w:after="0" w:line="277" w:lineRule="auto"/>
        <w:rPr>
          <w:sz w:val="20"/>
          <w:szCs w:val="20"/>
          <w:color w:val="auto"/>
        </w:rPr>
      </w:pPr>
      <w:r>
        <w:rPr>
          <w:rFonts w:ascii="Arial" w:cs="Arial" w:eastAsia="Arial" w:hAnsi="Arial"/>
          <w:sz w:val="18"/>
          <w:szCs w:val="18"/>
          <w:color w:val="auto"/>
        </w:rPr>
        <w:t>As of the cutoff date, we have observed preliminary evidence of single agent activity with objective tumor responses according to RECIST 1.1:</w:t>
      </w:r>
    </w:p>
    <w:p>
      <w:pPr>
        <w:spacing w:after="0" w:line="76" w:lineRule="exact"/>
        <w:rPr>
          <w:sz w:val="20"/>
          <w:szCs w:val="20"/>
          <w:color w:val="auto"/>
        </w:rPr>
      </w:pPr>
    </w:p>
    <w:p>
      <w:pPr>
        <w:ind w:left="2260" w:hanging="352"/>
        <w:spacing w:after="0"/>
        <w:tabs>
          <w:tab w:leader="none" w:pos="22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1 complete response (CR) in a melanoma patient</w:t>
      </w:r>
    </w:p>
    <w:p>
      <w:pPr>
        <w:spacing w:after="0" w:line="144" w:lineRule="exact"/>
        <w:rPr>
          <w:rFonts w:ascii="Arial" w:cs="Arial" w:eastAsia="Arial" w:hAnsi="Arial"/>
          <w:sz w:val="18"/>
          <w:szCs w:val="18"/>
          <w:color w:val="auto"/>
        </w:rPr>
      </w:pPr>
    </w:p>
    <w:p>
      <w:pPr>
        <w:ind w:left="2260" w:right="539" w:hanging="352"/>
        <w:spacing w:after="0" w:line="277" w:lineRule="auto"/>
        <w:tabs>
          <w:tab w:leader="none" w:pos="22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2 partial responses (PR) in a melanoma patient and a patient with squamous cell cancer of the skin (cSCC)</w:t>
      </w:r>
    </w:p>
    <w:p>
      <w:pPr>
        <w:spacing w:after="0" w:line="89" w:lineRule="exact"/>
        <w:rPr>
          <w:sz w:val="20"/>
          <w:szCs w:val="20"/>
          <w:color w:val="auto"/>
        </w:rPr>
      </w:pPr>
    </w:p>
    <w:p>
      <w:pPr>
        <w:ind w:left="1260" w:right="859" w:firstLine="648"/>
        <w:spacing w:after="0" w:line="263" w:lineRule="auto"/>
        <w:rPr>
          <w:sz w:val="20"/>
          <w:szCs w:val="20"/>
          <w:color w:val="auto"/>
        </w:rPr>
      </w:pPr>
      <w:r>
        <w:rPr>
          <w:rFonts w:ascii="Arial" w:cs="Arial" w:eastAsia="Arial" w:hAnsi="Arial"/>
          <w:sz w:val="18"/>
          <w:szCs w:val="18"/>
          <w:color w:val="auto"/>
        </w:rPr>
        <w:t>As of the cutoff date, October 5, 2020, three additional patients showed a stabilization of their disease with lesion regression: two patients with shrinkage of non- injected lesions (1 HNSCC and 1 melanoma patient) and one cSCC patient with shrinkage of the injected lesion.</w:t>
      </w:r>
    </w:p>
    <w:p>
      <w:pPr>
        <w:spacing w:after="0" w:line="116" w:lineRule="exact"/>
        <w:rPr>
          <w:sz w:val="20"/>
          <w:szCs w:val="20"/>
          <w:color w:val="auto"/>
        </w:rPr>
      </w:pPr>
    </w:p>
    <w:p>
      <w:pPr>
        <w:jc w:val="both"/>
        <w:ind w:left="1260" w:right="459" w:firstLine="648"/>
        <w:spacing w:after="0" w:line="286" w:lineRule="auto"/>
        <w:rPr>
          <w:sz w:val="20"/>
          <w:szCs w:val="20"/>
          <w:color w:val="auto"/>
        </w:rPr>
      </w:pPr>
      <w:r>
        <w:rPr>
          <w:rFonts w:ascii="Arial" w:cs="Arial" w:eastAsia="Arial" w:hAnsi="Arial"/>
          <w:sz w:val="17"/>
          <w:szCs w:val="17"/>
          <w:color w:val="auto"/>
        </w:rPr>
        <w:t>Based on interim data from the ongoing Phase 1 portion of the trial, further clinical development of CV8102 will continue after selection of a recommended Phase 2 dose. We plan to further investigate safety, biological effects and clinical efficacy of this dose in an expansion part of the trial.</w:t>
      </w:r>
    </w:p>
    <w:p>
      <w:pPr>
        <w:spacing w:after="0" w:line="98" w:lineRule="exact"/>
        <w:rPr>
          <w:sz w:val="20"/>
          <w:szCs w:val="20"/>
          <w:color w:val="auto"/>
        </w:rPr>
      </w:pPr>
    </w:p>
    <w:p>
      <w:pPr>
        <w:ind w:left="1260" w:right="439" w:firstLine="648"/>
        <w:spacing w:after="0" w:line="263" w:lineRule="auto"/>
        <w:rPr>
          <w:sz w:val="20"/>
          <w:szCs w:val="20"/>
          <w:color w:val="auto"/>
        </w:rPr>
      </w:pPr>
      <w:r>
        <w:rPr>
          <w:rFonts w:ascii="Arial" w:cs="Arial" w:eastAsia="Arial" w:hAnsi="Arial"/>
          <w:sz w:val="18"/>
          <w:szCs w:val="18"/>
          <w:color w:val="auto"/>
        </w:rPr>
        <w:t>Currently, an expansion cohort in patients with melanoma is planned, which will include mandatory tumor biopsies in a planned subcohort designed to elucidate the mechanism of action and help to predict which patients may be more responsive to the treatment.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Mechanism of Action</w:t>
      </w:r>
    </w:p>
    <w:p>
      <w:pPr>
        <w:spacing w:after="0" w:line="144" w:lineRule="exact"/>
        <w:rPr>
          <w:sz w:val="20"/>
          <w:szCs w:val="20"/>
          <w:color w:val="auto"/>
        </w:rPr>
      </w:pPr>
    </w:p>
    <w:p>
      <w:pPr>
        <w:ind w:left="1260" w:right="539" w:firstLine="648"/>
        <w:spacing w:after="0" w:line="254" w:lineRule="auto"/>
        <w:rPr>
          <w:sz w:val="20"/>
          <w:szCs w:val="20"/>
          <w:color w:val="auto"/>
        </w:rPr>
      </w:pPr>
      <w:r>
        <w:rPr>
          <w:rFonts w:ascii="Arial" w:cs="Arial" w:eastAsia="Arial" w:hAnsi="Arial"/>
          <w:sz w:val="18"/>
          <w:szCs w:val="18"/>
          <w:color w:val="auto"/>
        </w:rPr>
        <w:t>CV8102 is designed to activate cellular receptors that normally detect viral pathogens entering the cells (such as TLR7, TLR8 and RIG-I pathways) mimicking a viral infection of the tumor. CV8102 is designed to recruit and activate antigen-presenting cells at the site of injection to present tumor antigens released from tumor cells to T cells in the draining lymph node. This potentially leads to activation of tumor-specific T cells, which can kill tumor cells at the injected site, but also at distant non-injected tumor lesions or metastases. Activation of other immune cells like natural killer, or NK, cells at the site of injection may also contribute to the antitumor effect. This mechanism of action is illustrated in the figure below.</w:t>
      </w:r>
    </w:p>
    <w:p>
      <w:pPr>
        <w:spacing w:after="0" w:line="200" w:lineRule="exact"/>
        <w:rPr>
          <w:sz w:val="20"/>
          <w:szCs w:val="20"/>
          <w:color w:val="auto"/>
        </w:rPr>
      </w:pPr>
    </w:p>
    <w:p>
      <w:pPr>
        <w:spacing w:after="0" w:line="30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0" w:name="page161"/>
    <w:bookmarkEnd w:id="16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885825</wp:posOffset>
            </wp:positionH>
            <wp:positionV relativeFrom="paragraph">
              <wp:posOffset>537210</wp:posOffset>
            </wp:positionV>
            <wp:extent cx="5048885" cy="227139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048885"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60" w:right="499" w:firstLine="648"/>
        <w:spacing w:after="0" w:line="241" w:lineRule="auto"/>
        <w:rPr>
          <w:sz w:val="20"/>
          <w:szCs w:val="20"/>
          <w:color w:val="auto"/>
        </w:rPr>
      </w:pPr>
      <w:r>
        <w:rPr>
          <w:rFonts w:ascii="Arial" w:cs="Arial" w:eastAsia="Arial" w:hAnsi="Arial"/>
          <w:sz w:val="18"/>
          <w:szCs w:val="18"/>
          <w:color w:val="auto"/>
        </w:rPr>
        <w:t>In preclinical models, CV8102 was shown to initially activate the innate immune system at the site of injection and the draining lymph node based on increase in number or activation of NK cells, monocytes and plasmacytoid dendritic cells. There was also an increased expression of genes associated with T-cell mediated cytotoxicity. These effects were enhanced by concomitant treatment with anti-PD-1 antibodies which also led to increased tumor infiltration by CD8+-T cells.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Market Opportunity</w:t>
      </w:r>
    </w:p>
    <w:p>
      <w:pPr>
        <w:spacing w:after="0" w:line="144" w:lineRule="exact"/>
        <w:rPr>
          <w:sz w:val="20"/>
          <w:szCs w:val="20"/>
          <w:color w:val="auto"/>
        </w:rPr>
      </w:pPr>
    </w:p>
    <w:p>
      <w:pPr>
        <w:ind w:left="1260" w:right="859" w:firstLine="648"/>
        <w:spacing w:after="0" w:line="261" w:lineRule="auto"/>
        <w:rPr>
          <w:sz w:val="20"/>
          <w:szCs w:val="20"/>
          <w:color w:val="auto"/>
        </w:rPr>
      </w:pPr>
      <w:r>
        <w:rPr>
          <w:rFonts w:ascii="Arial" w:cs="Arial" w:eastAsia="Arial" w:hAnsi="Arial"/>
          <w:sz w:val="18"/>
          <w:szCs w:val="18"/>
          <w:color w:val="auto"/>
        </w:rPr>
        <w:t>CV8102 is currently being developed against four types of cancers, each frequently exhibiting easily accessible superficial tumor lesions:</w:t>
      </w:r>
    </w:p>
    <w:p>
      <w:pPr>
        <w:spacing w:after="0" w:line="63" w:lineRule="exact"/>
        <w:rPr>
          <w:sz w:val="20"/>
          <w:szCs w:val="20"/>
          <w:color w:val="auto"/>
        </w:rPr>
      </w:pPr>
    </w:p>
    <w:p>
      <w:pPr>
        <w:ind w:left="2260" w:right="419" w:hanging="352"/>
        <w:spacing w:after="0" w:line="267" w:lineRule="auto"/>
        <w:tabs>
          <w:tab w:leader="none" w:pos="22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cMEL is an aggressive form of cancer that starts in the pigment-producing cells of the skin and can spread widely to other parts of the body. Cutaneous melanoma accounts for the majority of skin cancer-related deaths in the United States. In 2018, there were approximately 300,000 new cases of cutaneous melanoma and approximately 60,000 deaths worldwide. In the United States, the National Institute of Health, or NIH, estimates approximately 100,000 new diagnoses of cutaneous melanoma, and approximately 7,000 deaths in 2020. According to the National Comprehensive Cancer Network, or NCCN, guidelines, while surgical removal of the tumor is the primary treatment for localized melanoma, for patients with metastatic disease, chemotherapy and targeted therapies including the BRAF inhibitors are also recommended. Based on published literature, the majority of patients treated with BRAF inhibitors develop secondary resistance within a relatively short amount of time. Checkpoint inhibitors are recommended as the first-line treatment for advanced / unresectable metastatic melanoma, but their side effects are severe and a significant subset of patients (approximately 40% to 45%) do not respond to these drugs and many of those who do respond (approximately 30% to 40%), develop secondary resistance. There are very limited therapeutic options for patients who have failed anti-PD-1 and targeted therapy (if eligible). Intralesional oncolytic virus therapy, or Tvec, is considered for selected cases, but its use is mostly limited to metastatic stage IIIc or M1A disease.</w:t>
      </w:r>
    </w:p>
    <w:p>
      <w:pPr>
        <w:spacing w:after="0" w:line="68" w:lineRule="exact"/>
        <w:rPr>
          <w:rFonts w:ascii="Arial" w:cs="Arial" w:eastAsia="Arial" w:hAnsi="Arial"/>
          <w:sz w:val="17"/>
          <w:szCs w:val="17"/>
          <w:color w:val="auto"/>
        </w:rPr>
      </w:pPr>
    </w:p>
    <w:p>
      <w:pPr>
        <w:ind w:left="2260" w:right="419" w:hanging="352"/>
        <w:spacing w:after="0" w:line="253" w:lineRule="auto"/>
        <w:tabs>
          <w:tab w:leader="none" w:pos="22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HNSCC occurs in the outermost surface of the skin or certain tissues within the head and neck region including the throat, mouth, sinuses and nose. Squamous cell carcinoma makes up about 90% of all head and neck cancers. Consumption of tobacco products and alcohol and having a poor diet are important risk factors. HNSCC is the seventh leading cause of cancer-related mortality: in 2018, an estimated approximately 700,000 people were diagnosed with HNSCC worldwide, with approximately 350,000 deaths. In the United States, according to American Society of Clinical Oncology, or ASCO, approximately 65,000 new cases are diagnosed annually and more than 14,500 deaths are reported every year. Published literature indicates that more than two-thirds of patients with HNSCC initially present with locoregionally advanced disease (stage III-IV). HNSCC treatment typically involves a combination of chemotherapy,</w:t>
      </w:r>
    </w:p>
    <w:p>
      <w:pPr>
        <w:sectPr>
          <w:pgSz w:w="11900" w:h="16838" w:orient="portrait"/>
          <w:cols w:equalWidth="0" w:num="1">
            <w:col w:w="9879"/>
          </w:cols>
          <w:pgMar w:left="580" w:top="132" w:right="1440" w:bottom="1440" w:gutter="0" w:footer="0" w:header="0"/>
        </w:sectPr>
      </w:pPr>
    </w:p>
    <w:p>
      <w:pPr>
        <w:spacing w:after="0" w:line="38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1" w:name="page162"/>
    <w:bookmarkEnd w:id="16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60" w:right="459"/>
        <w:spacing w:after="0" w:line="269" w:lineRule="auto"/>
        <w:rPr>
          <w:sz w:val="20"/>
          <w:szCs w:val="20"/>
          <w:color w:val="auto"/>
        </w:rPr>
      </w:pPr>
      <w:r>
        <w:rPr>
          <w:rFonts w:ascii="Arial" w:cs="Arial" w:eastAsia="Arial" w:hAnsi="Arial"/>
          <w:sz w:val="17"/>
          <w:szCs w:val="17"/>
          <w:color w:val="auto"/>
        </w:rPr>
        <w:t>radiation and surgery. According to the Cancer Network and published literature, for patients with early-stage disease, these treatment approaches lead to approximately 60% to 80% response rate. The 5-year progression-free survival, or PFS, rate of advanced HNSCC has continued to remain at 40% to 50% and the average time to relapse is less than 2 years regardless of the combination of various treatment modalities. In patients with advanced disease, more than 50% develop local or regional recurrence and nearly 30% develop distant metastases. Based on the NCCN, the recommended first line treatment for recurrent/metastatic HNSCC include chemotherapy combinations with Cetuximab and anti-PD-1 antibody treatment with or without platinum based chemotherapy. We believe based on publications and our analysis that the typical response rate to anti-PD-1 antibodies in patients with HNSCC is below 20%, and that there is still a significant unmet need.</w:t>
      </w:r>
    </w:p>
    <w:p>
      <w:pPr>
        <w:spacing w:after="0" w:line="74" w:lineRule="exact"/>
        <w:rPr>
          <w:sz w:val="20"/>
          <w:szCs w:val="20"/>
          <w:color w:val="auto"/>
        </w:rPr>
      </w:pPr>
    </w:p>
    <w:p>
      <w:pPr>
        <w:ind w:left="2260" w:right="419" w:hanging="352"/>
        <w:spacing w:after="0" w:line="268" w:lineRule="auto"/>
        <w:tabs>
          <w:tab w:leader="none" w:pos="22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ACC is an uncommon form of malignant neoplasm that arises within secretory glands, most commonly the major and minor salivary glands of the head and neck. Other sites of origin include the trachea, lacrimal gland, breast, skin and vulva. ACC accounts for around 10% of all salivary gland neoplasms, 22% of all salivary gland malignancies and about 1% of all head and neck malignancies. The National Cancer Institute, or NCI, estimates that 1,200 patients are diagnosed annually in the United States with ACC and 15,000 patients are affected. Globally, ACC incidence rate is estimated between 0.4 to 13.5 cases per 100,000 annually. The primary treatment of ACC is surgery, which is usually followed by post-operative radiotherapy. According to the American Society of Clinical Oncology, or ASCO, while the 5-year survival of ACC is 89%, 15-year survival is only approximately 40%. For patients with recurrent or advanced/ metastatic disease not amenable to curative intent surgery there is no approved systemic standard treatment. There are minimal options for treatment of advanced ACC, traditional chemotherapy has been proven to be of minimal benefit, so patients often seek clinical trials as a second line option, leading to a high unmet medical need.</w:t>
      </w:r>
    </w:p>
    <w:p>
      <w:pPr>
        <w:spacing w:after="0" w:line="76" w:lineRule="exact"/>
        <w:rPr>
          <w:rFonts w:ascii="Arial" w:cs="Arial" w:eastAsia="Arial" w:hAnsi="Arial"/>
          <w:sz w:val="17"/>
          <w:szCs w:val="17"/>
          <w:color w:val="auto"/>
        </w:rPr>
      </w:pPr>
    </w:p>
    <w:p>
      <w:pPr>
        <w:ind w:left="2260" w:right="559" w:hanging="352"/>
        <w:spacing w:after="0" w:line="252" w:lineRule="auto"/>
        <w:tabs>
          <w:tab w:leader="none" w:pos="22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SCC is the second most common form of skin cancer that develops in the squamous cells that make up the middle and outer layers of the skin. While not life-threatening, it can be aggressive and can spread to the other parts of the body, causing serious complications. According to ASCO, in the United States, out of 5.4 million skin cancer cases, 20% are SCC. According to published literature, global incidence varies widely with highest incidence reported in Australia and lowest rates reported in Africa. Given most countries do not have cancer registries for skin cancer, figures reported are likely underestimated. Although most SCC are localized and easily treated, approximately 5% of patients experience local recurrence, approximately 4% develop nodal metastases and approximately 2% die of the disease. According to NCCN, most SCC are managed through different surgical methods, along with topical therapy, cryotherapy and photodynamic therapy. Surgical methods usually lead to good prognosis and cure rates greater than 90%. In the rare case of metastases, radiation therapy, immunotherapy and/or chemotherapy are deployed. Despite the available treatments, 10-year survival rate is less than 20% in patients with locoregional lymph node metastases and less than 10% in the presence of distance metastases, leading to a significant clinical unmet need.</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Phase 1 Clinical Trial of Intratumoral CV8102</w:t>
      </w:r>
    </w:p>
    <w:p>
      <w:pPr>
        <w:spacing w:after="0" w:line="158" w:lineRule="exact"/>
        <w:rPr>
          <w:sz w:val="20"/>
          <w:szCs w:val="20"/>
          <w:color w:val="auto"/>
        </w:rPr>
      </w:pPr>
    </w:p>
    <w:p>
      <w:pPr>
        <w:ind w:left="1260" w:right="499" w:firstLine="648"/>
        <w:spacing w:after="0" w:line="270" w:lineRule="auto"/>
        <w:rPr>
          <w:sz w:val="20"/>
          <w:szCs w:val="20"/>
          <w:color w:val="auto"/>
        </w:rPr>
      </w:pPr>
      <w:r>
        <w:rPr>
          <w:rFonts w:ascii="Arial" w:cs="Arial" w:eastAsia="Arial" w:hAnsi="Arial"/>
          <w:sz w:val="17"/>
          <w:szCs w:val="17"/>
          <w:color w:val="auto"/>
        </w:rPr>
        <w:t>We initiated a Phase 1 clinical trial of CV8102 for the treatment of various solid tumors in 2017. The Phase 1 clinical trial is evaluating intratumoral administration of CV8102 in patients with advanced melanoma, squamous cell carcinoma of the skin, squamous cell carcinoma of the head and neck, or adenoid cystic carcinoma. Patients receive CV8102 as single-agent or in combination with anti-PD-1 therapy. Patients with advanced inoperable melanoma, cutaneous or head and neck squamous cell or adenoid cystic carcinoma are eligible for single agent CV8102, and patients with advanced inoperable melanoma and head and neck squamous cell carcinoma indicated for anti-PD-1 therapy or who did not respond or slowly progressed on anti-PD-1 therapy are eligible for the combination. CV8102 is administered for up to eight intratumoral injections into a single accessible tumor lesion over a 12-week period.</w:t>
      </w:r>
    </w:p>
    <w:p>
      <w:pPr>
        <w:spacing w:after="0" w:line="113" w:lineRule="exact"/>
        <w:rPr>
          <w:sz w:val="20"/>
          <w:szCs w:val="20"/>
          <w:color w:val="auto"/>
        </w:rPr>
      </w:pPr>
    </w:p>
    <w:p>
      <w:pPr>
        <w:ind w:left="1260" w:right="419" w:firstLine="648"/>
        <w:spacing w:after="0" w:line="308" w:lineRule="auto"/>
        <w:rPr>
          <w:sz w:val="20"/>
          <w:szCs w:val="20"/>
          <w:color w:val="auto"/>
        </w:rPr>
      </w:pPr>
      <w:r>
        <w:rPr>
          <w:rFonts w:ascii="Arial" w:cs="Arial" w:eastAsia="Arial" w:hAnsi="Arial"/>
          <w:sz w:val="17"/>
          <w:szCs w:val="17"/>
          <w:color w:val="auto"/>
        </w:rPr>
        <w:t>The objectives of this clinical trial include to define the maximum tolerated dose and recommended dose for CV8102 alone and in combination with an anti-PD-1 therapy, and to evaluate safety and tolerability</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2" w:name="page163"/>
    <w:bookmarkEnd w:id="16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539"/>
        <w:spacing w:after="0" w:line="261" w:lineRule="auto"/>
        <w:rPr>
          <w:sz w:val="20"/>
          <w:szCs w:val="20"/>
          <w:color w:val="auto"/>
        </w:rPr>
      </w:pPr>
      <w:r>
        <w:rPr>
          <w:rFonts w:ascii="Arial" w:cs="Arial" w:eastAsia="Arial" w:hAnsi="Arial"/>
          <w:sz w:val="18"/>
          <w:szCs w:val="18"/>
          <w:color w:val="auto"/>
        </w:rPr>
        <w:t>of CV8102 administered alone and in combination with an anti-PD-1 therapy. Secondary endpoints include anti-tumor activity analyses and tumor response assessment.</w:t>
      </w:r>
    </w:p>
    <w:p>
      <w:pPr>
        <w:spacing w:after="0" w:line="10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Key Inclusion Criteria:</w:t>
      </w:r>
    </w:p>
    <w:p>
      <w:pPr>
        <w:spacing w:after="0" w:line="117" w:lineRule="exact"/>
        <w:rPr>
          <w:sz w:val="20"/>
          <w:szCs w:val="20"/>
          <w:color w:val="auto"/>
        </w:rPr>
      </w:pPr>
    </w:p>
    <w:p>
      <w:pPr>
        <w:ind w:left="2260" w:hanging="352"/>
        <w:spacing w:after="0"/>
        <w:tabs>
          <w:tab w:leader="none" w:pos="22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Patients enrolled into single-agent CV8102 dose escalation cohorts must have:</w:t>
      </w:r>
    </w:p>
    <w:p>
      <w:pPr>
        <w:spacing w:after="0" w:line="103" w:lineRule="exact"/>
        <w:rPr>
          <w:rFonts w:ascii="Arial" w:cs="Arial" w:eastAsia="Arial" w:hAnsi="Arial"/>
          <w:sz w:val="18"/>
          <w:szCs w:val="18"/>
          <w:color w:val="auto"/>
        </w:rPr>
      </w:pPr>
    </w:p>
    <w:p>
      <w:pPr>
        <w:ind w:left="2920" w:right="699" w:hanging="364"/>
        <w:spacing w:after="0" w:line="277" w:lineRule="auto"/>
        <w:tabs>
          <w:tab w:leader="none" w:pos="29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histologically confirmed advanced cMEL, SCC, HNSCC or ACC with documented disease progression;</w:t>
      </w:r>
    </w:p>
    <w:p>
      <w:pPr>
        <w:spacing w:after="0" w:line="48" w:lineRule="exact"/>
        <w:rPr>
          <w:rFonts w:ascii="Arial" w:cs="Arial" w:eastAsia="Arial" w:hAnsi="Arial"/>
          <w:sz w:val="18"/>
          <w:szCs w:val="18"/>
          <w:color w:val="auto"/>
        </w:rPr>
      </w:pPr>
    </w:p>
    <w:p>
      <w:pPr>
        <w:ind w:left="2920" w:hanging="364"/>
        <w:spacing w:after="0"/>
        <w:tabs>
          <w:tab w:leader="none" w:pos="292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not amenable to resection or locoregional radiation therapy with curative intent; and</w:t>
      </w:r>
    </w:p>
    <w:p>
      <w:pPr>
        <w:spacing w:after="0" w:line="128" w:lineRule="exact"/>
        <w:rPr>
          <w:rFonts w:ascii="Arial" w:cs="Arial" w:eastAsia="Arial" w:hAnsi="Arial"/>
          <w:sz w:val="17"/>
          <w:szCs w:val="17"/>
          <w:color w:val="auto"/>
        </w:rPr>
      </w:pPr>
    </w:p>
    <w:p>
      <w:pPr>
        <w:ind w:left="2920" w:right="899" w:hanging="364"/>
        <w:spacing w:after="0" w:line="277" w:lineRule="auto"/>
        <w:tabs>
          <w:tab w:leader="none" w:pos="29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at least 1 line of anti-cancer therapy for advanced disease (except adenoid cystic carcinoma).</w:t>
      </w:r>
    </w:p>
    <w:p>
      <w:pPr>
        <w:spacing w:after="0" w:line="48" w:lineRule="exact"/>
        <w:rPr>
          <w:rFonts w:ascii="Arial" w:cs="Arial" w:eastAsia="Arial" w:hAnsi="Arial"/>
          <w:sz w:val="18"/>
          <w:szCs w:val="18"/>
          <w:color w:val="auto"/>
        </w:rPr>
      </w:pPr>
    </w:p>
    <w:p>
      <w:pPr>
        <w:ind w:left="2260" w:hanging="352"/>
        <w:spacing w:after="0"/>
        <w:tabs>
          <w:tab w:leader="none" w:pos="22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Patients enrolled into CV8102 anti-PD-1 combination cohort must have:</w:t>
      </w:r>
    </w:p>
    <w:p>
      <w:pPr>
        <w:spacing w:after="0" w:line="103" w:lineRule="exact"/>
        <w:rPr>
          <w:rFonts w:ascii="Arial" w:cs="Arial" w:eastAsia="Arial" w:hAnsi="Arial"/>
          <w:sz w:val="18"/>
          <w:szCs w:val="18"/>
          <w:color w:val="auto"/>
        </w:rPr>
      </w:pPr>
    </w:p>
    <w:p>
      <w:pPr>
        <w:ind w:left="2920" w:hanging="364"/>
        <w:spacing w:after="0"/>
        <w:tabs>
          <w:tab w:leader="none" w:pos="29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histologically confirmed advanced cMEL or HNSCC; and</w:t>
      </w:r>
    </w:p>
    <w:p>
      <w:pPr>
        <w:spacing w:after="0" w:line="117" w:lineRule="exact"/>
        <w:rPr>
          <w:rFonts w:ascii="Arial" w:cs="Arial" w:eastAsia="Arial" w:hAnsi="Arial"/>
          <w:sz w:val="18"/>
          <w:szCs w:val="18"/>
          <w:color w:val="auto"/>
        </w:rPr>
      </w:pPr>
    </w:p>
    <w:p>
      <w:pPr>
        <w:jc w:val="both"/>
        <w:ind w:left="2920" w:right="579" w:hanging="364"/>
        <w:spacing w:after="0" w:line="263" w:lineRule="auto"/>
        <w:tabs>
          <w:tab w:leader="none" w:pos="29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indication for anti-PD-1 therapy or currently receiving anti-PD-1 therapy with stable of slowly progressing disease after at last 8 weeks (HNSCC) or 12 weeks (cMEL) of anti-PD-1.</w:t>
      </w:r>
    </w:p>
    <w:p>
      <w:pPr>
        <w:spacing w:after="0" w:line="62" w:lineRule="exact"/>
        <w:rPr>
          <w:rFonts w:ascii="Arial" w:cs="Arial" w:eastAsia="Arial" w:hAnsi="Arial"/>
          <w:sz w:val="18"/>
          <w:szCs w:val="18"/>
          <w:color w:val="auto"/>
        </w:rPr>
      </w:pPr>
    </w:p>
    <w:p>
      <w:pPr>
        <w:ind w:left="2260" w:hanging="352"/>
        <w:spacing w:after="0"/>
        <w:tabs>
          <w:tab w:leader="none" w:pos="22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Presence of at least one injectable lesion that is measurable according to RECIST 1.1 criteria.</w:t>
      </w:r>
    </w:p>
    <w:p>
      <w:pPr>
        <w:spacing w:after="0" w:line="115" w:lineRule="exact"/>
        <w:rPr>
          <w:rFonts w:ascii="Arial" w:cs="Arial" w:eastAsia="Arial" w:hAnsi="Arial"/>
          <w:sz w:val="17"/>
          <w:szCs w:val="17"/>
          <w:color w:val="auto"/>
        </w:rPr>
      </w:pPr>
    </w:p>
    <w:p>
      <w:pPr>
        <w:ind w:left="2260" w:hanging="352"/>
        <w:spacing w:after="0"/>
        <w:tabs>
          <w:tab w:leader="none" w:pos="22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Recovered from prior relevant toxicities to grade ≤ 1.</w:t>
      </w:r>
    </w:p>
    <w:p>
      <w:pPr>
        <w:spacing w:after="0" w:line="103" w:lineRule="exact"/>
        <w:rPr>
          <w:rFonts w:ascii="Arial" w:cs="Arial" w:eastAsia="Arial" w:hAnsi="Arial"/>
          <w:sz w:val="18"/>
          <w:szCs w:val="18"/>
          <w:color w:val="auto"/>
        </w:rPr>
      </w:pPr>
    </w:p>
    <w:p>
      <w:pPr>
        <w:ind w:left="2260" w:hanging="352"/>
        <w:spacing w:after="0"/>
        <w:tabs>
          <w:tab w:leader="none" w:pos="22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ECOG PS 0 or 1, 18 years of age or older.</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Key Exclusion Criteria:</w:t>
      </w:r>
    </w:p>
    <w:p>
      <w:pPr>
        <w:spacing w:after="0" w:line="117" w:lineRule="exact"/>
        <w:rPr>
          <w:sz w:val="20"/>
          <w:szCs w:val="20"/>
          <w:color w:val="auto"/>
        </w:rPr>
      </w:pPr>
    </w:p>
    <w:p>
      <w:pPr>
        <w:ind w:left="2260" w:hanging="352"/>
        <w:spacing w:after="0"/>
        <w:tabs>
          <w:tab w:leader="none" w:pos="22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Rapidly progressing multi-focal metastatic or acutely life threatening disease;</w:t>
      </w:r>
    </w:p>
    <w:p>
      <w:pPr>
        <w:spacing w:after="0" w:line="103" w:lineRule="exact"/>
        <w:rPr>
          <w:rFonts w:ascii="Arial" w:cs="Arial" w:eastAsia="Arial" w:hAnsi="Arial"/>
          <w:sz w:val="18"/>
          <w:szCs w:val="18"/>
          <w:color w:val="auto"/>
        </w:rPr>
      </w:pPr>
    </w:p>
    <w:p>
      <w:pPr>
        <w:ind w:left="2260" w:hanging="352"/>
        <w:spacing w:after="0"/>
        <w:tabs>
          <w:tab w:leader="none" w:pos="22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Prior use of topical/local TLR-7/8 agonists within the past 6 months;</w:t>
      </w:r>
    </w:p>
    <w:p>
      <w:pPr>
        <w:spacing w:after="0" w:line="103" w:lineRule="exact"/>
        <w:rPr>
          <w:rFonts w:ascii="Arial" w:cs="Arial" w:eastAsia="Arial" w:hAnsi="Arial"/>
          <w:sz w:val="18"/>
          <w:szCs w:val="18"/>
          <w:color w:val="auto"/>
        </w:rPr>
      </w:pPr>
    </w:p>
    <w:p>
      <w:pPr>
        <w:ind w:left="2260" w:right="1199" w:hanging="352"/>
        <w:spacing w:after="0" w:line="277" w:lineRule="auto"/>
        <w:tabs>
          <w:tab w:leader="none" w:pos="22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Prior anti-cancer therapy administered 2-4 weeks prior to the first dose of study drug depending on the indication;</w:t>
      </w:r>
    </w:p>
    <w:p>
      <w:pPr>
        <w:spacing w:after="0" w:line="48" w:lineRule="exact"/>
        <w:rPr>
          <w:rFonts w:ascii="Arial" w:cs="Arial" w:eastAsia="Arial" w:hAnsi="Arial"/>
          <w:sz w:val="18"/>
          <w:szCs w:val="18"/>
          <w:color w:val="auto"/>
        </w:rPr>
      </w:pPr>
    </w:p>
    <w:p>
      <w:pPr>
        <w:ind w:left="2260" w:right="519" w:hanging="352"/>
        <w:spacing w:after="0" w:line="308" w:lineRule="auto"/>
        <w:tabs>
          <w:tab w:leader="none" w:pos="22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Lesions that are to be injected in previously irradiated areas unless progressive tumor growth has been demonstrated (no prior irradiation of injected lesions on patients with melanoma); or</w:t>
      </w:r>
    </w:p>
    <w:p>
      <w:pPr>
        <w:spacing w:after="0" w:line="24" w:lineRule="exact"/>
        <w:rPr>
          <w:rFonts w:ascii="Arial" w:cs="Arial" w:eastAsia="Arial" w:hAnsi="Arial"/>
          <w:sz w:val="17"/>
          <w:szCs w:val="17"/>
          <w:color w:val="auto"/>
        </w:rPr>
      </w:pPr>
    </w:p>
    <w:p>
      <w:pPr>
        <w:ind w:left="2260" w:right="679" w:hanging="352"/>
        <w:spacing w:after="0" w:line="277" w:lineRule="auto"/>
        <w:tabs>
          <w:tab w:leader="none" w:pos="22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Treatment with any investigational anticancer agent within 4 weeks prior to the first dose of study drug.</w:t>
      </w:r>
    </w:p>
    <w:p>
      <w:pPr>
        <w:spacing w:after="0" w:line="10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Primary Endpoints:</w:t>
      </w:r>
    </w:p>
    <w:p>
      <w:pPr>
        <w:spacing w:after="0" w:line="117" w:lineRule="exact"/>
        <w:rPr>
          <w:sz w:val="20"/>
          <w:szCs w:val="20"/>
          <w:color w:val="auto"/>
        </w:rPr>
      </w:pPr>
    </w:p>
    <w:p>
      <w:pPr>
        <w:ind w:left="2260" w:right="519" w:hanging="352"/>
        <w:spacing w:after="0" w:line="263" w:lineRule="auto"/>
        <w:tabs>
          <w:tab w:leader="none" w:pos="22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Determine maximum tolerated dose, or MTD, based on occurrence of DLTs within 2 weeks after the first dose and recommended dose, or RD, respectively, for CV8102 alone and in with anti-PD-1 therapy.</w:t>
      </w:r>
    </w:p>
    <w:p>
      <w:pPr>
        <w:spacing w:after="0" w:line="62" w:lineRule="exact"/>
        <w:rPr>
          <w:rFonts w:ascii="Arial" w:cs="Arial" w:eastAsia="Arial" w:hAnsi="Arial"/>
          <w:sz w:val="18"/>
          <w:szCs w:val="18"/>
          <w:color w:val="auto"/>
        </w:rPr>
      </w:pPr>
    </w:p>
    <w:p>
      <w:pPr>
        <w:ind w:left="2260" w:hanging="352"/>
        <w:spacing w:after="0"/>
        <w:tabs>
          <w:tab w:leader="none" w:pos="22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Tolerability and safety of CV8102 alone and in combination with anti-PD-1 therapy</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Secondary Endpoints:</w:t>
      </w:r>
    </w:p>
    <w:p>
      <w:pPr>
        <w:spacing w:after="0" w:line="104" w:lineRule="exact"/>
        <w:rPr>
          <w:sz w:val="20"/>
          <w:szCs w:val="20"/>
          <w:color w:val="auto"/>
        </w:rPr>
      </w:pPr>
    </w:p>
    <w:p>
      <w:pPr>
        <w:ind w:left="2260" w:right="659" w:hanging="352"/>
        <w:spacing w:after="0" w:line="277" w:lineRule="auto"/>
        <w:tabs>
          <w:tab w:leader="none" w:pos="22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Evaluate anti-tumor activity of CV8102 alone and in combination with anti PD-1 antibodies per RECIST 1.1 and irRECIST criteria.</w:t>
      </w:r>
    </w:p>
    <w:p>
      <w:pPr>
        <w:spacing w:after="0" w:line="62" w:lineRule="exact"/>
        <w:rPr>
          <w:rFonts w:ascii="Arial" w:cs="Arial" w:eastAsia="Arial" w:hAnsi="Arial"/>
          <w:sz w:val="18"/>
          <w:szCs w:val="18"/>
          <w:color w:val="auto"/>
        </w:rPr>
      </w:pPr>
    </w:p>
    <w:p>
      <w:pPr>
        <w:ind w:left="2260" w:hanging="352"/>
        <w:spacing w:after="0"/>
        <w:tabs>
          <w:tab w:leader="none" w:pos="22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Evaluate duration of response, progression free survival and disease control rate at 6 months.</w:t>
      </w:r>
    </w:p>
    <w:p>
      <w:pPr>
        <w:spacing w:after="0" w:line="115" w:lineRule="exact"/>
        <w:rPr>
          <w:rFonts w:ascii="Arial" w:cs="Arial" w:eastAsia="Arial" w:hAnsi="Arial"/>
          <w:sz w:val="17"/>
          <w:szCs w:val="17"/>
          <w:color w:val="auto"/>
        </w:rPr>
      </w:pPr>
    </w:p>
    <w:p>
      <w:pPr>
        <w:ind w:left="2260" w:hanging="352"/>
        <w:spacing w:after="0"/>
        <w:tabs>
          <w:tab w:leader="none" w:pos="22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Evaluate tumor response of injected and non-injected lesions.</w:t>
      </w:r>
    </w:p>
    <w:p>
      <w:pPr>
        <w:spacing w:after="0" w:line="103" w:lineRule="exact"/>
        <w:rPr>
          <w:rFonts w:ascii="Arial" w:cs="Arial" w:eastAsia="Arial" w:hAnsi="Arial"/>
          <w:sz w:val="18"/>
          <w:szCs w:val="18"/>
          <w:color w:val="auto"/>
        </w:rPr>
      </w:pPr>
    </w:p>
    <w:p>
      <w:pPr>
        <w:ind w:left="2260" w:hanging="352"/>
        <w:spacing w:after="0"/>
        <w:tabs>
          <w:tab w:leader="none" w:pos="22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Evaluate survival time.</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Exploratory Endpoints:</w:t>
      </w:r>
    </w:p>
    <w:p>
      <w:pPr>
        <w:spacing w:after="0" w:line="104" w:lineRule="exact"/>
        <w:rPr>
          <w:sz w:val="20"/>
          <w:szCs w:val="20"/>
          <w:color w:val="auto"/>
        </w:rPr>
      </w:pPr>
    </w:p>
    <w:p>
      <w:pPr>
        <w:ind w:left="2260" w:right="879" w:hanging="352"/>
        <w:spacing w:after="0" w:line="277" w:lineRule="auto"/>
        <w:tabs>
          <w:tab w:leader="none" w:pos="22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Evaluate effects on immune parameters and other biomarkers of interest in the peripheral blood.</w:t>
      </w:r>
    </w:p>
    <w:p>
      <w:pPr>
        <w:spacing w:after="0" w:line="48" w:lineRule="exact"/>
        <w:rPr>
          <w:rFonts w:ascii="Arial" w:cs="Arial" w:eastAsia="Arial" w:hAnsi="Arial"/>
          <w:sz w:val="18"/>
          <w:szCs w:val="18"/>
          <w:color w:val="auto"/>
        </w:rPr>
      </w:pPr>
    </w:p>
    <w:p>
      <w:pPr>
        <w:ind w:left="2260" w:right="619" w:hanging="352"/>
        <w:spacing w:after="0" w:line="277" w:lineRule="auto"/>
        <w:tabs>
          <w:tab w:leader="none" w:pos="22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Evaluate effects on immune cell infiltration and other biomarkers of interest in tumor biopsy specimen (in selected cohorts during the expansion phase).</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3" w:name="page164"/>
    <w:bookmarkEnd w:id="16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Preliminary Patient Demographics</w:t>
      </w:r>
    </w:p>
    <w:p>
      <w:pPr>
        <w:spacing w:after="0" w:line="158" w:lineRule="exact"/>
        <w:rPr>
          <w:sz w:val="20"/>
          <w:szCs w:val="20"/>
          <w:color w:val="auto"/>
        </w:rPr>
      </w:pPr>
    </w:p>
    <w:p>
      <w:pPr>
        <w:ind w:left="1260" w:right="499" w:firstLine="648"/>
        <w:spacing w:after="0" w:line="259" w:lineRule="auto"/>
        <w:rPr>
          <w:sz w:val="20"/>
          <w:szCs w:val="20"/>
          <w:color w:val="auto"/>
        </w:rPr>
      </w:pPr>
      <w:r>
        <w:rPr>
          <w:rFonts w:ascii="Arial" w:cs="Arial" w:eastAsia="Arial" w:hAnsi="Arial"/>
          <w:sz w:val="18"/>
          <w:szCs w:val="18"/>
          <w:color w:val="auto"/>
        </w:rPr>
        <w:t>As of October 5, 2020, 50 patients were enrolled in the clinical trial: 29 in the single agent cohort and 21 in the combination cohort with anti-PD-1 antibodies. In the single agent cohort, 41% of patients had melanoma, 14% HNSCC, 14% SCC and 31% ACC. 55% of patients were pre-treated with anti-PD-1 antibodies and 7% with anti CTLA-4 antibodies.</w:t>
      </w:r>
    </w:p>
    <w:p>
      <w:pPr>
        <w:spacing w:after="0" w:line="119" w:lineRule="exact"/>
        <w:rPr>
          <w:sz w:val="20"/>
          <w:szCs w:val="20"/>
          <w:color w:val="auto"/>
        </w:rPr>
      </w:pPr>
    </w:p>
    <w:p>
      <w:pPr>
        <w:ind w:left="1260" w:right="479" w:firstLine="648"/>
        <w:spacing w:after="0" w:line="277" w:lineRule="auto"/>
        <w:rPr>
          <w:sz w:val="20"/>
          <w:szCs w:val="20"/>
          <w:color w:val="auto"/>
        </w:rPr>
      </w:pPr>
      <w:r>
        <w:rPr>
          <w:rFonts w:ascii="Arial" w:cs="Arial" w:eastAsia="Arial" w:hAnsi="Arial"/>
          <w:sz w:val="18"/>
          <w:szCs w:val="18"/>
          <w:color w:val="auto"/>
        </w:rPr>
        <w:t>In the combination cohort, 86% of patients had cMEL and 14% had HNSCC. 86% were pre-treated with anti-PD-1 antibodies and 48% with anti CTLA-4 antibodies.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108585</wp:posOffset>
            </wp:positionV>
            <wp:extent cx="4989195" cy="32321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989195" cy="3232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Percentages presented above have been rounded to the nearest whole number.</w:t>
      </w:r>
    </w:p>
    <w:p>
      <w:pPr>
        <w:spacing w:after="0" w:line="158" w:lineRule="exact"/>
        <w:rPr>
          <w:sz w:val="20"/>
          <w:szCs w:val="20"/>
          <w:color w:val="auto"/>
        </w:rPr>
      </w:pPr>
    </w:p>
    <w:p>
      <w:pPr>
        <w:ind w:left="1260" w:right="439" w:firstLine="648"/>
        <w:spacing w:after="0" w:line="259" w:lineRule="auto"/>
        <w:rPr>
          <w:sz w:val="20"/>
          <w:szCs w:val="20"/>
          <w:color w:val="auto"/>
        </w:rPr>
      </w:pPr>
      <w:r>
        <w:rPr>
          <w:rFonts w:ascii="Arial" w:cs="Arial" w:eastAsia="Arial" w:hAnsi="Arial"/>
          <w:sz w:val="18"/>
          <w:szCs w:val="18"/>
          <w:color w:val="auto"/>
        </w:rPr>
        <w:t>CV8102 is administered weekly for the first five cycles and then every two to three weeks for the subsequent cycles for a total of eight injections or until disease progression or death of the patient. In the single agent cohorts, more than eight injections may be administered should the patient experience a clinical benefit.</w:t>
      </w:r>
    </w:p>
    <w:p>
      <w:pPr>
        <w:spacing w:after="0" w:line="106" w:lineRule="exact"/>
        <w:rPr>
          <w:sz w:val="20"/>
          <w:szCs w:val="20"/>
          <w:color w:val="auto"/>
        </w:rPr>
      </w:pPr>
    </w:p>
    <w:p>
      <w:pPr>
        <w:ind w:left="1260" w:right="439" w:firstLine="648"/>
        <w:spacing w:after="0" w:line="257" w:lineRule="auto"/>
        <w:rPr>
          <w:sz w:val="20"/>
          <w:szCs w:val="20"/>
          <w:color w:val="auto"/>
        </w:rPr>
      </w:pPr>
      <w:r>
        <w:rPr>
          <w:rFonts w:ascii="Arial" w:cs="Arial" w:eastAsia="Arial" w:hAnsi="Arial"/>
          <w:sz w:val="18"/>
          <w:szCs w:val="18"/>
          <w:color w:val="auto"/>
        </w:rPr>
        <w:t>Dose escalation of single agent CV8102 and the combination with anti-PD-1 are running in parallel, with the single-agent cohort being more advanced due to an earlier start of enrollment. We consider a dose level to be safe once it is cleared with monotherapy. This CV8102 dose level is then combined with an anti-PD-1. In parallel, the study continues with the next cohort of the dose escalation monotherapy. Once that higher monotherapy dose is considered safe, combination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271780</wp:posOffset>
            </wp:positionV>
            <wp:extent cx="680656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4" w:name="page165"/>
    <w:bookmarkEnd w:id="16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Phase 1 Dose Cohorts and Enrollment Status as of April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1168400</wp:posOffset>
            </wp:positionH>
            <wp:positionV relativeFrom="paragraph">
              <wp:posOffset>102870</wp:posOffset>
            </wp:positionV>
            <wp:extent cx="4483100" cy="23145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48310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60" w:right="539" w:firstLine="648"/>
        <w:spacing w:after="0" w:line="248" w:lineRule="auto"/>
        <w:rPr>
          <w:sz w:val="20"/>
          <w:szCs w:val="20"/>
          <w:color w:val="auto"/>
        </w:rPr>
      </w:pPr>
      <w:r>
        <w:rPr>
          <w:rFonts w:ascii="Arial" w:cs="Arial" w:eastAsia="Arial" w:hAnsi="Arial"/>
          <w:sz w:val="18"/>
          <w:szCs w:val="18"/>
          <w:color w:val="auto"/>
        </w:rPr>
        <w:t>As of October 5, 2020, the clinical trial’s 900 μg cohorts had not yet encountered an MTD and has involved one DLT in the single agent cohort. We presented a Phase 1 trial update at the virtual SITC Conference in November 2020.</w:t>
      </w:r>
    </w:p>
    <w:p>
      <w:pPr>
        <w:spacing w:after="0" w:line="114"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Preliminary Safety Data</w:t>
      </w:r>
    </w:p>
    <w:p>
      <w:pPr>
        <w:spacing w:after="0" w:line="221" w:lineRule="exact"/>
        <w:rPr>
          <w:sz w:val="20"/>
          <w:szCs w:val="20"/>
          <w:color w:val="auto"/>
        </w:rPr>
      </w:pPr>
    </w:p>
    <w:p>
      <w:pPr>
        <w:ind w:left="1600"/>
        <w:spacing w:after="0"/>
        <w:rPr>
          <w:sz w:val="20"/>
          <w:szCs w:val="20"/>
          <w:color w:val="auto"/>
        </w:rPr>
      </w:pPr>
      <w:r>
        <w:rPr>
          <w:rFonts w:ascii="Arial" w:cs="Arial" w:eastAsia="Arial" w:hAnsi="Arial"/>
          <w:sz w:val="16"/>
          <w:szCs w:val="16"/>
          <w:b w:val="1"/>
          <w:bCs w:val="1"/>
          <w:color w:val="auto"/>
        </w:rPr>
        <w:t>Preliminary safety data: Treatment emergent AEs occurring in ≥ 10% of patients as of October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109220</wp:posOffset>
            </wp:positionV>
            <wp:extent cx="4980305" cy="36950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980305" cy="3695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 AEs were assessed as unrelated to CV8102 by the investigators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5" w:name="page166"/>
    <w:bookmarkEnd w:id="16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519" w:firstLine="648"/>
        <w:spacing w:after="0" w:line="273" w:lineRule="auto"/>
        <w:rPr>
          <w:sz w:val="20"/>
          <w:szCs w:val="20"/>
          <w:color w:val="auto"/>
        </w:rPr>
      </w:pPr>
      <w:r>
        <w:rPr>
          <w:rFonts w:ascii="Arial" w:cs="Arial" w:eastAsia="Arial" w:hAnsi="Arial"/>
          <w:sz w:val="17"/>
          <w:szCs w:val="17"/>
          <w:color w:val="auto"/>
        </w:rPr>
        <w:t>There was one DLT (Grade 3 elevation of liver enzymes in context of a Grade 2 cytokine release syndrome) observed in the 900 µg single agent dose cohort. No Grade 4 or 5 AEs related to CV8102 were reported. As of October 2020, the clinical trial has not yet encountered an MTD and has involved one DLT in the 900 μg single agent cohort. Adverse events were graded according to the NCI-Common Terminology Criteria for Adverse Events. Grades refer to the severity of the adverse events with unique clinical descriptions of the severity of each AE based on the following general guideline:</w:t>
      </w:r>
    </w:p>
    <w:p>
      <w:pPr>
        <w:spacing w:after="0" w:line="110" w:lineRule="exact"/>
        <w:rPr>
          <w:sz w:val="20"/>
          <w:szCs w:val="20"/>
          <w:color w:val="auto"/>
        </w:rPr>
      </w:pPr>
    </w:p>
    <w:p>
      <w:pPr>
        <w:ind w:left="1900" w:right="899"/>
        <w:spacing w:after="0" w:line="277" w:lineRule="auto"/>
        <w:rPr>
          <w:sz w:val="20"/>
          <w:szCs w:val="20"/>
          <w:color w:val="auto"/>
        </w:rPr>
      </w:pPr>
      <w:r>
        <w:rPr>
          <w:rFonts w:ascii="Arial" w:cs="Arial" w:eastAsia="Arial" w:hAnsi="Arial"/>
          <w:sz w:val="18"/>
          <w:szCs w:val="18"/>
          <w:color w:val="auto"/>
        </w:rPr>
        <w:t>Grade 1: Mild; asymptomatic or mild symptoms or clinical or diagnostic observations only or intervention not indicated.</w:t>
      </w:r>
    </w:p>
    <w:p>
      <w:pPr>
        <w:spacing w:after="0" w:line="103" w:lineRule="exact"/>
        <w:rPr>
          <w:sz w:val="20"/>
          <w:szCs w:val="20"/>
          <w:color w:val="auto"/>
        </w:rPr>
      </w:pPr>
    </w:p>
    <w:p>
      <w:pPr>
        <w:ind w:left="1900" w:right="1279"/>
        <w:spacing w:after="0" w:line="277" w:lineRule="auto"/>
        <w:rPr>
          <w:sz w:val="20"/>
          <w:szCs w:val="20"/>
          <w:color w:val="auto"/>
        </w:rPr>
      </w:pPr>
      <w:r>
        <w:rPr>
          <w:rFonts w:ascii="Arial" w:cs="Arial" w:eastAsia="Arial" w:hAnsi="Arial"/>
          <w:sz w:val="18"/>
          <w:szCs w:val="18"/>
          <w:color w:val="auto"/>
        </w:rPr>
        <w:t>Grade 2: Moderate; minimal, local or non-invasive intervention indicated or limiting age appropriate instrumental activities of daily living.</w:t>
      </w:r>
    </w:p>
    <w:p>
      <w:pPr>
        <w:spacing w:after="0" w:line="89" w:lineRule="exact"/>
        <w:rPr>
          <w:sz w:val="20"/>
          <w:szCs w:val="20"/>
          <w:color w:val="auto"/>
        </w:rPr>
      </w:pPr>
    </w:p>
    <w:p>
      <w:pPr>
        <w:ind w:left="1900" w:right="579"/>
        <w:spacing w:after="0" w:line="308" w:lineRule="auto"/>
        <w:rPr>
          <w:sz w:val="20"/>
          <w:szCs w:val="20"/>
          <w:color w:val="auto"/>
        </w:rPr>
      </w:pPr>
      <w:r>
        <w:rPr>
          <w:rFonts w:ascii="Arial" w:cs="Arial" w:eastAsia="Arial" w:hAnsi="Arial"/>
          <w:sz w:val="17"/>
          <w:szCs w:val="17"/>
          <w:color w:val="auto"/>
        </w:rPr>
        <w:t>Grade 3: Severe or medically significant but not immediately life threatening or hospitalization or prolongation of hospitalization indicated or disabling or limiting self care activities of daily life.</w:t>
      </w:r>
    </w:p>
    <w:p>
      <w:pPr>
        <w:spacing w:after="0" w:line="79" w:lineRule="exact"/>
        <w:rPr>
          <w:sz w:val="20"/>
          <w:szCs w:val="20"/>
          <w:color w:val="auto"/>
        </w:rPr>
      </w:pPr>
    </w:p>
    <w:p>
      <w:pPr>
        <w:ind w:left="1900" w:right="2499"/>
        <w:spacing w:after="0" w:line="406" w:lineRule="auto"/>
        <w:rPr>
          <w:sz w:val="20"/>
          <w:szCs w:val="20"/>
          <w:color w:val="auto"/>
        </w:rPr>
      </w:pPr>
      <w:r>
        <w:rPr>
          <w:rFonts w:ascii="Arial" w:cs="Arial" w:eastAsia="Arial" w:hAnsi="Arial"/>
          <w:sz w:val="18"/>
          <w:szCs w:val="18"/>
          <w:color w:val="auto"/>
        </w:rPr>
        <w:t>Grade 4: Life threatening consequences or urgent intervention indicated. Grade 5: Death related to adverse event. As of October 5, 2020:</w:t>
      </w:r>
    </w:p>
    <w:p>
      <w:pPr>
        <w:spacing w:after="0" w:line="3" w:lineRule="exact"/>
        <w:rPr>
          <w:sz w:val="20"/>
          <w:szCs w:val="20"/>
          <w:color w:val="auto"/>
        </w:rPr>
      </w:pPr>
    </w:p>
    <w:p>
      <w:pPr>
        <w:ind w:left="2260" w:right="439" w:hanging="352"/>
        <w:spacing w:after="0" w:line="277" w:lineRule="auto"/>
        <w:tabs>
          <w:tab w:leader="none" w:pos="22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most frequently reported adverse events occurring in more than 20% of patients were mild to moderate pyrexia, fatigue, chills, headache, injection site pain and nausea.</w:t>
      </w:r>
    </w:p>
    <w:p>
      <w:pPr>
        <w:spacing w:after="0" w:line="75" w:lineRule="exact"/>
        <w:rPr>
          <w:rFonts w:ascii="Arial" w:cs="Arial" w:eastAsia="Arial" w:hAnsi="Arial"/>
          <w:sz w:val="18"/>
          <w:szCs w:val="18"/>
          <w:color w:val="auto"/>
        </w:rPr>
      </w:pPr>
    </w:p>
    <w:p>
      <w:pPr>
        <w:ind w:left="2260" w:right="419" w:hanging="352"/>
        <w:spacing w:after="0" w:line="259" w:lineRule="auto"/>
        <w:tabs>
          <w:tab w:leader="none" w:pos="22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18 (36%) patients experienced treatment emergent ≥ Grade 3 AEs and 7 (14%) patients experienced Grade 3 AEs considered treatment related per investigator’s judgement (one of the events fulfilled criteria for dose limiting toxicities per protocol). There were no Grade 4 or 5 AEs considered related to study treatment.</w:t>
      </w:r>
    </w:p>
    <w:p>
      <w:pPr>
        <w:spacing w:after="0" w:line="92" w:lineRule="exact"/>
        <w:rPr>
          <w:rFonts w:ascii="Arial" w:cs="Arial" w:eastAsia="Arial" w:hAnsi="Arial"/>
          <w:sz w:val="18"/>
          <w:szCs w:val="18"/>
          <w:color w:val="auto"/>
        </w:rPr>
      </w:pPr>
    </w:p>
    <w:p>
      <w:pPr>
        <w:ind w:left="2260" w:right="419" w:hanging="352"/>
        <w:spacing w:after="0" w:line="272" w:lineRule="auto"/>
        <w:tabs>
          <w:tab w:leader="none" w:pos="22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In the single-agent CV8102 cohort, four patients experienced transient Grade 3 elevations of liver enzymes (1 at 150 μg dose level, 2 at 200 μg dose level and one at the 900 µg dose level, the latter fulfilled DLT criteria per protocol, because it occured within one week after the second injection). One patient in the 900 µg cohort experienced an immune mediated Grade 3 pneumonitis and was recovering on steroid treatment approximately one week later. The patient had already experienced a previous episode of Grade 1 pneumonitis that may have been related to previous treatment with anti PD-1 antibodies prior to study enrollment.</w:t>
      </w:r>
    </w:p>
    <w:p>
      <w:pPr>
        <w:spacing w:after="0" w:line="96" w:lineRule="exact"/>
        <w:rPr>
          <w:rFonts w:ascii="Arial" w:cs="Arial" w:eastAsia="Arial" w:hAnsi="Arial"/>
          <w:sz w:val="17"/>
          <w:szCs w:val="17"/>
          <w:color w:val="auto"/>
        </w:rPr>
      </w:pPr>
    </w:p>
    <w:p>
      <w:pPr>
        <w:ind w:left="2260" w:right="579" w:hanging="352"/>
        <w:spacing w:after="0" w:line="257" w:lineRule="auto"/>
        <w:tabs>
          <w:tab w:leader="none" w:pos="22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the combination cohort of CV8102 with anti-PD-1 antibodies, one patient (100 μg dose level) experienced Grade 3 hypertension, mild chills, fever and tachycardia on day of administration of CV8102 and anti-PD-1 requiring inpatient observation (SAE) and transient asymptomatic Grade 3 elevation of serum lipase. one patient (100 μg dose level) experienced transient asymptomatic Grade 3 elevation of serum amylase.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Treatment Related Serious Adverse Effects (SAEs)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As of October 5, 2020:</w:t>
      </w:r>
    </w:p>
    <w:p>
      <w:pPr>
        <w:spacing w:after="0" w:line="135" w:lineRule="exact"/>
        <w:rPr>
          <w:sz w:val="20"/>
          <w:szCs w:val="20"/>
          <w:color w:val="auto"/>
        </w:rPr>
      </w:pPr>
    </w:p>
    <w:p>
      <w:pPr>
        <w:ind w:left="2260" w:right="459" w:hanging="352"/>
        <w:spacing w:after="0" w:line="259" w:lineRule="auto"/>
        <w:tabs>
          <w:tab w:leader="none" w:pos="22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the combination cohort of CV8102 with anti-PD-1 antibodies, one patient required inpatient observation after Grade 3 hypertension, mild chills, fever and tachycardia (100 μg dose level) and one patient experienced Grade 2 cytokine release syndrome (300 μg dose level) and one patient Grade 1 cytokine release syndrome (600 µg dose level)</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Preliminary Efficacy Data</w:t>
      </w:r>
    </w:p>
    <w:p>
      <w:pPr>
        <w:spacing w:after="0" w:line="148" w:lineRule="exact"/>
        <w:rPr>
          <w:sz w:val="20"/>
          <w:szCs w:val="20"/>
          <w:color w:val="auto"/>
        </w:rPr>
      </w:pPr>
    </w:p>
    <w:p>
      <w:pPr>
        <w:ind w:left="1260" w:right="459" w:firstLine="648"/>
        <w:spacing w:after="0" w:line="301" w:lineRule="auto"/>
        <w:rPr>
          <w:sz w:val="20"/>
          <w:szCs w:val="20"/>
          <w:color w:val="auto"/>
        </w:rPr>
      </w:pPr>
      <w:r>
        <w:rPr>
          <w:rFonts w:ascii="Arial" w:cs="Arial" w:eastAsia="Arial" w:hAnsi="Arial"/>
          <w:sz w:val="16"/>
          <w:szCs w:val="16"/>
          <w:color w:val="auto"/>
        </w:rPr>
        <w:t>Tumor responses were assessed according to Response Evaluation Criteria in Solid Tumors, or RECIST 1.1. The overall response evaluation according to RECIST 1.1 integrates changes in both measurable and non-measurable tumor lesions that can be assessed by radiographic imagining (CT or MRI ) or clinical examination (documented by photographs). Assessment was performed by the investigators at</w:t>
      </w:r>
    </w:p>
    <w:p>
      <w:pPr>
        <w:spacing w:after="0" w:line="34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6" w:name="page167"/>
    <w:bookmarkEnd w:id="16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559"/>
        <w:spacing w:after="0" w:line="261" w:lineRule="auto"/>
        <w:rPr>
          <w:sz w:val="20"/>
          <w:szCs w:val="20"/>
          <w:color w:val="auto"/>
        </w:rPr>
      </w:pPr>
      <w:r>
        <w:rPr>
          <w:rFonts w:ascii="Arial" w:cs="Arial" w:eastAsia="Arial" w:hAnsi="Arial"/>
          <w:sz w:val="18"/>
          <w:szCs w:val="18"/>
          <w:color w:val="auto"/>
        </w:rPr>
        <w:t>baseline and at defined time points during the study period. Responses per RECIST 1.1 criteria are defined as follows:</w:t>
      </w:r>
    </w:p>
    <w:p>
      <w:pPr>
        <w:spacing w:after="0" w:line="103" w:lineRule="exact"/>
        <w:rPr>
          <w:sz w:val="20"/>
          <w:szCs w:val="20"/>
          <w:color w:val="auto"/>
        </w:rPr>
      </w:pPr>
    </w:p>
    <w:p>
      <w:pPr>
        <w:ind w:left="1260" w:right="619" w:firstLine="648"/>
        <w:spacing w:after="0" w:line="261" w:lineRule="auto"/>
        <w:rPr>
          <w:sz w:val="20"/>
          <w:szCs w:val="20"/>
          <w:color w:val="auto"/>
        </w:rPr>
      </w:pPr>
      <w:r>
        <w:rPr>
          <w:rFonts w:ascii="Arial" w:cs="Arial" w:eastAsia="Arial" w:hAnsi="Arial"/>
          <w:sz w:val="18"/>
          <w:szCs w:val="18"/>
          <w:color w:val="auto"/>
        </w:rPr>
        <w:t>A CR is the disappearance of all tumor lesions that were present before start of treatment without appearance of new lesions.</w:t>
      </w:r>
    </w:p>
    <w:p>
      <w:pPr>
        <w:spacing w:after="0" w:line="90" w:lineRule="exact"/>
        <w:rPr>
          <w:sz w:val="20"/>
          <w:szCs w:val="20"/>
          <w:color w:val="auto"/>
        </w:rPr>
      </w:pPr>
    </w:p>
    <w:p>
      <w:pPr>
        <w:ind w:left="1900" w:right="519"/>
        <w:spacing w:after="0" w:line="262" w:lineRule="auto"/>
        <w:rPr>
          <w:sz w:val="20"/>
          <w:szCs w:val="20"/>
          <w:color w:val="auto"/>
        </w:rPr>
      </w:pPr>
      <w:r>
        <w:rPr>
          <w:rFonts w:ascii="Arial" w:cs="Arial" w:eastAsia="Arial" w:hAnsi="Arial"/>
          <w:sz w:val="17"/>
          <w:szCs w:val="17"/>
          <w:color w:val="auto"/>
        </w:rPr>
        <w:t>A PR is a ≥ 30% decrease in the sum of diameters of specified tumor lesions (called target lesions) taking as reference the baseline sum diameters without progression or disappearance of the other lesions and without appearance of new lesions or CR of target lesions without disappearance of other lesions but without progression or appearance of new lesions.</w:t>
      </w:r>
    </w:p>
    <w:p>
      <w:pPr>
        <w:spacing w:after="0" w:line="105" w:lineRule="exact"/>
        <w:rPr>
          <w:sz w:val="20"/>
          <w:szCs w:val="20"/>
          <w:color w:val="auto"/>
        </w:rPr>
      </w:pPr>
    </w:p>
    <w:p>
      <w:pPr>
        <w:ind w:left="1900" w:right="599"/>
        <w:spacing w:after="0" w:line="243" w:lineRule="auto"/>
        <w:rPr>
          <w:sz w:val="20"/>
          <w:szCs w:val="20"/>
          <w:color w:val="auto"/>
        </w:rPr>
      </w:pPr>
      <w:r>
        <w:rPr>
          <w:rFonts w:ascii="Arial" w:cs="Arial" w:eastAsia="Arial" w:hAnsi="Arial"/>
          <w:sz w:val="18"/>
          <w:szCs w:val="18"/>
          <w:color w:val="auto"/>
        </w:rPr>
        <w:t>Progressive disease, or PD, indicates a ≥ 20% increase in the sum of diameters of specified tumor lesions (called target lesions) (taking as reference the smallest sum of diameters while on study) and at leasta5 mm increase and/or an unequivocal progression of existing further lesions (called nontarget lesions) or appearance of new lesions.</w:t>
      </w:r>
    </w:p>
    <w:p>
      <w:pPr>
        <w:spacing w:after="0" w:line="107" w:lineRule="exact"/>
        <w:rPr>
          <w:sz w:val="20"/>
          <w:szCs w:val="20"/>
          <w:color w:val="auto"/>
        </w:rPr>
      </w:pPr>
    </w:p>
    <w:p>
      <w:pPr>
        <w:ind w:left="1900" w:right="499"/>
        <w:spacing w:after="0" w:line="261" w:lineRule="auto"/>
        <w:rPr>
          <w:sz w:val="20"/>
          <w:szCs w:val="20"/>
          <w:color w:val="auto"/>
        </w:rPr>
      </w:pPr>
      <w:r>
        <w:rPr>
          <w:rFonts w:ascii="Arial" w:cs="Arial" w:eastAsia="Arial" w:hAnsi="Arial"/>
          <w:sz w:val="18"/>
          <w:szCs w:val="18"/>
          <w:color w:val="auto"/>
        </w:rPr>
        <w:t>Stable disease indicates there is neither sufficient shrinkage nor increase in size of tumor lesions to declare PR or PD and no appearance of new lesions.</w:t>
      </w:r>
    </w:p>
    <w:p>
      <w:pPr>
        <w:spacing w:after="0" w:line="90" w:lineRule="exact"/>
        <w:rPr>
          <w:sz w:val="20"/>
          <w:szCs w:val="20"/>
          <w:color w:val="auto"/>
        </w:rPr>
      </w:pPr>
    </w:p>
    <w:p>
      <w:pPr>
        <w:ind w:left="1260" w:right="999" w:firstLine="648"/>
        <w:spacing w:after="0" w:line="261" w:lineRule="auto"/>
        <w:rPr>
          <w:sz w:val="20"/>
          <w:szCs w:val="20"/>
          <w:color w:val="auto"/>
        </w:rPr>
      </w:pPr>
      <w:r>
        <w:rPr>
          <w:rFonts w:ascii="Arial" w:cs="Arial" w:eastAsia="Arial" w:hAnsi="Arial"/>
          <w:sz w:val="18"/>
          <w:szCs w:val="18"/>
          <w:color w:val="auto"/>
        </w:rPr>
        <w:t>The tables below show duration of treatment, response and time to progression of individual patients enrolled in the trial.</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Preliminary data on overall tumor response and duration according to RECIST 1.1 as of October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2471420</wp:posOffset>
            </wp:positionH>
            <wp:positionV relativeFrom="paragraph">
              <wp:posOffset>109220</wp:posOffset>
            </wp:positionV>
            <wp:extent cx="1877060" cy="315468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877060"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Preliminary efficacy data for single-agent CV8102</w:t>
      </w:r>
    </w:p>
    <w:p>
      <w:pPr>
        <w:spacing w:after="0" w:line="144" w:lineRule="exact"/>
        <w:rPr>
          <w:sz w:val="20"/>
          <w:szCs w:val="20"/>
          <w:color w:val="auto"/>
        </w:rPr>
      </w:pPr>
    </w:p>
    <w:p>
      <w:pPr>
        <w:ind w:left="1900" w:right="599"/>
        <w:spacing w:after="0"/>
        <w:rPr>
          <w:sz w:val="20"/>
          <w:szCs w:val="20"/>
          <w:color w:val="auto"/>
        </w:rPr>
      </w:pPr>
      <w:r>
        <w:rPr>
          <w:rFonts w:ascii="Arial" w:cs="Arial" w:eastAsia="Arial" w:hAnsi="Arial"/>
          <w:sz w:val="18"/>
          <w:szCs w:val="18"/>
          <w:color w:val="auto"/>
        </w:rPr>
        <w:t>As of October 5, 2020, one patient showed a CR and two patients showed a PR according to RECIST 1.1 after single- agent CV8102. In addition, nine patients experienced a best response of stable disease after eight weeks of treatment (associated with shrinkage of non-injected lesion in one patient, shrinkage of injected lesion in one patient and shrinkage of both the non-injected and injected lesions in one patient). Nine of the 29 (31%) patients treated with single-agent CV8102 remained free of progression for more than six months.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Preliminary efficacy data in combination with PD-1 antibodies</w:t>
      </w:r>
    </w:p>
    <w:p>
      <w:pPr>
        <w:spacing w:after="0" w:line="131" w:lineRule="exact"/>
        <w:rPr>
          <w:sz w:val="20"/>
          <w:szCs w:val="20"/>
          <w:color w:val="auto"/>
        </w:rPr>
      </w:pPr>
    </w:p>
    <w:p>
      <w:pPr>
        <w:ind w:left="1260" w:right="919" w:firstLine="648"/>
        <w:spacing w:after="0" w:line="261" w:lineRule="auto"/>
        <w:rPr>
          <w:sz w:val="20"/>
          <w:szCs w:val="20"/>
          <w:color w:val="auto"/>
        </w:rPr>
      </w:pPr>
      <w:r>
        <w:rPr>
          <w:rFonts w:ascii="Arial" w:cs="Arial" w:eastAsia="Arial" w:hAnsi="Arial"/>
          <w:sz w:val="18"/>
          <w:szCs w:val="18"/>
          <w:color w:val="auto"/>
        </w:rPr>
        <w:t>As of October 5, 2020, one patient with PD-1 refractory melanoma showed a partial response according to RECISt 1.1 in the combination cohort.</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286385</wp:posOffset>
            </wp:positionV>
            <wp:extent cx="680656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7" w:name="page168"/>
    <w:bookmarkEnd w:id="16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firstLine="648"/>
        <w:spacing w:after="0" w:line="259" w:lineRule="auto"/>
        <w:rPr>
          <w:sz w:val="20"/>
          <w:szCs w:val="20"/>
          <w:color w:val="auto"/>
        </w:rPr>
      </w:pPr>
      <w:r>
        <w:rPr>
          <w:rFonts w:ascii="Arial" w:cs="Arial" w:eastAsia="Arial" w:hAnsi="Arial"/>
          <w:sz w:val="18"/>
          <w:szCs w:val="18"/>
          <w:color w:val="auto"/>
        </w:rPr>
        <w:t>One PD-1 refractory melanoma patient experienced stable disease after the eight-week treatment period with regression of the injected and some non-injected lesions, while other non-injected lesions showed progression. One PD-1 pre-treated patient with HNSCC experienced stable disease after the 16 week treatment period.</w:t>
      </w:r>
    </w:p>
    <w:p>
      <w:pPr>
        <w:spacing w:after="0" w:line="119" w:lineRule="exact"/>
        <w:rPr>
          <w:sz w:val="20"/>
          <w:szCs w:val="20"/>
          <w:color w:val="auto"/>
        </w:rPr>
      </w:pPr>
    </w:p>
    <w:p>
      <w:pPr>
        <w:ind w:left="1260" w:right="439" w:firstLine="648"/>
        <w:spacing w:after="0" w:line="259" w:lineRule="auto"/>
        <w:rPr>
          <w:sz w:val="20"/>
          <w:szCs w:val="20"/>
          <w:color w:val="auto"/>
        </w:rPr>
      </w:pPr>
      <w:r>
        <w:rPr>
          <w:rFonts w:ascii="Arial" w:cs="Arial" w:eastAsia="Arial" w:hAnsi="Arial"/>
          <w:sz w:val="18"/>
          <w:szCs w:val="18"/>
          <w:color w:val="auto"/>
        </w:rPr>
        <w:t>The number of treated patients and follow-up time in this cohort were more limited as compared to the single-agent cohort. The patient population was also more heavily pretreated compared to the patients enrolled in the single-agent cohort (86% vs. 55% were pretreated with anti-PD-1 antibodies and 48% vs. 7% with anti-CTLA-4 antibodies).</w:t>
      </w:r>
    </w:p>
    <w:p>
      <w:pPr>
        <w:spacing w:after="0" w:line="119"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Single Agent Response Data</w:t>
      </w:r>
    </w:p>
    <w:p>
      <w:pPr>
        <w:spacing w:after="0" w:line="14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Case reports of patients with observed tumor shrinkage after single agent CV8102:</w:t>
      </w:r>
    </w:p>
    <w:p>
      <w:pPr>
        <w:spacing w:after="0" w:line="144" w:lineRule="exact"/>
        <w:rPr>
          <w:sz w:val="20"/>
          <w:szCs w:val="20"/>
          <w:color w:val="auto"/>
        </w:rPr>
      </w:pPr>
    </w:p>
    <w:p>
      <w:pPr>
        <w:ind w:left="2260" w:right="459" w:hanging="352"/>
        <w:spacing w:after="0" w:line="270" w:lineRule="auto"/>
        <w:tabs>
          <w:tab w:leader="none" w:pos="22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 74-year-old female patient with Stage IIIc melanoma and multifocal in-transit metastases was treated with single agent CV8102 (150 μg). The pictures below show the injected primary tumor before treatment, after first five weekly injections, and after eight injections at 12 weeks. After the first five injections, a partial regression of the injected lesion became apparent, which turned into a complete regression after eight injections (12 weeks). An MRI scan showed a complete regression of all noninjected in transit metastases. The response data together represent a confirmed complete response based on RECIST 1.1 criteria. The patient continued to receive injections at monthly intervals for up to nine months without locoregional recurrence but there was occurrence of a new intraabdominal soft tissue lesion.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1177290</wp:posOffset>
            </wp:positionH>
            <wp:positionV relativeFrom="paragraph">
              <wp:posOffset>115570</wp:posOffset>
            </wp:positionV>
            <wp:extent cx="4465955" cy="12947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465955" cy="129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260" w:right="419" w:hanging="352"/>
        <w:spacing w:after="0" w:line="269" w:lineRule="auto"/>
        <w:tabs>
          <w:tab w:leader="none" w:pos="22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 50-year-old female patient with Stage IV melanoma, metastases in ipsilateral supraclavicular lymph nodes and distant detectable metastases at study entry was treated with single agent CV8102 (450 μg). The patient previously experienced early tumor progression on adjuvant treatment with Nivolumab and subsequently underwent multiple resections of cutaneous and lymph node metastases and radiation prior to study entry. The patient received eight intratumoral injections of CV8102 into an axillary lymph node metastasis. After an early decrease in serum LDH she developed a partial response. Treatment with CV8102 was ongoing as of April 2020. The table below shows the decrease in the size of measurable tumor lesions after eight intratumoral injections of CV8102. The CT scan shows the decrease in size of the noninjected metastatic pleural lesion. The graph shows the decrease in serum LDH over time during the treatment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8" w:name="page169"/>
    <w:bookmarkEnd w:id="16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1485900</wp:posOffset>
            </wp:positionH>
            <wp:positionV relativeFrom="paragraph">
              <wp:posOffset>537210</wp:posOffset>
            </wp:positionV>
            <wp:extent cx="3840480" cy="29578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840480" cy="295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260" w:right="499" w:hanging="352"/>
        <w:spacing w:after="0" w:line="273" w:lineRule="auto"/>
        <w:tabs>
          <w:tab w:leader="none" w:pos="22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 91-year-old male patient with Stage IV HNSCC with large buccal and small lip lesion and a contralateral metastatic cervical lymph node was treated with single agent CV8102 (100 μg) after pretreatments with cetuximab, external beam radiation, and multiple surgeries. The patient experienced prolonged stable disease according to RECIST 1.1 until the end of study after nine months. Whereas the injected buccal lesion remained stable in size, the noninjected contralateral metastatic lymph node showed ongoing regression.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1108710</wp:posOffset>
            </wp:positionH>
            <wp:positionV relativeFrom="paragraph">
              <wp:posOffset>104775</wp:posOffset>
            </wp:positionV>
            <wp:extent cx="4594860" cy="11741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594860" cy="117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260" w:right="499" w:hanging="352"/>
        <w:spacing w:after="0" w:line="279" w:lineRule="auto"/>
        <w:tabs>
          <w:tab w:leader="none" w:pos="22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 64-year-old male patient with stage IV melanoma (150 μg dose level, single agent CV8102) who had progressed on previous anti-PD-1 antibody treatment experienced stable disease according to RECIST 1.1 for six months, with shrinkage of the injected lesion in the skin, and shrinkage of a noninjected contralateral paraaortic lymph node lesion.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9" w:name="page170"/>
    <w:bookmarkEnd w:id="16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537210</wp:posOffset>
            </wp:positionV>
            <wp:extent cx="2374265" cy="23571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374265"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Combination response data</w:t>
      </w:r>
      <w:r>
        <w:rPr>
          <w:rFonts w:ascii="Arial" w:cs="Arial" w:eastAsia="Arial" w:hAnsi="Arial"/>
          <w:sz w:val="18"/>
          <w:szCs w:val="18"/>
          <w:color w:val="auto"/>
        </w:rPr>
        <w:t>:</w:t>
      </w:r>
    </w:p>
    <w:p>
      <w:pPr>
        <w:spacing w:after="0" w:line="148" w:lineRule="exact"/>
        <w:rPr>
          <w:sz w:val="20"/>
          <w:szCs w:val="20"/>
          <w:color w:val="auto"/>
        </w:rPr>
      </w:pPr>
    </w:p>
    <w:p>
      <w:pPr>
        <w:ind w:left="1260" w:right="539" w:firstLine="648"/>
        <w:spacing w:after="0" w:line="248" w:lineRule="auto"/>
        <w:rPr>
          <w:sz w:val="20"/>
          <w:szCs w:val="20"/>
          <w:color w:val="auto"/>
        </w:rPr>
      </w:pPr>
      <w:r>
        <w:rPr>
          <w:rFonts w:ascii="Arial" w:cs="Arial" w:eastAsia="Arial" w:hAnsi="Arial"/>
          <w:sz w:val="18"/>
          <w:szCs w:val="18"/>
          <w:color w:val="auto"/>
        </w:rPr>
        <w:t>A 90-year-old female patient with stage IVc melanoma and metastatic lesions in the lung and liver was treated with eight intratumoral injections of CV8102 (600 µg) in combination with the anti-PD-1 antibody Pembrolizumab.</w:t>
      </w:r>
    </w:p>
    <w:p>
      <w:pPr>
        <w:spacing w:after="0" w:line="101" w:lineRule="exact"/>
        <w:rPr>
          <w:sz w:val="20"/>
          <w:szCs w:val="20"/>
          <w:color w:val="auto"/>
        </w:rPr>
      </w:pPr>
    </w:p>
    <w:p>
      <w:pPr>
        <w:ind w:left="1260" w:right="1259" w:firstLine="648"/>
        <w:spacing w:after="0" w:line="291" w:lineRule="auto"/>
        <w:rPr>
          <w:sz w:val="20"/>
          <w:szCs w:val="20"/>
          <w:color w:val="auto"/>
        </w:rPr>
      </w:pPr>
      <w:r>
        <w:rPr>
          <w:rFonts w:ascii="Arial" w:cs="Arial" w:eastAsia="Arial" w:hAnsi="Arial"/>
          <w:sz w:val="17"/>
          <w:szCs w:val="17"/>
          <w:color w:val="auto"/>
        </w:rPr>
        <w:t>The patient was pretreated with Nivolumab in combination with Ipilimumab followed by Nivolumab monotherapy that resulted in progressive disease four months prior to study entry.</w:t>
      </w:r>
    </w:p>
    <w:p>
      <w:pPr>
        <w:spacing w:after="0" w:line="52" w:lineRule="exact"/>
        <w:rPr>
          <w:sz w:val="20"/>
          <w:szCs w:val="20"/>
          <w:color w:val="auto"/>
        </w:rPr>
      </w:pPr>
    </w:p>
    <w:p>
      <w:pPr>
        <w:ind w:left="1260" w:right="1139" w:firstLine="648"/>
        <w:spacing w:after="0" w:line="248" w:lineRule="auto"/>
        <w:rPr>
          <w:sz w:val="20"/>
          <w:szCs w:val="20"/>
          <w:color w:val="auto"/>
        </w:rPr>
      </w:pPr>
      <w:r>
        <w:rPr>
          <w:rFonts w:ascii="Arial" w:cs="Arial" w:eastAsia="Arial" w:hAnsi="Arial"/>
          <w:sz w:val="18"/>
          <w:szCs w:val="18"/>
          <w:color w:val="auto"/>
        </w:rPr>
        <w:t>After eight injections, the patient showed a partial response according to RECIST 1.1 with regression of the injected lesion in a muscle and multiple non-injected lung and liver lesions as of October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73025</wp:posOffset>
            </wp:positionV>
            <wp:extent cx="4526280" cy="36347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526280" cy="363474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286385</wp:posOffset>
            </wp:positionV>
            <wp:extent cx="6806565"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0" w:name="page171"/>
    <w:bookmarkEnd w:id="17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CV8102 with Rabies Vaccine</w:t>
      </w:r>
    </w:p>
    <w:p>
      <w:pPr>
        <w:spacing w:after="0" w:line="158" w:lineRule="exact"/>
        <w:rPr>
          <w:sz w:val="20"/>
          <w:szCs w:val="20"/>
          <w:color w:val="auto"/>
        </w:rPr>
      </w:pPr>
    </w:p>
    <w:p>
      <w:pPr>
        <w:ind w:left="1260" w:right="419" w:firstLine="648"/>
        <w:spacing w:after="0" w:line="267" w:lineRule="auto"/>
        <w:rPr>
          <w:sz w:val="20"/>
          <w:szCs w:val="20"/>
          <w:color w:val="auto"/>
        </w:rPr>
      </w:pPr>
      <w:r>
        <w:rPr>
          <w:rFonts w:ascii="Arial" w:cs="Arial" w:eastAsia="Arial" w:hAnsi="Arial"/>
          <w:sz w:val="17"/>
          <w:szCs w:val="17"/>
          <w:color w:val="auto"/>
        </w:rPr>
        <w:t>We completed a Phase 1 clinical trial to investigate the safety and tolerability of intramuscular administered CV8102 and an intramuscular administered combination of CV8102 and rabies vaccine in humans. CV8102 was injected intramuscularly on days 0 and 21 either alone or mixed with fractional doses of the licensed rabies vaccine (Rabipur) as model antigen. The primary endpoint was to assess the safety and reactogenicity of various dose levels of CV8102 alone or combined with a licensed rabies vaccine in healthy 18 to 40 year-old male volunteers. A secondary endpoint was to assess the immune-enhancing potential of bedside-mixes of CV8102 with fractional doses of the licensed rabies vaccine by measuring induction of rabies virus neutralizing titers. Fifty-six volunteers received 50 to 100 μg CV8102 alone, bedside-mixed CV8102 and rabies vaccines, or the rabies vaccine alone. When given alone or mixed with the rabies vaccine, CV8102 caused mostly grade 1 or 2 local or systemic reactogenicity, but no related SAEs. Given 100 μg CV8102 was associated with marked C-reactive protein, or CRP increases, further dose escalation was stopped. Combining 25 to 50 μg of CV8102 with fractional doses of the rabies vaccine significantly improved the kinetics of virus neutralizing titer responses, and 50 μg CV8102 also improved the magnitude of virus neutralizing titer responses to 1/10 of the rabies vaccine but caused severe but self-limiting influenza-like symptoms in two of 14 subjects. In conclusion, two intramuscular doses of 25-50 μg CV8102 appeared well tolerated with an acceptable reactogenicity profile while significantly enhancing the immunogenicity of fractional doses of the licensed rabies vaccine.</w:t>
      </w:r>
    </w:p>
    <w:p>
      <w:pPr>
        <w:spacing w:after="0" w:line="124"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CV8102 Key Preclinical Data</w:t>
      </w:r>
    </w:p>
    <w:p>
      <w:pPr>
        <w:spacing w:after="0" w:line="144" w:lineRule="exact"/>
        <w:rPr>
          <w:sz w:val="20"/>
          <w:szCs w:val="20"/>
          <w:color w:val="auto"/>
        </w:rPr>
      </w:pPr>
    </w:p>
    <w:p>
      <w:pPr>
        <w:jc w:val="both"/>
        <w:ind w:left="1260" w:right="439" w:firstLine="648"/>
        <w:spacing w:after="0" w:line="263" w:lineRule="auto"/>
        <w:rPr>
          <w:sz w:val="20"/>
          <w:szCs w:val="20"/>
          <w:color w:val="auto"/>
        </w:rPr>
      </w:pPr>
      <w:r>
        <w:rPr>
          <w:rFonts w:ascii="Arial" w:cs="Arial" w:eastAsia="Arial" w:hAnsi="Arial"/>
          <w:sz w:val="18"/>
          <w:szCs w:val="18"/>
          <w:color w:val="auto"/>
        </w:rPr>
        <w:t>In preclinical tumor models, CV8102 showed dose dependent antitumor activity as single agent and synergistic activity in combination with systemic anti-PD-1 antibodies, including therapeutic activity in the A20 tumor model that did not respond to systemic anti-PD-1 antibody therapy alone.</w:t>
      </w:r>
    </w:p>
    <w:p>
      <w:pPr>
        <w:spacing w:after="0" w:line="180" w:lineRule="exact"/>
        <w:rPr>
          <w:sz w:val="20"/>
          <w:szCs w:val="20"/>
          <w:color w:val="auto"/>
        </w:rPr>
      </w:pPr>
    </w:p>
    <w:p>
      <w:pPr>
        <w:ind w:left="2580"/>
        <w:spacing w:after="0"/>
        <w:rPr>
          <w:sz w:val="20"/>
          <w:szCs w:val="20"/>
          <w:color w:val="auto"/>
        </w:rPr>
      </w:pPr>
      <w:r>
        <w:rPr>
          <w:rFonts w:ascii="Arial" w:cs="Arial" w:eastAsia="Arial" w:hAnsi="Arial"/>
          <w:sz w:val="18"/>
          <w:szCs w:val="18"/>
          <w:b w:val="1"/>
          <w:bCs w:val="1"/>
          <w:u w:val="single" w:color="auto"/>
          <w:color w:val="auto"/>
        </w:rPr>
        <w:t>Synergistic activity observed in CV8102 and anti-PD-1 combination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2017395</wp:posOffset>
            </wp:positionH>
            <wp:positionV relativeFrom="paragraph">
              <wp:posOffset>137160</wp:posOffset>
            </wp:positionV>
            <wp:extent cx="2785745" cy="26657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785745"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519" w:firstLine="648"/>
        <w:spacing w:after="0" w:line="254" w:lineRule="auto"/>
        <w:rPr>
          <w:sz w:val="20"/>
          <w:szCs w:val="20"/>
          <w:color w:val="auto"/>
        </w:rPr>
      </w:pPr>
      <w:r>
        <w:rPr>
          <w:rFonts w:ascii="Arial" w:cs="Arial" w:eastAsia="Arial" w:hAnsi="Arial"/>
          <w:sz w:val="18"/>
          <w:szCs w:val="18"/>
          <w:color w:val="auto"/>
        </w:rPr>
        <w:t>In a Kaplan-Meier curve, the graph above demonstrates the effect of monotherapy CV8102 treatment and combination of CV8102 with anti-PD-1 treatment. In the murine CT26 tumor model, an established colon carcinoma model, treatment led to an increased survival time, an increased proportion of animals surviving, and a memory effect (protective immunity of animals who achieved a complete remission after tumor re-challenge). In this model, the anti-PD-1 monotherapy as well as the CV8102 show limited improvement in survival times, whereas the combination of CV8102 and anti PD-1 resulted in a significant prolongation of survival times.</w:t>
      </w:r>
    </w:p>
    <w:p>
      <w:pPr>
        <w:spacing w:after="0" w:line="37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1" w:name="page172"/>
    <w:bookmarkEnd w:id="17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520"/>
        <w:spacing w:after="0"/>
        <w:rPr>
          <w:sz w:val="20"/>
          <w:szCs w:val="20"/>
          <w:color w:val="auto"/>
        </w:rPr>
      </w:pPr>
      <w:r>
        <w:rPr>
          <w:rFonts w:ascii="Arial" w:cs="Arial" w:eastAsia="Arial" w:hAnsi="Arial"/>
          <w:sz w:val="16"/>
          <w:szCs w:val="16"/>
          <w:b w:val="1"/>
          <w:bCs w:val="1"/>
          <w:u w:val="single" w:color="auto"/>
          <w:color w:val="auto"/>
        </w:rPr>
        <w:t>CV8102</w:t>
      </w:r>
      <w:r>
        <w:rPr>
          <w:rFonts w:ascii="Arial" w:cs="Arial" w:eastAsia="Arial" w:hAnsi="Arial"/>
          <w:sz w:val="16"/>
          <w:szCs w:val="16"/>
          <w:b w:val="1"/>
          <w:bCs w:val="1"/>
          <w:color w:val="auto"/>
        </w:rPr>
        <w:t xml:space="preserve"> ± </w:t>
      </w:r>
      <w:r>
        <w:rPr>
          <w:rFonts w:ascii="Arial" w:cs="Arial" w:eastAsia="Arial" w:hAnsi="Arial"/>
          <w:sz w:val="16"/>
          <w:szCs w:val="16"/>
          <w:b w:val="1"/>
          <w:bCs w:val="1"/>
          <w:u w:val="single" w:color="auto"/>
          <w:color w:val="auto"/>
        </w:rPr>
        <w:t>anti-PD-1 treatment conferred protective immunity against tumor re-challenge in CT26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2120265</wp:posOffset>
            </wp:positionH>
            <wp:positionV relativeFrom="paragraph">
              <wp:posOffset>160655</wp:posOffset>
            </wp:positionV>
            <wp:extent cx="2580005" cy="22885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580005"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260" w:right="459" w:firstLine="648"/>
        <w:spacing w:after="0" w:line="254" w:lineRule="auto"/>
        <w:rPr>
          <w:sz w:val="20"/>
          <w:szCs w:val="20"/>
          <w:color w:val="auto"/>
        </w:rPr>
      </w:pPr>
      <w:r>
        <w:rPr>
          <w:rFonts w:ascii="Arial" w:cs="Arial" w:eastAsia="Arial" w:hAnsi="Arial"/>
          <w:sz w:val="18"/>
          <w:szCs w:val="18"/>
          <w:color w:val="auto"/>
        </w:rPr>
        <w:t>The graph above takes those animals from the previously described experiment that survived and were cured either with CV8102 alone or with combination therapy. The control arm represents animals that did not have any pretreatment. Animals treated with prior CV8102 and CV8102 treatment in combination with anti-PD-1 that were tumor-free following the prior experiment were re-challenged with the same tumor and showed no observed regrowth of the tumor. Those animals that survived and were cured and then re-challenged had a protective immunity against the tumor, which is an effect of the original treatment with CV8102 alone or in combination with anti-PD-1.</w:t>
      </w:r>
    </w:p>
    <w:p>
      <w:pPr>
        <w:spacing w:after="0" w:line="191" w:lineRule="exact"/>
        <w:rPr>
          <w:sz w:val="20"/>
          <w:szCs w:val="20"/>
          <w:color w:val="auto"/>
        </w:rPr>
      </w:pPr>
    </w:p>
    <w:p>
      <w:pPr>
        <w:ind w:left="1560"/>
        <w:spacing w:after="0"/>
        <w:rPr>
          <w:sz w:val="20"/>
          <w:szCs w:val="20"/>
          <w:color w:val="auto"/>
        </w:rPr>
      </w:pPr>
      <w:r>
        <w:rPr>
          <w:rFonts w:ascii="Arial" w:cs="Arial" w:eastAsia="Arial" w:hAnsi="Arial"/>
          <w:sz w:val="16"/>
          <w:szCs w:val="16"/>
          <w:b w:val="1"/>
          <w:bCs w:val="1"/>
          <w:u w:val="single" w:color="auto"/>
          <w:color w:val="auto"/>
        </w:rPr>
        <w:t>CV8102</w:t>
      </w:r>
      <w:r>
        <w:rPr>
          <w:rFonts w:ascii="Arial" w:cs="Arial" w:eastAsia="Arial" w:hAnsi="Arial"/>
          <w:sz w:val="16"/>
          <w:szCs w:val="16"/>
          <w:b w:val="1"/>
          <w:bCs w:val="1"/>
          <w:color w:val="auto"/>
        </w:rPr>
        <w:t xml:space="preserve"> ± </w:t>
      </w:r>
      <w:r>
        <w:rPr>
          <w:rFonts w:ascii="Arial" w:cs="Arial" w:eastAsia="Arial" w:hAnsi="Arial"/>
          <w:sz w:val="16"/>
          <w:szCs w:val="16"/>
          <w:b w:val="1"/>
          <w:bCs w:val="1"/>
          <w:u w:val="single" w:color="auto"/>
          <w:color w:val="auto"/>
        </w:rPr>
        <w:t>anti-PD-1 treatment led to complete tumor remission in anti-PD-1 resistant A20 tumor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160655</wp:posOffset>
            </wp:positionV>
            <wp:extent cx="2537460" cy="25374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53746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60" w:right="499" w:firstLine="648"/>
        <w:spacing w:after="0" w:line="259" w:lineRule="auto"/>
        <w:rPr>
          <w:sz w:val="20"/>
          <w:szCs w:val="20"/>
          <w:color w:val="auto"/>
        </w:rPr>
      </w:pPr>
      <w:r>
        <w:rPr>
          <w:rFonts w:ascii="Arial" w:cs="Arial" w:eastAsia="Arial" w:hAnsi="Arial"/>
          <w:sz w:val="18"/>
          <w:szCs w:val="18"/>
          <w:color w:val="auto"/>
        </w:rPr>
        <w:t>The graph above represents a study performed in the A20 tumor model, which is non-responsive to anti-PD-1 therapy. The anti-PD-1 monotherapy did not result in any inhibition of tumor growth. Treatment with CV8102 monotherapy showed some inhibition of tumor growth and combination therapy of CV8102 and anti-PD-1 demonstrated synergistic anti-tumor activity.</w:t>
      </w:r>
    </w:p>
    <w:p>
      <w:pPr>
        <w:spacing w:after="0" w:line="37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2" w:name="page173"/>
    <w:bookmarkEnd w:id="17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680"/>
        <w:spacing w:after="0"/>
        <w:rPr>
          <w:sz w:val="20"/>
          <w:szCs w:val="20"/>
          <w:color w:val="auto"/>
        </w:rPr>
      </w:pPr>
      <w:r>
        <w:rPr>
          <w:rFonts w:ascii="Arial" w:cs="Arial" w:eastAsia="Arial" w:hAnsi="Arial"/>
          <w:sz w:val="16"/>
          <w:szCs w:val="16"/>
          <w:b w:val="1"/>
          <w:bCs w:val="1"/>
          <w:u w:val="single" w:color="auto"/>
          <w:color w:val="auto"/>
        </w:rPr>
        <w:t>CV8102</w:t>
      </w:r>
      <w:r>
        <w:rPr>
          <w:rFonts w:ascii="Arial" w:cs="Arial" w:eastAsia="Arial" w:hAnsi="Arial"/>
          <w:sz w:val="16"/>
          <w:szCs w:val="16"/>
          <w:b w:val="1"/>
          <w:bCs w:val="1"/>
          <w:color w:val="auto"/>
        </w:rPr>
        <w:t xml:space="preserve"> ± </w:t>
      </w:r>
      <w:r>
        <w:rPr>
          <w:rFonts w:ascii="Arial" w:cs="Arial" w:eastAsia="Arial" w:hAnsi="Arial"/>
          <w:sz w:val="16"/>
          <w:szCs w:val="16"/>
          <w:b w:val="1"/>
          <w:bCs w:val="1"/>
          <w:u w:val="single" w:color="auto"/>
          <w:color w:val="auto"/>
        </w:rPr>
        <w:t>anti-PD-1 treatment led to complete remission of abscopal untreated tumors in A20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117475</wp:posOffset>
            </wp:positionV>
            <wp:extent cx="2562860" cy="25374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56286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60" w:right="559" w:firstLine="648"/>
        <w:spacing w:after="0" w:line="257" w:lineRule="auto"/>
        <w:rPr>
          <w:sz w:val="20"/>
          <w:szCs w:val="20"/>
          <w:color w:val="auto"/>
        </w:rPr>
      </w:pPr>
      <w:r>
        <w:rPr>
          <w:rFonts w:ascii="Arial" w:cs="Arial" w:eastAsia="Arial" w:hAnsi="Arial"/>
          <w:sz w:val="17"/>
          <w:szCs w:val="17"/>
          <w:color w:val="auto"/>
        </w:rPr>
        <w:t>The graph above depicts an experiment that was conducted simultaneously to the prior A20 model experiment in such a way that the animals received tumor injections in both flanks (left and right), but intratumoral treatment occurred only in the left flank. This graph shows data from the untreated flanks and demonstrates the abscopal effect which mirrors that observed in the prior experiment, whereby anti-PD-1 monotherapy has no effect, CV8102 alone exhibits limited improvement in survival times, and the combination of CV8102 and anti-PD-1 results in complete remission in four out of 10 animals.</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Discovery of new therapeutic cancer vaccine candidates</w:t>
      </w:r>
    </w:p>
    <w:p>
      <w:pPr>
        <w:spacing w:after="0" w:line="131" w:lineRule="exact"/>
        <w:rPr>
          <w:sz w:val="20"/>
          <w:szCs w:val="20"/>
          <w:color w:val="auto"/>
        </w:rPr>
      </w:pPr>
    </w:p>
    <w:p>
      <w:pPr>
        <w:ind w:left="1260" w:right="479" w:firstLine="648"/>
        <w:spacing w:after="0" w:line="270" w:lineRule="auto"/>
        <w:rPr>
          <w:sz w:val="20"/>
          <w:szCs w:val="20"/>
          <w:color w:val="auto"/>
        </w:rPr>
      </w:pPr>
      <w:r>
        <w:rPr>
          <w:rFonts w:ascii="Arial" w:cs="Arial" w:eastAsia="Arial" w:hAnsi="Arial"/>
          <w:sz w:val="17"/>
          <w:szCs w:val="17"/>
          <w:color w:val="auto"/>
        </w:rPr>
        <w:t>Our discovery efforts in oncology are also focusing on novel therapeutic cancer vaccines candidates. In preclinical studies, we have demonstrated that LNP formulated mRNA vaccines encoding are able to induce T cell responses against model neoantigens as well as tumor associated self-antigens.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61595</wp:posOffset>
            </wp:positionV>
            <wp:extent cx="5203190" cy="22885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20319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right="419" w:firstLine="648"/>
        <w:spacing w:after="0"/>
        <w:rPr>
          <w:sz w:val="20"/>
          <w:szCs w:val="20"/>
          <w:color w:val="auto"/>
        </w:rPr>
      </w:pPr>
      <w:r>
        <w:rPr>
          <w:rFonts w:ascii="Arial" w:cs="Arial" w:eastAsia="Arial" w:hAnsi="Arial"/>
          <w:sz w:val="18"/>
          <w:szCs w:val="18"/>
          <w:color w:val="auto"/>
        </w:rPr>
        <w:t>The graphs above demonstrate the induction of antigen-specific T cell responses after intradermal vaccination of mice with LNP-formulated mRNA encoding for selected neoepitopes. Animals vaccinated with LNP-formulated mRNA encoding reporter protein served as negative controls. Stimulation of splenocytes harvested 7 days post last vaccination with respective peptides demonstrated strong induction of antigen specific T cells in Elispot (depicted in the left hand graph) and FACs analysis (depicted in the right hand graph).</w:t>
      </w:r>
    </w:p>
    <w:p>
      <w:pPr>
        <w:sectPr>
          <w:pgSz w:w="11900" w:h="16838" w:orient="portrait"/>
          <w:cols w:equalWidth="0" w:num="1">
            <w:col w:w="9879"/>
          </w:cols>
          <w:pgMar w:left="580" w:top="132"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3" w:name="page174"/>
    <w:bookmarkEnd w:id="17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BI1361849 (formerly CV9202) for the treatment of Non-Small Cell Lung Cancer, or NSCLC</w:t>
      </w:r>
    </w:p>
    <w:p>
      <w:pPr>
        <w:spacing w:after="0" w:line="158" w:lineRule="exact"/>
        <w:rPr>
          <w:sz w:val="20"/>
          <w:szCs w:val="20"/>
          <w:color w:val="auto"/>
        </w:rPr>
      </w:pPr>
    </w:p>
    <w:p>
      <w:pPr>
        <w:ind w:left="1260" w:right="519" w:firstLine="648"/>
        <w:spacing w:after="0" w:line="239" w:lineRule="auto"/>
        <w:rPr>
          <w:sz w:val="20"/>
          <w:szCs w:val="20"/>
          <w:color w:val="auto"/>
        </w:rPr>
      </w:pPr>
      <w:r>
        <w:rPr>
          <w:rFonts w:ascii="Arial" w:cs="Arial" w:eastAsia="Arial" w:hAnsi="Arial"/>
          <w:sz w:val="18"/>
          <w:szCs w:val="18"/>
          <w:color w:val="auto"/>
        </w:rPr>
        <w:t>BI1361849 is a product candidate for a therapeutic vaccine designed to elicit antigen-specific immune responses against tumor-associated antigens frequently overexpressed in patients with NSCLC (namely NY-ESO1, Mage C1, Mage C2, Survivin, 5 T4, and Muc1). We have partnered BI1361849 with Boehringer Ingelheim, who is advancing the product candidate through clinic development. BI1361849 is currently being evaluated in a Phase 1/2 clinical trial in NSCLC in combination with durvalumab, a PD-L1 inhibitor, and tremelimumab, an anti CTLA-4 antibody. The clinical trial is being conducted by the Ludwig Institute for Cancer Research, or LICR.</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Mechanism of action of BI1361849</w:t>
      </w:r>
    </w:p>
    <w:p>
      <w:pPr>
        <w:spacing w:after="0" w:line="158" w:lineRule="exact"/>
        <w:rPr>
          <w:sz w:val="20"/>
          <w:szCs w:val="20"/>
          <w:color w:val="auto"/>
        </w:rPr>
      </w:pPr>
    </w:p>
    <w:p>
      <w:pPr>
        <w:ind w:left="1260" w:right="439" w:firstLine="648"/>
        <w:spacing w:after="0" w:line="239" w:lineRule="auto"/>
        <w:rPr>
          <w:sz w:val="20"/>
          <w:szCs w:val="20"/>
          <w:color w:val="auto"/>
        </w:rPr>
      </w:pPr>
      <w:r>
        <w:rPr>
          <w:rFonts w:ascii="Arial" w:cs="Arial" w:eastAsia="Arial" w:hAnsi="Arial"/>
          <w:sz w:val="18"/>
          <w:szCs w:val="18"/>
          <w:color w:val="auto"/>
        </w:rPr>
        <w:t>BI1361849 acts through two synergistic pathways. Free mRNA molecules encode the protein sequence of the six antigens which are translated into proteins, and protamine- coated mRNA molecules act as a vaccine adjuvant to activate the innate immune system which recruits and activates antigen presenting cells. The antigen -presenting cells display the translated antigens to T-cells and B-cells to elicit an adaptive immune response against such antigens, including activation of cytotoxic T-cells and antibody-producing B-cells. The mRNAs in BI1361849 encode the NSCLC-associated antigens NY-ESO-1, MAGE-C1, MAGE-C2, survivin, 5T4, and MUC-1.</w:t>
      </w:r>
    </w:p>
    <w:p>
      <w:pPr>
        <w:spacing w:after="0" w:line="191"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Market Opportunity</w:t>
      </w:r>
    </w:p>
    <w:p>
      <w:pPr>
        <w:spacing w:after="0" w:line="144" w:lineRule="exact"/>
        <w:rPr>
          <w:sz w:val="20"/>
          <w:szCs w:val="20"/>
          <w:color w:val="auto"/>
        </w:rPr>
      </w:pPr>
    </w:p>
    <w:p>
      <w:pPr>
        <w:ind w:left="1260" w:right="439" w:firstLine="648"/>
        <w:spacing w:after="0" w:line="257" w:lineRule="auto"/>
        <w:rPr>
          <w:sz w:val="20"/>
          <w:szCs w:val="20"/>
          <w:color w:val="auto"/>
        </w:rPr>
      </w:pPr>
      <w:r>
        <w:rPr>
          <w:rFonts w:ascii="Arial" w:cs="Arial" w:eastAsia="Arial" w:hAnsi="Arial"/>
          <w:sz w:val="17"/>
          <w:szCs w:val="17"/>
          <w:color w:val="auto"/>
        </w:rPr>
        <w:t>Lung cancer is the most common form of cancer worldwide and the most common cause of cancer-related deaths in both men and women. According to ACS, in 2018, there were approximately 2 million new cases of lung cancer worldwide and approximately 1.7 million related deaths. According to ASCO, In the United States, there were approximately 230,000 new cases of lung cancer and an estimated 154,000 deaths from the disease. The deaths from lung cancer account for approximately 25% of all cancer deaths in the United States. NSCLC accounts for approximately 80% to 85% of lung cancer cases.</w:t>
      </w:r>
    </w:p>
    <w:p>
      <w:pPr>
        <w:spacing w:after="0" w:line="108" w:lineRule="exact"/>
        <w:rPr>
          <w:sz w:val="20"/>
          <w:szCs w:val="20"/>
          <w:color w:val="auto"/>
        </w:rPr>
      </w:pPr>
    </w:p>
    <w:p>
      <w:pPr>
        <w:ind w:left="1260" w:right="439" w:firstLine="648"/>
        <w:spacing w:after="0" w:line="254" w:lineRule="auto"/>
        <w:rPr>
          <w:sz w:val="20"/>
          <w:szCs w:val="20"/>
          <w:color w:val="auto"/>
        </w:rPr>
      </w:pPr>
      <w:r>
        <w:rPr>
          <w:rFonts w:ascii="Arial" w:cs="Arial" w:eastAsia="Arial" w:hAnsi="Arial"/>
          <w:sz w:val="17"/>
          <w:szCs w:val="17"/>
          <w:color w:val="auto"/>
        </w:rPr>
        <w:t>Surgery is the recommended treatment for early stage NSCLC patients, but 75% of lung cancers are diagnosed at stage III or IV when resection is no longer possible. Targeted therapies are used for metastatic NSCLC with Estimated Glomerular Filtration Rate, or EGFR, c-ros oncogene 1, or ROS1, BRAF and Anaplastic lymphoma kinase, or ALK mutations. However, in up to 50% of advanced NSCLC patients, who are ineligible or resistant to treatment with EGFR or ALK inhibitors, the treatment of choice is a PD-1 / PD-L1 checkpoint inhibitor, because of elevated levels of PD-L1. Despite the availability of multiple therapies, the prognosis remains poor, with overall five -year survival for all patients diagnosed with NSCLC as low as 18%, based on data from the American Lung Association.</w:t>
      </w:r>
    </w:p>
    <w:p>
      <w:pPr>
        <w:spacing w:after="0" w:line="181"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Phase 1/2 clinical trial of BI1361849 in combination with durvalumab and tremelimumab</w:t>
      </w:r>
    </w:p>
    <w:p>
      <w:pPr>
        <w:spacing w:after="0" w:line="158" w:lineRule="exact"/>
        <w:rPr>
          <w:sz w:val="20"/>
          <w:szCs w:val="20"/>
          <w:color w:val="auto"/>
        </w:rPr>
      </w:pPr>
    </w:p>
    <w:p>
      <w:pPr>
        <w:ind w:left="1260" w:right="479" w:firstLine="648"/>
        <w:spacing w:after="0" w:line="257" w:lineRule="auto"/>
        <w:rPr>
          <w:sz w:val="20"/>
          <w:szCs w:val="20"/>
          <w:color w:val="auto"/>
        </w:rPr>
      </w:pPr>
      <w:r>
        <w:rPr>
          <w:rFonts w:ascii="Arial" w:cs="Arial" w:eastAsia="Arial" w:hAnsi="Arial"/>
          <w:sz w:val="18"/>
          <w:szCs w:val="18"/>
          <w:color w:val="auto"/>
        </w:rPr>
        <w:t>The Ludwig Institute for Cancer Research has initiated a Phase 1/2 clinical trial investigating BI1361849 (formerly CV9202) in combination with the PD-L1 inhibitor durvalumab and anti-CTLA-4 antibody tremelimumab in patients with advanced NSCLC. The primary endpoint of this trial is safety, with secondary endpoints of objective response rate, progression free survival, duration of response, and overall survival.</w:t>
      </w:r>
    </w:p>
    <w:p>
      <w:pPr>
        <w:spacing w:after="0" w:line="107" w:lineRule="exact"/>
        <w:rPr>
          <w:sz w:val="20"/>
          <w:szCs w:val="20"/>
          <w:color w:val="auto"/>
        </w:rPr>
      </w:pPr>
    </w:p>
    <w:p>
      <w:pPr>
        <w:ind w:left="1260" w:right="459" w:firstLine="648"/>
        <w:spacing w:after="0" w:line="272" w:lineRule="auto"/>
        <w:rPr>
          <w:sz w:val="20"/>
          <w:szCs w:val="20"/>
          <w:color w:val="auto"/>
        </w:rPr>
      </w:pPr>
      <w:r>
        <w:rPr>
          <w:rFonts w:ascii="Arial" w:cs="Arial" w:eastAsia="Arial" w:hAnsi="Arial"/>
          <w:sz w:val="17"/>
          <w:szCs w:val="17"/>
          <w:color w:val="auto"/>
        </w:rPr>
        <w:t>This open-label multicenter two-arm study is to evaluate the safety and preliminary efficacy of the addition of a vaccine therapy to 1 or 2 checkpoint inhibitors for NSCLC. The first arm evaluates BI1361849 in combination with durvalumab (anti-PD-1), and the second arm evaluates BI1361849 in combination with both durvalumab (anti-PD-1) and tremelimumab (anti-CTLA4). For each arm of the study, there is a dose evaluation phase in which the recommended combination dose, or RCD, is determined according to a standard3+3 design. The dose evaluation phase is followed by an expansion phase, in which the cohort at the RCD is expanded to 20 subjects (inclusive of the subjects from the dose evaluation cohort).</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Clinical Data</w:t>
      </w:r>
    </w:p>
    <w:p>
      <w:pPr>
        <w:spacing w:after="0" w:line="158" w:lineRule="exact"/>
        <w:rPr>
          <w:sz w:val="20"/>
          <w:szCs w:val="20"/>
          <w:color w:val="auto"/>
        </w:rPr>
      </w:pPr>
    </w:p>
    <w:p>
      <w:pPr>
        <w:ind w:left="1260" w:right="559" w:firstLine="648"/>
        <w:spacing w:after="0" w:line="308" w:lineRule="auto"/>
        <w:rPr>
          <w:sz w:val="20"/>
          <w:szCs w:val="20"/>
          <w:color w:val="auto"/>
        </w:rPr>
      </w:pPr>
      <w:r>
        <w:rPr>
          <w:rFonts w:ascii="Arial" w:cs="Arial" w:eastAsia="Arial" w:hAnsi="Arial"/>
          <w:sz w:val="17"/>
          <w:szCs w:val="17"/>
          <w:color w:val="auto"/>
        </w:rPr>
        <w:t>BI1361849 (former CV9202) was investigated in an exploratory, open-label, multicenter Phase 1b trial. The Phase 1b trial evaluated treatment with BI1361849 combined with local radiation in 26 stage IV</w:t>
      </w: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4" w:name="page175"/>
    <w:bookmarkEnd w:id="17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539"/>
        <w:spacing w:after="0" w:line="243" w:lineRule="auto"/>
        <w:rPr>
          <w:sz w:val="20"/>
          <w:szCs w:val="20"/>
          <w:color w:val="auto"/>
        </w:rPr>
      </w:pPr>
      <w:r>
        <w:rPr>
          <w:rFonts w:ascii="Arial" w:cs="Arial" w:eastAsia="Arial" w:hAnsi="Arial"/>
          <w:sz w:val="18"/>
          <w:szCs w:val="18"/>
          <w:color w:val="auto"/>
        </w:rPr>
        <w:t>NSCLC patients with PR stable disease (SD) after first- line standard therapy. The study was conducted across 13 centers in Germany, Austria and Switzerland. Eligible patients were 18 years old or older with histologically or cytologically confirmed stage IV NSCLC and for those with non-squamous cell histology, a confirmed EGFR mutation status. Patients were stratified into three strata:</w:t>
      </w:r>
    </w:p>
    <w:p>
      <w:pPr>
        <w:spacing w:after="0" w:line="66" w:lineRule="exact"/>
        <w:rPr>
          <w:sz w:val="20"/>
          <w:szCs w:val="20"/>
          <w:color w:val="auto"/>
        </w:rPr>
      </w:pPr>
    </w:p>
    <w:p>
      <w:pPr>
        <w:ind w:left="2260" w:right="479" w:hanging="352"/>
        <w:spacing w:after="0" w:line="277" w:lineRule="auto"/>
        <w:tabs>
          <w:tab w:leader="none" w:pos="22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Non-squamous NSCLC, EGFR mutation, PR/SD after ≥ 4 cycles of platinum-and pemetrexed-based treatment (n= 16);</w:t>
      </w:r>
    </w:p>
    <w:p>
      <w:pPr>
        <w:spacing w:after="0" w:line="48" w:lineRule="exact"/>
        <w:rPr>
          <w:rFonts w:ascii="Arial" w:cs="Arial" w:eastAsia="Arial" w:hAnsi="Arial"/>
          <w:sz w:val="18"/>
          <w:szCs w:val="18"/>
          <w:color w:val="auto"/>
        </w:rPr>
      </w:pPr>
    </w:p>
    <w:p>
      <w:pPr>
        <w:ind w:left="2260" w:right="779" w:hanging="352"/>
        <w:spacing w:after="0" w:line="277" w:lineRule="auto"/>
        <w:tabs>
          <w:tab w:leader="none" w:pos="22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Squamous NSCLC, PR/SD after ≥ 4cycles of platinum-based and non-platinum compound treatment (n= 8); and</w:t>
      </w:r>
    </w:p>
    <w:p>
      <w:pPr>
        <w:spacing w:after="0" w:line="62" w:lineRule="exact"/>
        <w:rPr>
          <w:rFonts w:ascii="Arial" w:cs="Arial" w:eastAsia="Arial" w:hAnsi="Arial"/>
          <w:sz w:val="18"/>
          <w:szCs w:val="18"/>
          <w:color w:val="auto"/>
        </w:rPr>
      </w:pPr>
    </w:p>
    <w:p>
      <w:pPr>
        <w:ind w:left="2260" w:right="839" w:hanging="352"/>
        <w:spacing w:after="0" w:line="277" w:lineRule="auto"/>
        <w:tabs>
          <w:tab w:leader="none" w:pos="22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Non-squamous NSCLC, EGFR mutation, PR/SD after ≥ 3 and ≤ 6 months EGFR-tyrosine kinase inhibitor (TKI) treatment (n= 2).</w:t>
      </w:r>
    </w:p>
    <w:p>
      <w:pPr>
        <w:spacing w:after="0" w:line="89" w:lineRule="exact"/>
        <w:rPr>
          <w:sz w:val="20"/>
          <w:szCs w:val="20"/>
          <w:color w:val="auto"/>
        </w:rPr>
      </w:pPr>
    </w:p>
    <w:p>
      <w:pPr>
        <w:ind w:left="1260" w:right="439" w:firstLine="648"/>
        <w:spacing w:after="0" w:line="259" w:lineRule="auto"/>
        <w:rPr>
          <w:sz w:val="20"/>
          <w:szCs w:val="20"/>
          <w:color w:val="auto"/>
        </w:rPr>
      </w:pPr>
      <w:r>
        <w:rPr>
          <w:rFonts w:ascii="Arial" w:cs="Arial" w:eastAsia="Arial" w:hAnsi="Arial"/>
          <w:sz w:val="17"/>
          <w:szCs w:val="17"/>
          <w:color w:val="auto"/>
        </w:rPr>
        <w:t>Patients received intradermal BI1361849, local radiation (4 × 5 Gy), then BI1361849 until disease progression requiring the start of systemic second-line treatment or patients experiencing unacceptable toxicity. Strata 1 and 3 also had maintenance pemetrexed or continued EGFR -TKI therapy, respectively. The primary endpoint was evaluation of safety and secondary endpoints included assessment of clinical efficacy (every 6 weeks during treatment) and of immune response on Days 1 (baseline), 19 and 61.</w:t>
      </w:r>
    </w:p>
    <w:p>
      <w:pPr>
        <w:spacing w:after="0" w:line="106" w:lineRule="exact"/>
        <w:rPr>
          <w:sz w:val="20"/>
          <w:szCs w:val="20"/>
          <w:color w:val="auto"/>
        </w:rPr>
      </w:pPr>
    </w:p>
    <w:p>
      <w:pPr>
        <w:ind w:left="1260" w:right="439" w:firstLine="648"/>
        <w:spacing w:after="0" w:line="238" w:lineRule="auto"/>
        <w:rPr>
          <w:sz w:val="20"/>
          <w:szCs w:val="20"/>
          <w:color w:val="auto"/>
        </w:rPr>
      </w:pPr>
      <w:r>
        <w:rPr>
          <w:rFonts w:ascii="Arial" w:cs="Arial" w:eastAsia="Arial" w:hAnsi="Arial"/>
          <w:sz w:val="18"/>
          <w:szCs w:val="18"/>
          <w:color w:val="auto"/>
        </w:rPr>
        <w:t>The mean number of successful BI1361849 administrations, defined as successful administration of at least 10 of the 12 injections per treatment, was 8.4 (range 2 to 25) with median duration of treatment of 81 days. Study treatment appeared well tolerated with injection site reactions and flu-like symptoms were the most common BI1361849-related adverse events. For the primary endpoint, BI1361849-and/or-radiation- related AEs of &gt;= grade 3 were reported in four (15.6%) of the 26 patients: two patients (12.5%) in stratum 1 (one event each of dyphagia and fatigue), one patient (12.5%) in stratum 2 (fatigue), and one patient (50%) in stratum 3 (pyrexia). Three out of 4 events were related to BI1361849 and one event (dysphagia) was related to study radiation. There were no serious treatment emergent adverse event, or TEAEs related to BI1361849 and no TEAEs leading to death. The following table provides an overview of the TEAEs by stratum.</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 of treatment emergent adverse events (safety analysis set)</w:t>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9"/>
              </w:rPr>
              <w:t>Stratum 1</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Stratum 2</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Stratum 3</w:t>
            </w:r>
          </w:p>
        </w:tc>
        <w:tc>
          <w:tcPr>
            <w:tcW w:w="8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Overall</w:t>
            </w:r>
          </w:p>
        </w:tc>
      </w:tr>
      <w:tr>
        <w:trPr>
          <w:trHeight w:val="192"/>
        </w:trPr>
        <w:tc>
          <w:tcPr>
            <w:tcW w:w="4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Patients with a least one event, n (%)</w:t>
            </w:r>
          </w:p>
        </w:tc>
        <w:tc>
          <w:tcPr>
            <w:tcW w:w="2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(n=16)</w:t>
            </w: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(n=8)</w:t>
            </w: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(n=2)</w:t>
            </w:r>
          </w:p>
        </w:tc>
        <w:tc>
          <w:tcPr>
            <w:tcW w:w="2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(n=26)</w:t>
            </w:r>
          </w:p>
        </w:tc>
        <w:tc>
          <w:tcPr>
            <w:tcW w:w="60" w:type="dxa"/>
            <w:vAlign w:val="bottom"/>
          </w:tcPr>
          <w:p>
            <w:pPr>
              <w:spacing w:after="0"/>
              <w:rPr>
                <w:sz w:val="16"/>
                <w:szCs w:val="16"/>
                <w:color w:val="auto"/>
              </w:rPr>
            </w:pPr>
          </w:p>
        </w:tc>
      </w:tr>
      <w:tr>
        <w:trPr>
          <w:trHeight w:val="215"/>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TEAE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8</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2</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(100.0)</w:t>
            </w:r>
          </w:p>
        </w:tc>
        <w:tc>
          <w:tcPr>
            <w:tcW w:w="60" w:type="dxa"/>
            <w:vAlign w:val="bottom"/>
          </w:tcPr>
          <w:p>
            <w:pPr>
              <w:spacing w:after="0"/>
              <w:rPr>
                <w:sz w:val="18"/>
                <w:szCs w:val="18"/>
                <w:color w:val="auto"/>
              </w:rPr>
            </w:pPr>
          </w:p>
        </w:tc>
      </w:tr>
      <w:tr>
        <w:trPr>
          <w:trHeight w:val="229"/>
        </w:trPr>
        <w:tc>
          <w:tcPr>
            <w:tcW w:w="4740" w:type="dxa"/>
            <w:vAlign w:val="bottom"/>
            <w:gridSpan w:val="2"/>
          </w:tcPr>
          <w:p>
            <w:pPr>
              <w:spacing w:after="0"/>
              <w:rPr>
                <w:sz w:val="20"/>
                <w:szCs w:val="20"/>
                <w:color w:val="auto"/>
              </w:rPr>
            </w:pPr>
            <w:r>
              <w:rPr>
                <w:rFonts w:ascii="Arial" w:cs="Arial" w:eastAsia="Arial" w:hAnsi="Arial"/>
                <w:sz w:val="18"/>
                <w:szCs w:val="18"/>
                <w:color w:val="auto"/>
              </w:rPr>
              <w:t>BI1361849-and/or radiation-related AE</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16</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8(100.0)</w:t>
            </w: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2(100.0)</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26(100.0)</w:t>
            </w:r>
          </w:p>
        </w:tc>
      </w:tr>
      <w:tr>
        <w:trPr>
          <w:trHeight w:val="230"/>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TEAE related to BI1361849</w:t>
            </w: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15(93.8)</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8(100.0)</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2(100.0)</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26(96.2)</w:t>
            </w:r>
          </w:p>
        </w:tc>
        <w:tc>
          <w:tcPr>
            <w:tcW w:w="60" w:type="dxa"/>
            <w:vAlign w:val="bottom"/>
          </w:tcPr>
          <w:p>
            <w:pPr>
              <w:spacing w:after="0"/>
              <w:rPr>
                <w:sz w:val="19"/>
                <w:szCs w:val="19"/>
                <w:color w:val="auto"/>
              </w:rPr>
            </w:pPr>
          </w:p>
        </w:tc>
      </w:tr>
      <w:tr>
        <w:trPr>
          <w:trHeight w:val="230"/>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TEAE related to radiation</w:t>
            </w:r>
          </w:p>
        </w:tc>
        <w:tc>
          <w:tcPr>
            <w:tcW w:w="2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4(25.0)</w:t>
            </w: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0(50.0)</w:t>
            </w:r>
          </w:p>
        </w:tc>
        <w:tc>
          <w:tcPr>
            <w:tcW w:w="2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5(19.2)</w:t>
            </w:r>
          </w:p>
        </w:tc>
      </w:tr>
      <w:tr>
        <w:trPr>
          <w:trHeight w:val="230"/>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Serious TEAE</w:t>
            </w: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7(43.8)</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3(37.5)</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11(42.3)</w:t>
            </w:r>
          </w:p>
        </w:tc>
        <w:tc>
          <w:tcPr>
            <w:tcW w:w="60" w:type="dxa"/>
            <w:vAlign w:val="bottom"/>
          </w:tcPr>
          <w:p>
            <w:pPr>
              <w:spacing w:after="0"/>
              <w:rPr>
                <w:sz w:val="19"/>
                <w:szCs w:val="19"/>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Serious BI1361849-and/or radiation-related AE</w:t>
            </w:r>
          </w:p>
        </w:tc>
        <w:tc>
          <w:tcPr>
            <w:tcW w:w="2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1(3.8)</w:t>
            </w:r>
          </w:p>
        </w:tc>
      </w:tr>
      <w:tr>
        <w:trPr>
          <w:trHeight w:val="229"/>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Related to BI1361849</w:t>
            </w: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r>
      <w:tr>
        <w:trPr>
          <w:trHeight w:val="230"/>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Related to radiation</w:t>
            </w:r>
          </w:p>
        </w:tc>
        <w:tc>
          <w:tcPr>
            <w:tcW w:w="2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1(3.8)</w:t>
            </w:r>
          </w:p>
        </w:tc>
      </w:tr>
      <w:tr>
        <w:trPr>
          <w:trHeight w:val="243"/>
        </w:trPr>
        <w:tc>
          <w:tcPr>
            <w:tcW w:w="4740" w:type="dxa"/>
            <w:vAlign w:val="bottom"/>
            <w:gridSpan w:val="2"/>
            <w:shd w:val="clear" w:color="auto" w:fill="CCEEFF"/>
          </w:tcPr>
          <w:p>
            <w:pPr>
              <w:spacing w:after="0" w:line="243" w:lineRule="exact"/>
              <w:rPr>
                <w:sz w:val="20"/>
                <w:szCs w:val="20"/>
                <w:color w:val="auto"/>
              </w:rPr>
            </w:pPr>
            <w:r>
              <w:rPr>
                <w:rFonts w:ascii="Arial" w:cs="Arial" w:eastAsia="Arial" w:hAnsi="Arial"/>
                <w:sz w:val="18"/>
                <w:szCs w:val="18"/>
                <w:color w:val="auto"/>
              </w:rPr>
              <w:t>TEAE toxicity grade ≥ 3</w:t>
            </w:r>
            <w:r>
              <w:rPr>
                <w:rFonts w:ascii="Arial" w:cs="Arial" w:eastAsia="Arial" w:hAnsi="Arial"/>
                <w:sz w:val="26"/>
                <w:szCs w:val="26"/>
                <w:color w:val="auto"/>
                <w:vertAlign w:val="superscript"/>
              </w:rPr>
              <w:t>(a)</w:t>
            </w:r>
          </w:p>
        </w:tc>
        <w:tc>
          <w:tcPr>
            <w:tcW w:w="2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9(56.3)</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2(100.0)</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15(57.7)</w:t>
            </w:r>
          </w:p>
        </w:tc>
        <w:tc>
          <w:tcPr>
            <w:tcW w:w="60" w:type="dxa"/>
            <w:vAlign w:val="bottom"/>
          </w:tcPr>
          <w:p>
            <w:pPr>
              <w:spacing w:after="0"/>
              <w:rPr>
                <w:sz w:val="21"/>
                <w:szCs w:val="21"/>
                <w:color w:val="auto"/>
              </w:rPr>
            </w:pPr>
          </w:p>
        </w:tc>
      </w:tr>
      <w:tr>
        <w:trPr>
          <w:trHeight w:val="243"/>
        </w:trPr>
        <w:tc>
          <w:tcPr>
            <w:tcW w:w="4740" w:type="dxa"/>
            <w:vAlign w:val="bottom"/>
            <w:gridSpan w:val="2"/>
          </w:tcPr>
          <w:p>
            <w:pPr>
              <w:spacing w:after="0" w:line="243" w:lineRule="exact"/>
              <w:rPr>
                <w:sz w:val="20"/>
                <w:szCs w:val="20"/>
                <w:color w:val="auto"/>
              </w:rPr>
            </w:pPr>
            <w:r>
              <w:rPr>
                <w:rFonts w:ascii="Arial" w:cs="Arial" w:eastAsia="Arial" w:hAnsi="Arial"/>
                <w:sz w:val="18"/>
                <w:szCs w:val="18"/>
                <w:color w:val="auto"/>
              </w:rPr>
              <w:t>BI1361849-and/or radiation-related AE toxicity grade ≥ 3</w:t>
            </w:r>
            <w:r>
              <w:rPr>
                <w:rFonts w:ascii="Arial" w:cs="Arial" w:eastAsia="Arial" w:hAnsi="Arial"/>
                <w:sz w:val="26"/>
                <w:szCs w:val="26"/>
                <w:color w:val="auto"/>
                <w:vertAlign w:val="superscript"/>
              </w:rPr>
              <w:t>(a)</w:t>
            </w:r>
          </w:p>
        </w:tc>
        <w:tc>
          <w:tcPr>
            <w:tcW w:w="20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2(12.5)</w:t>
            </w:r>
          </w:p>
        </w:tc>
        <w:tc>
          <w:tcPr>
            <w:tcW w:w="10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1(50.0)</w:t>
            </w:r>
          </w:p>
        </w:tc>
        <w:tc>
          <w:tcPr>
            <w:tcW w:w="20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4(15.4)</w:t>
            </w:r>
          </w:p>
        </w:tc>
      </w:tr>
      <w:tr>
        <w:trPr>
          <w:trHeight w:val="230"/>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Related to BI1361849</w:t>
            </w:r>
          </w:p>
        </w:tc>
        <w:tc>
          <w:tcPr>
            <w:tcW w:w="2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1(50.0)</w:t>
            </w:r>
          </w:p>
        </w:tc>
        <w:tc>
          <w:tcPr>
            <w:tcW w:w="2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3(11.5)</w:t>
            </w:r>
          </w:p>
        </w:tc>
      </w:tr>
      <w:tr>
        <w:trPr>
          <w:trHeight w:val="230"/>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Related to radiation</w:t>
            </w:r>
          </w:p>
        </w:tc>
        <w:tc>
          <w:tcPr>
            <w:tcW w:w="2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1(3.8)</w:t>
            </w:r>
          </w:p>
        </w:tc>
      </w:tr>
      <w:tr>
        <w:trPr>
          <w:trHeight w:val="205"/>
        </w:trPr>
        <w:tc>
          <w:tcPr>
            <w:tcW w:w="4740" w:type="dxa"/>
            <w:vAlign w:val="bottom"/>
            <w:gridSpan w:val="2"/>
          </w:tcPr>
          <w:p>
            <w:pPr>
              <w:spacing w:after="0" w:line="205" w:lineRule="exact"/>
              <w:rPr>
                <w:sz w:val="20"/>
                <w:szCs w:val="20"/>
                <w:color w:val="auto"/>
              </w:rPr>
            </w:pPr>
            <w:r>
              <w:rPr>
                <w:rFonts w:ascii="Arial" w:cs="Arial" w:eastAsia="Arial" w:hAnsi="Arial"/>
                <w:sz w:val="18"/>
                <w:szCs w:val="18"/>
                <w:color w:val="auto"/>
              </w:rPr>
              <w:t>Serious BI1361849-and/or radiation-related AE toxicity</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67"/>
        </w:trPr>
        <w:tc>
          <w:tcPr>
            <w:tcW w:w="4740" w:type="dxa"/>
            <w:vAlign w:val="bottom"/>
            <w:gridSpan w:val="2"/>
          </w:tcPr>
          <w:p>
            <w:pPr>
              <w:ind w:left="180"/>
              <w:spacing w:after="0" w:line="267" w:lineRule="exact"/>
              <w:rPr>
                <w:sz w:val="20"/>
                <w:szCs w:val="20"/>
                <w:color w:val="auto"/>
              </w:rPr>
            </w:pPr>
            <w:r>
              <w:rPr>
                <w:rFonts w:ascii="Arial" w:cs="Arial" w:eastAsia="Arial" w:hAnsi="Arial"/>
                <w:sz w:val="18"/>
                <w:szCs w:val="18"/>
                <w:color w:val="auto"/>
              </w:rPr>
              <w:t>grade ≥ 3</w:t>
            </w:r>
            <w:r>
              <w:rPr>
                <w:rFonts w:ascii="Arial" w:cs="Arial" w:eastAsia="Arial" w:hAnsi="Arial"/>
                <w:sz w:val="26"/>
                <w:szCs w:val="26"/>
                <w:color w:val="auto"/>
                <w:vertAlign w:val="superscript"/>
              </w:rPr>
              <w:t>(a)</w:t>
            </w:r>
          </w:p>
        </w:tc>
        <w:tc>
          <w:tcPr>
            <w:tcW w:w="200" w:type="dxa"/>
            <w:vAlign w:val="bottom"/>
          </w:tcPr>
          <w:p>
            <w:pPr>
              <w:spacing w:after="0"/>
              <w:rPr>
                <w:sz w:val="23"/>
                <w:szCs w:val="2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3"/>
                <w:szCs w:val="23"/>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Related to BI1361849</w:t>
            </w:r>
          </w:p>
        </w:tc>
        <w:tc>
          <w:tcPr>
            <w:tcW w:w="2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29"/>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Related to radiation</w:t>
            </w:r>
          </w:p>
        </w:tc>
        <w:tc>
          <w:tcPr>
            <w:tcW w:w="2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TEAE leading to discontinuation</w:t>
            </w:r>
          </w:p>
        </w:tc>
        <w:tc>
          <w:tcPr>
            <w:tcW w:w="2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4(25.0)</w:t>
            </w:r>
          </w:p>
        </w:tc>
        <w:tc>
          <w:tcPr>
            <w:tcW w:w="1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4(15.4)</w:t>
            </w: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TEAE toxicity grade ≥ 3 leading to discontinuation</w:t>
            </w:r>
          </w:p>
        </w:tc>
        <w:tc>
          <w:tcPr>
            <w:tcW w:w="2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2(12.5)</w:t>
            </w:r>
          </w:p>
        </w:tc>
        <w:tc>
          <w:tcPr>
            <w:tcW w:w="1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2(7.7)</w:t>
            </w:r>
          </w:p>
        </w:tc>
      </w:tr>
      <w:tr>
        <w:trPr>
          <w:trHeight w:val="229"/>
        </w:trPr>
        <w:tc>
          <w:tcPr>
            <w:tcW w:w="4740" w:type="dxa"/>
            <w:vAlign w:val="bottom"/>
            <w:gridSpan w:val="2"/>
          </w:tcPr>
          <w:p>
            <w:pPr>
              <w:spacing w:after="0"/>
              <w:rPr>
                <w:sz w:val="20"/>
                <w:szCs w:val="20"/>
                <w:color w:val="auto"/>
              </w:rPr>
            </w:pPr>
            <w:r>
              <w:rPr>
                <w:rFonts w:ascii="Arial" w:cs="Arial" w:eastAsia="Arial" w:hAnsi="Arial"/>
                <w:sz w:val="18"/>
                <w:szCs w:val="18"/>
                <w:color w:val="auto"/>
              </w:rPr>
              <w:t>TEAE leading to interruption/dose modification</w:t>
            </w:r>
          </w:p>
        </w:tc>
        <w:tc>
          <w:tcPr>
            <w:tcW w:w="2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4(25.0)</w:t>
            </w:r>
          </w:p>
        </w:tc>
        <w:tc>
          <w:tcPr>
            <w:tcW w:w="1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4(15.4)</w:t>
            </w:r>
          </w:p>
        </w:tc>
      </w:tr>
      <w:tr>
        <w:trPr>
          <w:trHeight w:val="230"/>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TEAE leading to death</w:t>
            </w: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-1465580</wp:posOffset>
            </wp:positionV>
            <wp:extent cx="5212080" cy="1460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-1173480</wp:posOffset>
            </wp:positionV>
            <wp:extent cx="5212080" cy="3003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212080" cy="3003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-727710</wp:posOffset>
            </wp:positionV>
            <wp:extent cx="5212080" cy="1454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212080" cy="14541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-436880</wp:posOffset>
            </wp:positionV>
            <wp:extent cx="5212080" cy="1460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-2939415</wp:posOffset>
            </wp:positionV>
            <wp:extent cx="13716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-2939415</wp:posOffset>
            </wp:positionV>
            <wp:extent cx="13716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4288790</wp:posOffset>
            </wp:positionH>
            <wp:positionV relativeFrom="paragraph">
              <wp:posOffset>-2939415</wp:posOffset>
            </wp:positionV>
            <wp:extent cx="12890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3688715</wp:posOffset>
            </wp:positionH>
            <wp:positionV relativeFrom="paragraph">
              <wp:posOffset>-2939415</wp:posOffset>
            </wp:positionV>
            <wp:extent cx="12001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6459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34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Abbreviations: AE adverse event, TEAE treatment-emergent adverse event</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5" w:name="page176"/>
    <w:bookmarkEnd w:id="17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00" w:right="999" w:hanging="640"/>
        <w:spacing w:after="0" w:line="277" w:lineRule="auto"/>
        <w:tabs>
          <w:tab w:leader="none" w:pos="1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National Cancer Institute-Common Terminology Criteria for Adverse Events (NCI-CTCAE) toxicity grading</w:t>
      </w:r>
    </w:p>
    <w:p>
      <w:pPr>
        <w:spacing w:after="0" w:line="103" w:lineRule="exact"/>
        <w:rPr>
          <w:sz w:val="20"/>
          <w:szCs w:val="20"/>
          <w:color w:val="auto"/>
        </w:rPr>
      </w:pPr>
    </w:p>
    <w:p>
      <w:pPr>
        <w:ind w:left="1260" w:right="439" w:firstLine="648"/>
        <w:spacing w:after="0" w:line="270" w:lineRule="auto"/>
        <w:rPr>
          <w:sz w:val="20"/>
          <w:szCs w:val="20"/>
          <w:color w:val="auto"/>
        </w:rPr>
      </w:pPr>
      <w:r>
        <w:rPr>
          <w:rFonts w:ascii="Arial" w:cs="Arial" w:eastAsia="Arial" w:hAnsi="Arial"/>
          <w:sz w:val="17"/>
          <w:szCs w:val="17"/>
          <w:color w:val="auto"/>
        </w:rPr>
        <w:t>In comparison to baseline, 25 patients evaluable for immunomonitoring revealed increased BI1361849 antigen-specific immune responses in the majority of patients (84%), whereby antigen-specific antibody levels were increased in 80% and functional T cells in 40% of patients, and involvement of multiple antigen specificities was evident in 52% of patients. Additional exploratory, post hoc analysis demonstrated detectable increase of functional CD4+ and CD8+ T cells to BI1361849 over time. Broadening of the antibody repertoire against antigens not covered by BI1361849 was also observed in 50% of all evaluable patients and in eight of the 14 (57%) analyzable pemetrexed treated patients in stratum 1. This demonstrated that the combination of radiotherapy with active tumor immunotherapeutic BI1361849 can initiate an antigen cascade to broaden the anti-tumor immune response.</w:t>
      </w:r>
    </w:p>
    <w:p>
      <w:pPr>
        <w:spacing w:after="0" w:line="113" w:lineRule="exact"/>
        <w:rPr>
          <w:sz w:val="20"/>
          <w:szCs w:val="20"/>
          <w:color w:val="auto"/>
        </w:rPr>
      </w:pPr>
    </w:p>
    <w:p>
      <w:pPr>
        <w:ind w:left="1260" w:right="439" w:firstLine="648"/>
        <w:spacing w:after="0" w:line="254" w:lineRule="auto"/>
        <w:rPr>
          <w:sz w:val="20"/>
          <w:szCs w:val="20"/>
          <w:color w:val="auto"/>
        </w:rPr>
      </w:pPr>
      <w:r>
        <w:rPr>
          <w:rFonts w:ascii="Arial" w:cs="Arial" w:eastAsia="Arial" w:hAnsi="Arial"/>
          <w:sz w:val="18"/>
          <w:szCs w:val="18"/>
          <w:color w:val="auto"/>
        </w:rPr>
        <w:t>Of the 26 patients in the safety set evaluated for efficacy, overall 46% (12 of 26) demonstrated stable disease as best overall response. One patient treated in combination with pemetrexed chemotherapy achieved a confirmed partial response with decreasing measurable tumor size up to the last follow-up visit. Another patient exhibited decreasing target lesion sizes not formally qualifying as PR. Shrinkage of non-irradiated lesions greater than 15% occurred in six patients, five in stratum 1 and one in stratum 2. Median progression free survival was 2.87 months (95% CI; range 1.43-4.27) and median overall survival time from first treatment was 13.95 months (95% CI; range 8.93-20.87).</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Best overall response (safety analysis set)</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0" w:type="dxa"/>
            <w:vAlign w:val="bottom"/>
            <w:gridSpan w:val="7"/>
          </w:tcPr>
          <w:p>
            <w:pPr>
              <w:jc w:val="right"/>
              <w:ind w:right="273"/>
              <w:spacing w:after="0"/>
              <w:rPr>
                <w:sz w:val="20"/>
                <w:szCs w:val="20"/>
                <w:color w:val="auto"/>
              </w:rPr>
            </w:pPr>
            <w:r>
              <w:rPr>
                <w:rFonts w:ascii="Arial" w:cs="Arial" w:eastAsia="Arial" w:hAnsi="Arial"/>
                <w:sz w:val="14"/>
                <w:szCs w:val="14"/>
                <w:b w:val="1"/>
                <w:bCs w:val="1"/>
                <w:color w:val="auto"/>
                <w:w w:val="98"/>
              </w:rPr>
              <w:t>Patients with response, n (%) [95% confidence interval]</w:t>
            </w:r>
          </w:p>
        </w:tc>
      </w:tr>
      <w:tr>
        <w:trPr>
          <w:trHeight w:val="26"/>
        </w:trPr>
        <w:tc>
          <w:tcPr>
            <w:tcW w:w="3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73"/>
        </w:trPr>
        <w:tc>
          <w:tcPr>
            <w:tcW w:w="3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Stratum 1</w:t>
            </w: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Stratum 2</w:t>
            </w: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Stratum 3</w:t>
            </w:r>
          </w:p>
        </w:tc>
        <w:tc>
          <w:tcPr>
            <w:tcW w:w="860" w:type="dxa"/>
            <w:vAlign w:val="bottom"/>
          </w:tcPr>
          <w:p>
            <w:pPr>
              <w:jc w:val="right"/>
              <w:ind w:right="133"/>
              <w:spacing w:after="0"/>
              <w:rPr>
                <w:sz w:val="20"/>
                <w:szCs w:val="20"/>
                <w:color w:val="auto"/>
              </w:rPr>
            </w:pPr>
            <w:r>
              <w:rPr>
                <w:rFonts w:ascii="Arial" w:cs="Arial" w:eastAsia="Arial" w:hAnsi="Arial"/>
                <w:sz w:val="14"/>
                <w:szCs w:val="14"/>
                <w:b w:val="1"/>
                <w:bCs w:val="1"/>
                <w:color w:val="auto"/>
              </w:rPr>
              <w:t>Overall</w:t>
            </w:r>
          </w:p>
        </w:tc>
      </w:tr>
      <w:tr>
        <w:trPr>
          <w:trHeight w:val="186"/>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Parameter</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(n=16)</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(n=8)</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(n=2)</w:t>
            </w:r>
          </w:p>
        </w:tc>
        <w:tc>
          <w:tcPr>
            <w:tcW w:w="860" w:type="dxa"/>
            <w:vAlign w:val="bottom"/>
          </w:tcPr>
          <w:p>
            <w:pPr>
              <w:jc w:val="right"/>
              <w:ind w:right="133"/>
              <w:spacing w:after="0"/>
              <w:rPr>
                <w:sz w:val="20"/>
                <w:szCs w:val="20"/>
                <w:color w:val="auto"/>
              </w:rPr>
            </w:pPr>
            <w:r>
              <w:rPr>
                <w:rFonts w:ascii="Arial" w:cs="Arial" w:eastAsia="Arial" w:hAnsi="Arial"/>
                <w:sz w:val="14"/>
                <w:szCs w:val="14"/>
                <w:b w:val="1"/>
                <w:bCs w:val="1"/>
                <w:color w:val="auto"/>
              </w:rPr>
              <w:t>(n=26)</w:t>
            </w:r>
          </w:p>
        </w:tc>
      </w:tr>
      <w:tr>
        <w:trPr>
          <w:trHeight w:val="26"/>
        </w:trPr>
        <w:tc>
          <w:tcPr>
            <w:tcW w:w="3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Response (CR + PR) rate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(6.3)</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(3.8)</w:t>
            </w:r>
          </w:p>
        </w:tc>
      </w:tr>
      <w:tr>
        <w:trPr>
          <w:trHeight w:val="256"/>
        </w:trPr>
        <w:tc>
          <w:tcPr>
            <w:tcW w:w="3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[0.2-30.2]</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[0.0-36.9]</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7"/>
              </w:rPr>
              <w:t>[0.0-84.2]</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[0.1-19.6]</w:t>
            </w:r>
          </w:p>
        </w:tc>
      </w:tr>
      <w:tr>
        <w:trPr>
          <w:trHeight w:val="365"/>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Best overall response</w:t>
            </w: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70"/>
        </w:trPr>
        <w:tc>
          <w:tcPr>
            <w:tcW w:w="4200" w:type="dxa"/>
            <w:vAlign w:val="bottom"/>
            <w:gridSpan w:val="2"/>
          </w:tcPr>
          <w:p>
            <w:pPr>
              <w:spacing w:after="0"/>
              <w:rPr>
                <w:sz w:val="20"/>
                <w:szCs w:val="20"/>
                <w:color w:val="auto"/>
              </w:rPr>
            </w:pPr>
            <w:r>
              <w:rPr>
                <w:rFonts w:ascii="Arial" w:cs="Arial" w:eastAsia="Arial" w:hAnsi="Arial"/>
                <w:sz w:val="18"/>
                <w:szCs w:val="18"/>
                <w:color w:val="auto"/>
              </w:rPr>
              <w:t>CR</w:t>
            </w: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70"/>
        </w:trPr>
        <w:tc>
          <w:tcPr>
            <w:tcW w:w="39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[0.0-20.6]</w:t>
            </w: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[0.0-36.9]</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[0.0-84.2]</w:t>
            </w: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[0.0-13.2]</w:t>
            </w:r>
          </w:p>
        </w:tc>
      </w:tr>
      <w:tr>
        <w:trPr>
          <w:trHeight w:val="270"/>
        </w:trPr>
        <w:tc>
          <w:tcPr>
            <w:tcW w:w="4200" w:type="dxa"/>
            <w:vAlign w:val="bottom"/>
            <w:gridSpan w:val="2"/>
          </w:tcPr>
          <w:p>
            <w:pPr>
              <w:spacing w:after="0"/>
              <w:rPr>
                <w:sz w:val="20"/>
                <w:szCs w:val="20"/>
                <w:color w:val="auto"/>
              </w:rPr>
            </w:pPr>
            <w:r>
              <w:rPr>
                <w:rFonts w:ascii="Arial" w:cs="Arial" w:eastAsia="Arial" w:hAnsi="Arial"/>
                <w:sz w:val="18"/>
                <w:szCs w:val="18"/>
                <w:color w:val="auto"/>
              </w:rPr>
              <w:t>PR</w:t>
            </w:r>
          </w:p>
        </w:tc>
        <w:tc>
          <w:tcPr>
            <w:tcW w:w="860" w:type="dxa"/>
            <w:vAlign w:val="bottom"/>
          </w:tcPr>
          <w:p>
            <w:pPr>
              <w:jc w:val="right"/>
              <w:spacing w:after="0"/>
              <w:rPr>
                <w:sz w:val="20"/>
                <w:szCs w:val="20"/>
                <w:color w:val="auto"/>
              </w:rPr>
            </w:pPr>
            <w:r>
              <w:rPr>
                <w:rFonts w:ascii="Arial" w:cs="Arial" w:eastAsia="Arial" w:hAnsi="Arial"/>
                <w:sz w:val="18"/>
                <w:szCs w:val="18"/>
                <w:color w:val="auto"/>
              </w:rPr>
              <w:t>1 (6.3)</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 (3.8)</w:t>
            </w:r>
          </w:p>
        </w:tc>
      </w:tr>
      <w:tr>
        <w:trPr>
          <w:trHeight w:val="270"/>
        </w:trPr>
        <w:tc>
          <w:tcPr>
            <w:tcW w:w="39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[0.2-30.2]</w:t>
            </w: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[0.0-36.9]</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[0.0-84.2]</w:t>
            </w: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[0.1-19.6]</w:t>
            </w:r>
          </w:p>
        </w:tc>
      </w:tr>
      <w:tr>
        <w:trPr>
          <w:trHeight w:val="270"/>
        </w:trPr>
        <w:tc>
          <w:tcPr>
            <w:tcW w:w="4200" w:type="dxa"/>
            <w:vAlign w:val="bottom"/>
            <w:gridSpan w:val="2"/>
          </w:tcPr>
          <w:p>
            <w:pPr>
              <w:spacing w:after="0"/>
              <w:rPr>
                <w:sz w:val="20"/>
                <w:szCs w:val="20"/>
                <w:color w:val="auto"/>
              </w:rPr>
            </w:pPr>
            <w:r>
              <w:rPr>
                <w:rFonts w:ascii="Arial" w:cs="Arial" w:eastAsia="Arial" w:hAnsi="Arial"/>
                <w:sz w:val="18"/>
                <w:szCs w:val="18"/>
                <w:color w:val="auto"/>
              </w:rPr>
              <w:t>SD</w:t>
            </w:r>
          </w:p>
        </w:tc>
        <w:tc>
          <w:tcPr>
            <w:tcW w:w="860" w:type="dxa"/>
            <w:vAlign w:val="bottom"/>
          </w:tcPr>
          <w:p>
            <w:pPr>
              <w:jc w:val="right"/>
              <w:spacing w:after="0"/>
              <w:rPr>
                <w:sz w:val="20"/>
                <w:szCs w:val="20"/>
                <w:color w:val="auto"/>
              </w:rPr>
            </w:pPr>
            <w:r>
              <w:rPr>
                <w:rFonts w:ascii="Arial" w:cs="Arial" w:eastAsia="Arial" w:hAnsi="Arial"/>
                <w:sz w:val="18"/>
                <w:szCs w:val="18"/>
                <w:color w:val="auto"/>
              </w:rPr>
              <w:t>8 (50.0)</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 (37.5)</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 (50.0)</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 (46.2)</w:t>
            </w:r>
          </w:p>
        </w:tc>
      </w:tr>
      <w:tr>
        <w:trPr>
          <w:trHeight w:val="270"/>
        </w:trPr>
        <w:tc>
          <w:tcPr>
            <w:tcW w:w="39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[24.7-75.3]</w:t>
            </w: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[8.5-75.5]</w:t>
            </w:r>
          </w:p>
        </w:tc>
        <w:tc>
          <w:tcPr>
            <w:tcW w:w="220" w:type="dxa"/>
            <w:vAlign w:val="bottom"/>
            <w:shd w:val="clear" w:color="auto" w:fill="CCEEFF"/>
          </w:tcPr>
          <w:p>
            <w:pPr>
              <w:spacing w:after="0"/>
              <w:rPr>
                <w:sz w:val="23"/>
                <w:szCs w:val="23"/>
                <w:color w:val="auto"/>
              </w:rPr>
            </w:pP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[1.3-98.7]   [26.6-66.6]</w:t>
            </w:r>
          </w:p>
        </w:tc>
      </w:tr>
      <w:tr>
        <w:trPr>
          <w:trHeight w:val="270"/>
        </w:trPr>
        <w:tc>
          <w:tcPr>
            <w:tcW w:w="4200" w:type="dxa"/>
            <w:vAlign w:val="bottom"/>
            <w:gridSpan w:val="2"/>
          </w:tcPr>
          <w:p>
            <w:pPr>
              <w:spacing w:after="0"/>
              <w:rPr>
                <w:sz w:val="20"/>
                <w:szCs w:val="20"/>
                <w:color w:val="auto"/>
              </w:rPr>
            </w:pPr>
            <w:r>
              <w:rPr>
                <w:rFonts w:ascii="Arial" w:cs="Arial" w:eastAsia="Arial" w:hAnsi="Arial"/>
                <w:sz w:val="18"/>
                <w:szCs w:val="18"/>
                <w:color w:val="auto"/>
              </w:rPr>
              <w:t>PD</w:t>
            </w:r>
          </w:p>
        </w:tc>
        <w:tc>
          <w:tcPr>
            <w:tcW w:w="860" w:type="dxa"/>
            <w:vAlign w:val="bottom"/>
          </w:tcPr>
          <w:p>
            <w:pPr>
              <w:jc w:val="right"/>
              <w:spacing w:after="0"/>
              <w:rPr>
                <w:sz w:val="20"/>
                <w:szCs w:val="20"/>
                <w:color w:val="auto"/>
              </w:rPr>
            </w:pPr>
            <w:r>
              <w:rPr>
                <w:rFonts w:ascii="Arial" w:cs="Arial" w:eastAsia="Arial" w:hAnsi="Arial"/>
                <w:sz w:val="18"/>
                <w:szCs w:val="18"/>
                <w:color w:val="auto"/>
              </w:rPr>
              <w:t>7 (43.8)</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 (50.0)</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 (46.2)</w:t>
            </w:r>
          </w:p>
        </w:tc>
      </w:tr>
      <w:tr>
        <w:trPr>
          <w:trHeight w:val="270"/>
        </w:trPr>
        <w:tc>
          <w:tcPr>
            <w:tcW w:w="39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[19.8-70.1]</w:t>
            </w: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[15.7-84.3]</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[1.3-98.7]</w:t>
            </w: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[26.6-66.6]</w:t>
            </w:r>
          </w:p>
        </w:tc>
      </w:tr>
      <w:tr>
        <w:trPr>
          <w:trHeight w:val="270"/>
        </w:trPr>
        <w:tc>
          <w:tcPr>
            <w:tcW w:w="4200" w:type="dxa"/>
            <w:vAlign w:val="bottom"/>
            <w:gridSpan w:val="2"/>
          </w:tcPr>
          <w:p>
            <w:pPr>
              <w:spacing w:after="0"/>
              <w:rPr>
                <w:sz w:val="20"/>
                <w:szCs w:val="20"/>
                <w:color w:val="auto"/>
              </w:rPr>
            </w:pPr>
            <w:r>
              <w:rPr>
                <w:rFonts w:ascii="Arial" w:cs="Arial" w:eastAsia="Arial" w:hAnsi="Arial"/>
                <w:sz w:val="18"/>
                <w:szCs w:val="18"/>
                <w:color w:val="auto"/>
              </w:rPr>
              <w:t>NE</w:t>
            </w: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 (12.5)</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 (3.8)</w:t>
            </w:r>
          </w:p>
        </w:tc>
      </w:tr>
      <w:tr>
        <w:trPr>
          <w:trHeight w:val="270"/>
        </w:trPr>
        <w:tc>
          <w:tcPr>
            <w:tcW w:w="39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[0.0-20.6]</w:t>
            </w: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[0.3-52.7]</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[0.0-84.2]</w:t>
            </w: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5326380</wp:posOffset>
            </wp:positionH>
            <wp:positionV relativeFrom="paragraph">
              <wp:posOffset>-2279650</wp:posOffset>
            </wp:positionV>
            <wp:extent cx="13716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-2279650</wp:posOffset>
            </wp:positionV>
            <wp:extent cx="13716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-2279650</wp:posOffset>
            </wp:positionV>
            <wp:extent cx="13716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3328670</wp:posOffset>
            </wp:positionH>
            <wp:positionV relativeFrom="paragraph">
              <wp:posOffset>-2279650</wp:posOffset>
            </wp:positionV>
            <wp:extent cx="13716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6459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35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Confirmed response according to Response Evaluation Criteria for Solid Tumors (RECIST) version 1.1</w:t>
      </w:r>
    </w:p>
    <w:p>
      <w:pPr>
        <w:spacing w:after="0" w:line="77" w:lineRule="exact"/>
        <w:rPr>
          <w:sz w:val="20"/>
          <w:szCs w:val="20"/>
          <w:color w:val="auto"/>
        </w:rPr>
      </w:pPr>
    </w:p>
    <w:p>
      <w:pPr>
        <w:ind w:left="1260" w:right="619"/>
        <w:spacing w:after="0" w:line="277" w:lineRule="auto"/>
        <w:rPr>
          <w:sz w:val="20"/>
          <w:szCs w:val="20"/>
          <w:color w:val="auto"/>
        </w:rPr>
      </w:pPr>
      <w:r>
        <w:rPr>
          <w:rFonts w:ascii="Arial" w:cs="Arial" w:eastAsia="Arial" w:hAnsi="Arial"/>
          <w:sz w:val="18"/>
          <w:szCs w:val="18"/>
          <w:color w:val="auto"/>
        </w:rPr>
        <w:t>Abbreviations: CR complete response, NE not evaluable, PD progressive disease, PR partial response, SD stable disease</w:t>
      </w:r>
    </w:p>
    <w:p>
      <w:pPr>
        <w:spacing w:after="0" w:line="103" w:lineRule="exact"/>
        <w:rPr>
          <w:sz w:val="20"/>
          <w:szCs w:val="20"/>
          <w:color w:val="auto"/>
        </w:rPr>
      </w:pPr>
    </w:p>
    <w:p>
      <w:pPr>
        <w:ind w:left="1260" w:right="419" w:firstLine="648"/>
        <w:spacing w:after="0" w:line="254" w:lineRule="auto"/>
        <w:rPr>
          <w:sz w:val="20"/>
          <w:szCs w:val="20"/>
          <w:color w:val="auto"/>
        </w:rPr>
      </w:pPr>
      <w:r>
        <w:rPr>
          <w:rFonts w:ascii="Arial" w:cs="Arial" w:eastAsia="Arial" w:hAnsi="Arial"/>
          <w:sz w:val="18"/>
          <w:szCs w:val="18"/>
          <w:color w:val="auto"/>
        </w:rPr>
        <w:t>In these initial trials, BI1361849 was administered via conventional needle-based intradermal injection, later shown to be a suboptimal mode of injection for the protamine formulated rabies vaccine. Our preclinical data demonstrated improved antigen expression at the site of injection if the protamine formulated vaccine was injected via a needle-free jet device. Based on that data, BI and LICR decided to use needle-free injection technique in the LICR trial. Additionally, based on preclinical data showing a synergism of mRNA vaccines and systemic immune checkpoint blockade along with widespread use of PD-L1 inhibitors in advanced NSCLC, BI decided to continue the further development of BI1361849 in combination with immune checkpoint blockade.</w:t>
      </w:r>
    </w:p>
    <w:p>
      <w:pPr>
        <w:sectPr>
          <w:pgSz w:w="11900" w:h="16838" w:orient="portrait"/>
          <w:cols w:equalWidth="0" w:num="1">
            <w:col w:w="9879"/>
          </w:cols>
          <w:pgMar w:left="580" w:top="132" w:right="1440" w:bottom="1440" w:gutter="0" w:footer="0" w:header="0"/>
        </w:sectPr>
      </w:pP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6" w:name="page177"/>
    <w:bookmarkEnd w:id="17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RNA-Based Prophylactic Vaccines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COVID-19 Vaccines Program</w:t>
      </w:r>
    </w:p>
    <w:p>
      <w:pPr>
        <w:spacing w:after="0" w:line="158" w:lineRule="exact"/>
        <w:rPr>
          <w:sz w:val="20"/>
          <w:szCs w:val="20"/>
          <w:color w:val="auto"/>
        </w:rPr>
      </w:pPr>
    </w:p>
    <w:p>
      <w:pPr>
        <w:ind w:left="1260" w:right="579" w:firstLine="648"/>
        <w:spacing w:after="0" w:line="253" w:lineRule="auto"/>
        <w:rPr>
          <w:sz w:val="20"/>
          <w:szCs w:val="20"/>
          <w:color w:val="auto"/>
        </w:rPr>
      </w:pPr>
      <w:r>
        <w:rPr>
          <w:rFonts w:ascii="Arial" w:cs="Arial" w:eastAsia="Arial" w:hAnsi="Arial"/>
          <w:sz w:val="18"/>
          <w:szCs w:val="18"/>
          <w:color w:val="auto"/>
        </w:rPr>
        <w:t>Coronaviruses are a family of viruses that can lead to respiratory illness, including Middle East Respiratory Syndrome, or MERS-CoV, and Severe Acute Respiratory Syndrome, or SARS-CoV. Coronaviruses are transmitted between animals and people and can evolve into strains not previously identified in humans. On January 7, 2020, a novel coronavirus (2019-nCoV) was identified as the cause of pneumonia cases and deaths in Wuhan, China, and an exponentially increasing number of cases have since then been found in a growing number of countries worldwide. On March 11, 2020, the World Health Organization designated COVID-19, the disease caused by the novel coronavirus SARS-CoV-2, an international pandemic. The disease has infected over 95 million people around the world. Over 2 million have died to date.</w:t>
      </w:r>
    </w:p>
    <w:p>
      <w:pPr>
        <w:spacing w:after="0" w:line="129" w:lineRule="exact"/>
        <w:rPr>
          <w:sz w:val="20"/>
          <w:szCs w:val="20"/>
          <w:color w:val="auto"/>
        </w:rPr>
      </w:pPr>
    </w:p>
    <w:p>
      <w:pPr>
        <w:ind w:left="1260" w:right="419" w:firstLine="648"/>
        <w:spacing w:after="0" w:line="267" w:lineRule="auto"/>
        <w:rPr>
          <w:sz w:val="20"/>
          <w:szCs w:val="20"/>
          <w:color w:val="auto"/>
        </w:rPr>
      </w:pPr>
      <w:r>
        <w:rPr>
          <w:rFonts w:ascii="Arial" w:cs="Arial" w:eastAsia="Arial" w:hAnsi="Arial"/>
          <w:sz w:val="17"/>
          <w:szCs w:val="17"/>
          <w:color w:val="auto"/>
        </w:rPr>
        <w:t>Upon publication of the sequence of the novel Coronavirus (SARS-CoV-2), we designed and optimized potential antigenic constructs based on the spike (S) protein to elicit high immunogenicity. Our approach is based on encoding a stabilized S-protein and recently we successfully conducted several preclinical studies that we started in January 2020. The results of our preclinical studies suggest that our vaccine candidate against SARS-CoV-2 was active at low dose (2 μg) and induces high levels of virus-neutralizing antibodies. Based on the preclinical results, we initiated a Phase 1 clinical trial in healthy volunteers in June 2020, a Phase 2a clinical trial in older adults above 60 years old in September 2020 and a pivotal Phase 2b/3 clinical trial in December 2020. For the Phase 2a clinical trial, we currently expect to report a first data read-out later in the first quarter of 2021. On November 10, 2020, we reported positive interim Phase 1 data, showing that our vaccine candidate induced relevant antibody titers. The quality of the immune responses observed in vaccinated and healthy volunteers was found to be comparable to the recovered immune response identified or detected in convalescent sera taken from recovered COVID-19 patients, thereby mimicking the immune response observed after a natural COVID-19 infection. We believe these interim data support our decision to evaluate a 12µg dose in the pivotal clinical trial. Our pivotal Phase 2b/3 study, called HERALD, is randomized, observer blind, placebo-controlled, on a two-dose schedule, and is expected to enroll more than 37,000 participants, above the age of 18, at sites in Europe and Latin America. The study was started with an initial Phase 2b safety part, which is expected to merge into a Phase 3 efficacy trial. We currently expect to conduct a first interim analysis of the pivotal Phase 2b/3 study later in the first quarter of 2021 or early in the second quarter of 2021, depending on the infection rate of SARS-COV-2 in clinical trial participants.</w:t>
      </w:r>
    </w:p>
    <w:p>
      <w:pPr>
        <w:spacing w:after="0" w:line="106" w:lineRule="exact"/>
        <w:rPr>
          <w:sz w:val="20"/>
          <w:szCs w:val="20"/>
          <w:color w:val="auto"/>
        </w:rPr>
      </w:pPr>
    </w:p>
    <w:p>
      <w:pPr>
        <w:ind w:left="1260" w:right="479" w:firstLine="648"/>
        <w:spacing w:after="0" w:line="263" w:lineRule="auto"/>
        <w:rPr>
          <w:sz w:val="20"/>
          <w:szCs w:val="20"/>
          <w:color w:val="auto"/>
        </w:rPr>
      </w:pPr>
      <w:r>
        <w:rPr>
          <w:rFonts w:ascii="Arial" w:cs="Arial" w:eastAsia="Arial" w:hAnsi="Arial"/>
          <w:sz w:val="18"/>
          <w:szCs w:val="18"/>
          <w:color w:val="auto"/>
        </w:rPr>
        <w:t>We have been working closely with the European regulatory authorities to advance our program into clinical testing. We are collaborating with CEPI on the development of a vaccine against SARS-CoV-2. CEPI is funding our preparatory work and early clinical studies.</w:t>
      </w:r>
    </w:p>
    <w:p>
      <w:pPr>
        <w:spacing w:after="0" w:line="184"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CVnCoV Phase 1 Clinical Trial</w:t>
      </w:r>
    </w:p>
    <w:p>
      <w:pPr>
        <w:spacing w:after="0" w:line="158" w:lineRule="exact"/>
        <w:rPr>
          <w:sz w:val="20"/>
          <w:szCs w:val="20"/>
          <w:color w:val="auto"/>
        </w:rPr>
      </w:pPr>
    </w:p>
    <w:p>
      <w:pPr>
        <w:ind w:left="1260" w:right="439" w:firstLine="648"/>
        <w:spacing w:after="0" w:line="252" w:lineRule="auto"/>
        <w:rPr>
          <w:sz w:val="20"/>
          <w:szCs w:val="20"/>
          <w:color w:val="auto"/>
        </w:rPr>
      </w:pPr>
      <w:r>
        <w:rPr>
          <w:rFonts w:ascii="Arial" w:cs="Arial" w:eastAsia="Arial" w:hAnsi="Arial"/>
          <w:sz w:val="18"/>
          <w:szCs w:val="18"/>
          <w:color w:val="auto"/>
        </w:rPr>
        <w:t>We initiated a Phase 1 clinical trial for CVnCoV in June 2020. This is a partially blinded, placebo-controlled, dose-escalation, first in human, clinical trial to evaluate the safety, reactogenicity and immunogenicity after 1 and 2 doses of the investigational SARS-CoV-2 mRNA vaccine CVnCoV administered intramuscularly in healthy adults 18 to 60 years of age. The primary objective is the assessment of safety and the key secondary endpoint assesses the proportion of subjects seroconverting for SARS-CoV-2-neutralizing antibodies, as measured by an activity assay. The Phase 1 trial is being conducted at three active clinical sites in Germany and one active clinical site in Belgium. The Phase 1 trial is fully enrolled, with 280 adults assigned to seven dose groups between 2µg and 20µg of CVnCoV. The dose groups included 2μg (n=56), 4μg (n=56), 6μg (n=56), 8μg (n=56), 12μ (n=28), 16μg (n=16), and 20μg (n=12). In addition, the 2μg, 4μg, 6μg and 8μg cohorts include up to 10 placebo patients. The majority of the participants recruited in each dose group were seronegative, with several seropositive participants (i.e., participants that were previously infected with SARS-CoV-2). All of the subjects received two doses of CVnCoV on days 1 and 29.</w:t>
      </w:r>
    </w:p>
    <w:p>
      <w:pPr>
        <w:spacing w:after="0" w:line="37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7" w:name="page178"/>
    <w:bookmarkEnd w:id="17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39" w:firstLine="648"/>
        <w:spacing w:after="0" w:line="248" w:lineRule="auto"/>
        <w:rPr>
          <w:sz w:val="20"/>
          <w:szCs w:val="20"/>
          <w:color w:val="auto"/>
        </w:rPr>
      </w:pPr>
      <w:r>
        <w:rPr>
          <w:rFonts w:ascii="Arial" w:cs="Arial" w:eastAsia="Arial" w:hAnsi="Arial"/>
          <w:sz w:val="18"/>
          <w:szCs w:val="18"/>
          <w:color w:val="auto"/>
        </w:rPr>
        <w:t>On the basis of the ongoing safety evaluations, the Data Safety Monitoring Board approved full enrollment in each of the five dose groups, along with dose escalation to 16µg and 20µg dose groups, which are currently completing the recruitment process.</w:t>
      </w:r>
    </w:p>
    <w:p>
      <w:pPr>
        <w:spacing w:after="0" w:line="11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Subjects must satisfy the following criteria at trial entry:</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Key inclusion criteria:</w:t>
      </w:r>
    </w:p>
    <w:p>
      <w:pPr>
        <w:spacing w:after="0" w:line="117" w:lineRule="exact"/>
        <w:rPr>
          <w:sz w:val="20"/>
          <w:szCs w:val="20"/>
          <w:color w:val="auto"/>
        </w:rPr>
      </w:pPr>
    </w:p>
    <w:p>
      <w:pPr>
        <w:ind w:left="2260" w:hanging="352"/>
        <w:spacing w:after="0"/>
        <w:tabs>
          <w:tab w:leader="none" w:pos="22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Healthy male and female participants aged 18 to 60 years;</w:t>
      </w:r>
    </w:p>
    <w:p>
      <w:pPr>
        <w:spacing w:after="0" w:line="103" w:lineRule="exact"/>
        <w:rPr>
          <w:rFonts w:ascii="Arial" w:cs="Arial" w:eastAsia="Arial" w:hAnsi="Arial"/>
          <w:sz w:val="18"/>
          <w:szCs w:val="18"/>
          <w:color w:val="auto"/>
        </w:rPr>
      </w:pPr>
    </w:p>
    <w:p>
      <w:pPr>
        <w:ind w:left="2260" w:right="439" w:hanging="352"/>
        <w:spacing w:after="0" w:line="277" w:lineRule="auto"/>
        <w:tabs>
          <w:tab w:leader="none" w:pos="22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Physical examination and laboratory results without clinically significant findings according to the Investigator’s assessment; and</w:t>
      </w:r>
    </w:p>
    <w:p>
      <w:pPr>
        <w:spacing w:after="0" w:line="62" w:lineRule="exact"/>
        <w:rPr>
          <w:rFonts w:ascii="Arial" w:cs="Arial" w:eastAsia="Arial" w:hAnsi="Arial"/>
          <w:sz w:val="18"/>
          <w:szCs w:val="18"/>
          <w:color w:val="auto"/>
        </w:rPr>
      </w:pPr>
    </w:p>
    <w:p>
      <w:pPr>
        <w:ind w:left="2260" w:right="799" w:hanging="352"/>
        <w:spacing w:after="0" w:line="277" w:lineRule="auto"/>
        <w:tabs>
          <w:tab w:leader="none" w:pos="22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Body Mass Index (BMI) ≥18.0 and ≤30.0kg/m^2 (≥18.0 and ≤32.0kg/m2 for subjects with SARS-CoV-2 positive serology).</w:t>
      </w:r>
    </w:p>
    <w:p>
      <w:pPr>
        <w:spacing w:after="0" w:line="170"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Key exclusion criteria:</w:t>
      </w:r>
    </w:p>
    <w:p>
      <w:pPr>
        <w:spacing w:after="0" w:line="117" w:lineRule="exact"/>
        <w:rPr>
          <w:sz w:val="20"/>
          <w:szCs w:val="20"/>
          <w:color w:val="auto"/>
        </w:rPr>
      </w:pPr>
    </w:p>
    <w:p>
      <w:pPr>
        <w:ind w:left="2260" w:right="479" w:hanging="352"/>
        <w:spacing w:after="0" w:line="263" w:lineRule="auto"/>
        <w:tabs>
          <w:tab w:leader="none" w:pos="22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Use of any investigational or non-registered product (drug or vaccine) other than the trial vaccine within 28 days preceding the administration of the trial vaccine, or planned use during the trial period.</w:t>
      </w:r>
    </w:p>
    <w:p>
      <w:pPr>
        <w:spacing w:after="0" w:line="75" w:lineRule="exact"/>
        <w:rPr>
          <w:rFonts w:ascii="Arial" w:cs="Arial" w:eastAsia="Arial" w:hAnsi="Arial"/>
          <w:sz w:val="18"/>
          <w:szCs w:val="18"/>
          <w:color w:val="auto"/>
        </w:rPr>
      </w:pPr>
    </w:p>
    <w:p>
      <w:pPr>
        <w:ind w:left="2260" w:right="619" w:hanging="352"/>
        <w:spacing w:after="0" w:line="263" w:lineRule="auto"/>
        <w:tabs>
          <w:tab w:leader="none" w:pos="22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Receipt of any other vaccines within 14 days (for inactivated vaccines) or 28 days (for live vaccines) prior to enrollment in this trial or planned receipt of any vaccine within 28 days of trial vaccine administration.</w:t>
      </w:r>
    </w:p>
    <w:p>
      <w:pPr>
        <w:spacing w:after="0" w:line="75" w:lineRule="exact"/>
        <w:rPr>
          <w:rFonts w:ascii="Arial" w:cs="Arial" w:eastAsia="Arial" w:hAnsi="Arial"/>
          <w:sz w:val="18"/>
          <w:szCs w:val="18"/>
          <w:color w:val="auto"/>
        </w:rPr>
      </w:pPr>
    </w:p>
    <w:p>
      <w:pPr>
        <w:ind w:left="2260" w:right="599" w:hanging="352"/>
        <w:spacing w:after="0" w:line="277" w:lineRule="auto"/>
        <w:tabs>
          <w:tab w:leader="none" w:pos="22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Receipt of any investigational SARS-CoV-2 or other CoV vaccine prior to the administration of the trial vaccine.</w:t>
      </w:r>
    </w:p>
    <w:p>
      <w:pPr>
        <w:spacing w:after="0" w:line="62" w:lineRule="exact"/>
        <w:rPr>
          <w:rFonts w:ascii="Arial" w:cs="Arial" w:eastAsia="Arial" w:hAnsi="Arial"/>
          <w:sz w:val="18"/>
          <w:szCs w:val="18"/>
          <w:color w:val="auto"/>
        </w:rPr>
      </w:pPr>
    </w:p>
    <w:p>
      <w:pPr>
        <w:ind w:left="2260" w:right="999" w:hanging="352"/>
        <w:spacing w:after="0" w:line="277" w:lineRule="auto"/>
        <w:tabs>
          <w:tab w:leader="none" w:pos="22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known allergy, including allergy to any component of CVnCoV or aminoglycoside antibiotics.</w:t>
      </w:r>
    </w:p>
    <w:p>
      <w:pPr>
        <w:spacing w:after="0" w:line="62" w:lineRule="exact"/>
        <w:rPr>
          <w:rFonts w:ascii="Arial" w:cs="Arial" w:eastAsia="Arial" w:hAnsi="Arial"/>
          <w:sz w:val="18"/>
          <w:szCs w:val="18"/>
          <w:color w:val="auto"/>
        </w:rPr>
      </w:pPr>
    </w:p>
    <w:p>
      <w:pPr>
        <w:ind w:left="2260" w:right="1059" w:hanging="352"/>
        <w:spacing w:after="0" w:line="277" w:lineRule="auto"/>
        <w:tabs>
          <w:tab w:leader="none" w:pos="22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Active or currently active SARS-CoV-2 infection as confirmed by reactive PCR within three days of first trial vaccine administration.</w:t>
      </w:r>
    </w:p>
    <w:p>
      <w:pPr>
        <w:spacing w:after="0" w:line="48" w:lineRule="exact"/>
        <w:rPr>
          <w:rFonts w:ascii="Arial" w:cs="Arial" w:eastAsia="Arial" w:hAnsi="Arial"/>
          <w:sz w:val="18"/>
          <w:szCs w:val="18"/>
          <w:color w:val="auto"/>
        </w:rPr>
      </w:pPr>
    </w:p>
    <w:p>
      <w:pPr>
        <w:ind w:left="2260" w:hanging="352"/>
        <w:spacing w:after="0"/>
        <w:tabs>
          <w:tab w:leader="none" w:pos="22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History of confirmed SARS or MERS.</w:t>
      </w:r>
    </w:p>
    <w:p>
      <w:pPr>
        <w:spacing w:after="0" w:line="117" w:lineRule="exact"/>
        <w:rPr>
          <w:rFonts w:ascii="Arial" w:cs="Arial" w:eastAsia="Arial" w:hAnsi="Arial"/>
          <w:sz w:val="18"/>
          <w:szCs w:val="18"/>
          <w:color w:val="auto"/>
        </w:rPr>
      </w:pPr>
    </w:p>
    <w:p>
      <w:pPr>
        <w:ind w:left="2260" w:right="459" w:hanging="352"/>
        <w:spacing w:after="0" w:line="277" w:lineRule="auto"/>
        <w:tabs>
          <w:tab w:leader="none" w:pos="22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Administration of immunoglobulins, or Igs, and/or any blood products within the three months preceding the administration of any dose of the trial vaccine.</w:t>
      </w:r>
    </w:p>
    <w:p>
      <w:pPr>
        <w:spacing w:after="0" w:line="62" w:lineRule="exact"/>
        <w:rPr>
          <w:rFonts w:ascii="Arial" w:cs="Arial" w:eastAsia="Arial" w:hAnsi="Arial"/>
          <w:sz w:val="18"/>
          <w:szCs w:val="18"/>
          <w:color w:val="auto"/>
        </w:rPr>
      </w:pPr>
    </w:p>
    <w:p>
      <w:pPr>
        <w:ind w:left="2260" w:hanging="352"/>
        <w:spacing w:after="0"/>
        <w:tabs>
          <w:tab w:leader="none" w:pos="22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Presence or evidence of significant acute or chronic, medical or psychiatric illness.</w:t>
      </w:r>
    </w:p>
    <w:p>
      <w:pPr>
        <w:spacing w:after="0" w:line="158" w:lineRule="exact"/>
        <w:rPr>
          <w:sz w:val="20"/>
          <w:szCs w:val="20"/>
          <w:color w:val="auto"/>
        </w:rPr>
      </w:pPr>
    </w:p>
    <w:p>
      <w:pPr>
        <w:ind w:left="1260" w:right="419" w:firstLine="648"/>
        <w:spacing w:after="0" w:line="239" w:lineRule="auto"/>
        <w:rPr>
          <w:sz w:val="20"/>
          <w:szCs w:val="20"/>
          <w:color w:val="auto"/>
        </w:rPr>
      </w:pPr>
      <w:r>
        <w:rPr>
          <w:rFonts w:ascii="Arial" w:cs="Arial" w:eastAsia="Arial" w:hAnsi="Arial"/>
          <w:sz w:val="18"/>
          <w:szCs w:val="18"/>
          <w:color w:val="auto"/>
        </w:rPr>
        <w:t>Positive interim Phase 1 data was reported on November 10, 2020, and showed that, as of the cutoff date of October 31, 2020, CVnCoV induced relevant antibody titers. The quality of the immune response observed in vaccinated and healthy volunteers was found to be comparable to the immune response identified in convalescent sera taken from recovered COVID-19 patients, thereby mimicking the immune response observed after a natural COVID-19 infection. We believe these interim data support our decision to evaluate a 12µg dose in the pivotal Phase 2b/3 study, which we initiated in December 2020 and, which is investigating the efficacy, safety and immunogenicity of CVnCoV.</w:t>
      </w:r>
    </w:p>
    <w:p>
      <w:pPr>
        <w:spacing w:after="0" w:line="123" w:lineRule="exact"/>
        <w:rPr>
          <w:sz w:val="20"/>
          <w:szCs w:val="20"/>
          <w:color w:val="auto"/>
        </w:rPr>
      </w:pPr>
    </w:p>
    <w:p>
      <w:pPr>
        <w:ind w:left="1260" w:right="439" w:firstLine="648"/>
        <w:spacing w:after="0" w:line="243" w:lineRule="auto"/>
        <w:rPr>
          <w:sz w:val="20"/>
          <w:szCs w:val="20"/>
          <w:color w:val="auto"/>
        </w:rPr>
      </w:pPr>
      <w:r>
        <w:rPr>
          <w:rFonts w:ascii="Arial" w:cs="Arial" w:eastAsia="Arial" w:hAnsi="Arial"/>
          <w:sz w:val="18"/>
          <w:szCs w:val="18"/>
          <w:color w:val="auto"/>
        </w:rPr>
        <w:t>As the primary objective of the Phase 1 study, safety and reactogenicity were assessed based on one or two doses of CVnCoV, ranging from 2 µg to 12 µg per dose, administered 28 days apart. As of the cutoff date, all doses were generally well tolerated as illustrated in the figure below. No treatment-related serious adverse events were reported.</w:t>
      </w:r>
    </w:p>
    <w:p>
      <w:pPr>
        <w:spacing w:after="0" w:line="107" w:lineRule="exact"/>
        <w:rPr>
          <w:sz w:val="20"/>
          <w:szCs w:val="20"/>
          <w:color w:val="auto"/>
        </w:rPr>
      </w:pPr>
    </w:p>
    <w:p>
      <w:pPr>
        <w:ind w:left="1260" w:right="419" w:firstLine="648"/>
        <w:spacing w:after="0" w:line="262" w:lineRule="auto"/>
        <w:rPr>
          <w:sz w:val="20"/>
          <w:szCs w:val="20"/>
          <w:color w:val="auto"/>
        </w:rPr>
      </w:pPr>
      <w:r>
        <w:rPr>
          <w:rFonts w:ascii="Arial" w:cs="Arial" w:eastAsia="Arial" w:hAnsi="Arial"/>
          <w:sz w:val="17"/>
          <w:szCs w:val="17"/>
          <w:color w:val="auto"/>
        </w:rPr>
        <w:t>Local solicited adverse events, or AEs, showed a dose-dependent increase in incidence and severity. The vast majority of these reports were of Grade 1 and 2 injection site pain. The majority of cases of severe pain showed had onset within 24 hours of vaccination, decreased in severity and resolved within 48 hours. The incidence of reactions was similar after the second dose, but lower in severity.</w:t>
      </w:r>
    </w:p>
    <w:p>
      <w:pPr>
        <w:spacing w:after="0" w:line="105" w:lineRule="exact"/>
        <w:rPr>
          <w:sz w:val="20"/>
          <w:szCs w:val="20"/>
          <w:color w:val="auto"/>
        </w:rPr>
      </w:pPr>
    </w:p>
    <w:p>
      <w:pPr>
        <w:ind w:left="1260" w:right="679" w:firstLine="648"/>
        <w:spacing w:after="0" w:line="243" w:lineRule="auto"/>
        <w:rPr>
          <w:sz w:val="20"/>
          <w:szCs w:val="20"/>
          <w:color w:val="auto"/>
        </w:rPr>
      </w:pPr>
      <w:r>
        <w:rPr>
          <w:rFonts w:ascii="Arial" w:cs="Arial" w:eastAsia="Arial" w:hAnsi="Arial"/>
          <w:sz w:val="18"/>
          <w:szCs w:val="18"/>
          <w:color w:val="auto"/>
        </w:rPr>
        <w:t>Systemic solicited AEs also increased with dose level in terms of incidence and severity. Similar rates of systemic AEs were observed after the first and second vaccinations, but the severity of these systemic AEs increased following the second dose in the groups receiving the 4 µg to 12 µg doses. The majority</w:t>
      </w:r>
    </w:p>
    <w:p>
      <w:pPr>
        <w:sectPr>
          <w:pgSz w:w="11900" w:h="16838" w:orient="portrait"/>
          <w:cols w:equalWidth="0" w:num="1">
            <w:col w:w="9879"/>
          </w:cols>
          <w:pgMar w:left="580" w:top="132" w:right="1440" w:bottom="1440" w:gutter="0" w:footer="0" w:header="0"/>
        </w:sectPr>
      </w:pPr>
    </w:p>
    <w:p>
      <w:pPr>
        <w:spacing w:after="0" w:line="36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8" w:name="page179"/>
    <w:bookmarkEnd w:id="17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59"/>
        <w:spacing w:after="0" w:line="257" w:lineRule="auto"/>
        <w:rPr>
          <w:sz w:val="20"/>
          <w:szCs w:val="20"/>
          <w:color w:val="auto"/>
        </w:rPr>
      </w:pPr>
      <w:r>
        <w:rPr>
          <w:rFonts w:ascii="Arial" w:cs="Arial" w:eastAsia="Arial" w:hAnsi="Arial"/>
          <w:sz w:val="17"/>
          <w:szCs w:val="17"/>
          <w:color w:val="auto"/>
        </w:rPr>
        <w:t>of systemic AEs consisted of transient mild or moderate headache and fatigue, and to a lesser extent myalgia and chills. Overall, fever was observed less frequently than other systemic AEs. The majority of severe solicited AEs decreased or disappeared within 24- 48 hours of onset. We believe these interim reactogenicity results, which showed limited presence of fever but symptoms including fatigue, headache and chills, were probably associated with the potential mechanism of action and induction of an innate immune response mediated by interferon and other immune-stimulatory cytokines.</w:t>
      </w:r>
    </w:p>
    <w:p>
      <w:pPr>
        <w:spacing w:after="0" w:line="108" w:lineRule="exact"/>
        <w:rPr>
          <w:sz w:val="20"/>
          <w:szCs w:val="20"/>
          <w:color w:val="auto"/>
        </w:rPr>
      </w:pPr>
    </w:p>
    <w:p>
      <w:pPr>
        <w:ind w:left="1260" w:right="459" w:firstLine="648"/>
        <w:spacing w:after="0" w:line="248" w:lineRule="auto"/>
        <w:rPr>
          <w:sz w:val="20"/>
          <w:szCs w:val="20"/>
          <w:color w:val="auto"/>
        </w:rPr>
      </w:pPr>
      <w:r>
        <w:rPr>
          <w:rFonts w:ascii="Arial" w:cs="Arial" w:eastAsia="Arial" w:hAnsi="Arial"/>
          <w:sz w:val="18"/>
          <w:szCs w:val="18"/>
          <w:color w:val="auto"/>
        </w:rPr>
        <w:t>Interim results from the subset of subjects that were SARS-CoV- 2 seropositive at baseline show that CVnCoV was well tolerated in this population. Seropositive subjects showed less overall reactogenicity after administration of either 2μg or 4μg of CVnCoV than seronegative subjects.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SARS-CoV-2 mRNA vaccine candidate, CVnCoV, was generally well tolerated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128905</wp:posOffset>
            </wp:positionV>
            <wp:extent cx="4337685" cy="27520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337685" cy="2752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439"/>
        <w:spacing w:after="0" w:line="243" w:lineRule="auto"/>
        <w:rPr>
          <w:sz w:val="20"/>
          <w:szCs w:val="20"/>
          <w:color w:val="auto"/>
        </w:rPr>
      </w:pPr>
      <w:r>
        <w:rPr>
          <w:rFonts w:ascii="Arial" w:cs="Arial" w:eastAsia="Arial" w:hAnsi="Arial"/>
          <w:sz w:val="18"/>
          <w:szCs w:val="18"/>
          <w:i w:val="1"/>
          <w:iCs w:val="1"/>
          <w:color w:val="auto"/>
        </w:rPr>
        <w:t>Figure. Overall incidence rates (%) of solicited local and systemic adverse events (AEs) per dose group after the first and second doses with severity classified as mild (Grade 1, white columns), moderate (Grade 2, light orange columns) or severe (Grade 3, orange columns). Data cutoff for reactogenicity was November 9, 2020.</w:t>
      </w:r>
    </w:p>
    <w:p>
      <w:pPr>
        <w:spacing w:after="0" w:line="120" w:lineRule="exact"/>
        <w:rPr>
          <w:sz w:val="20"/>
          <w:szCs w:val="20"/>
          <w:color w:val="auto"/>
        </w:rPr>
      </w:pPr>
    </w:p>
    <w:p>
      <w:pPr>
        <w:ind w:left="1260" w:right="559" w:firstLine="648"/>
        <w:spacing w:after="0" w:line="253" w:lineRule="auto"/>
        <w:rPr>
          <w:sz w:val="20"/>
          <w:szCs w:val="20"/>
          <w:color w:val="auto"/>
        </w:rPr>
      </w:pPr>
      <w:r>
        <w:rPr>
          <w:rFonts w:ascii="Arial" w:cs="Arial" w:eastAsia="Arial" w:hAnsi="Arial"/>
          <w:sz w:val="18"/>
          <w:szCs w:val="18"/>
          <w:color w:val="auto"/>
        </w:rPr>
        <w:t>The main secondary endpoint is the evaluation of the humoral immune response. This is measured by SARS-CoV-2 Spike protein-specific and receptor-binding domain, or RBD, specific IgG antibodies (measured by ELISA), as well as by SARS-CoV-2 virus-neutralizing antibodies (measured by micro-neutralization assay). Strong immune responses were observed in all vaccine groups using all three assays. No responses were observed in placebo recipients. As of the cutoff date, median titers measured in these assays two weeks after the second 12 µg dose were comparable to the median titers observed in a panel of convalescent sera from recovered COVID-19 patients. Seroconversion (defined as a 4-fold increase over baseline titer) of virus-neutralizing antibodies two weeks after the second vaccination occurred in all participants who received 12 µg doses.</w:t>
      </w:r>
    </w:p>
    <w:p>
      <w:pPr>
        <w:spacing w:after="0" w:line="115" w:lineRule="exact"/>
        <w:rPr>
          <w:sz w:val="20"/>
          <w:szCs w:val="20"/>
          <w:color w:val="auto"/>
        </w:rPr>
      </w:pPr>
    </w:p>
    <w:p>
      <w:pPr>
        <w:ind w:left="1260" w:right="439" w:firstLine="648"/>
        <w:spacing w:after="0" w:line="279" w:lineRule="auto"/>
        <w:rPr>
          <w:sz w:val="20"/>
          <w:szCs w:val="20"/>
          <w:color w:val="auto"/>
        </w:rPr>
      </w:pPr>
      <w:r>
        <w:rPr>
          <w:rFonts w:ascii="Arial" w:cs="Arial" w:eastAsia="Arial" w:hAnsi="Arial"/>
          <w:sz w:val="17"/>
          <w:szCs w:val="17"/>
          <w:color w:val="auto"/>
        </w:rPr>
        <w:t>The applied human convalescent patient sera panel consisted of 67 convalescent patients, who exhibited multiple symptoms and of which 16 patients (24%) were hospitalized. Binding and neutralizing antibody titers of these convalescent patients are based on blood samples collected mainly at the peak time of humoral response, between four to eight weeks after diagnostic confirmation of a SARS-CoV-2 infection.</w:t>
      </w:r>
    </w:p>
    <w:p>
      <w:pPr>
        <w:spacing w:after="0" w:line="104" w:lineRule="exact"/>
        <w:rPr>
          <w:sz w:val="20"/>
          <w:szCs w:val="20"/>
          <w:color w:val="auto"/>
        </w:rPr>
      </w:pPr>
    </w:p>
    <w:p>
      <w:pPr>
        <w:ind w:left="1260" w:right="479" w:firstLine="648"/>
        <w:spacing w:after="0" w:line="259" w:lineRule="auto"/>
        <w:rPr>
          <w:sz w:val="20"/>
          <w:szCs w:val="20"/>
          <w:color w:val="auto"/>
        </w:rPr>
      </w:pPr>
      <w:r>
        <w:rPr>
          <w:rFonts w:ascii="Arial" w:cs="Arial" w:eastAsia="Arial" w:hAnsi="Arial"/>
          <w:sz w:val="18"/>
          <w:szCs w:val="18"/>
          <w:color w:val="auto"/>
        </w:rPr>
        <w:t>Immune response shown as ELISA IgG antibodies against the Spike protein exhibited low but variable median titers in the baseline samples. At day 29, four weeks after the first dose, there were small dose-dependent increases with seroconversion rates of 6-28% across vaccine groups. On day 36, seven days after</w:t>
      </w:r>
    </w:p>
    <w:p>
      <w:pPr>
        <w:sectPr>
          <w:pgSz w:w="11900" w:h="16838" w:orient="portrait"/>
          <w:cols w:equalWidth="0" w:num="1">
            <w:col w:w="9879"/>
          </w:cols>
          <w:pgMar w:left="580" w:top="132" w:right="1440" w:bottom="1440" w:gutter="0" w:footer="0" w:header="0"/>
        </w:sectPr>
      </w:pP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286385</wp:posOffset>
            </wp:positionV>
            <wp:extent cx="6806565"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9" w:name="page180"/>
    <w:bookmarkEnd w:id="17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39"/>
        <w:spacing w:after="0" w:line="272" w:lineRule="auto"/>
        <w:rPr>
          <w:sz w:val="20"/>
          <w:szCs w:val="20"/>
          <w:color w:val="auto"/>
        </w:rPr>
      </w:pPr>
      <w:r>
        <w:rPr>
          <w:rFonts w:ascii="Arial" w:cs="Arial" w:eastAsia="Arial" w:hAnsi="Arial"/>
          <w:sz w:val="17"/>
          <w:szCs w:val="17"/>
          <w:color w:val="auto"/>
        </w:rPr>
        <w:t>the second dose, there was a more marked increase in all groups with 49-82% seroconverting. This rate continued to increase to 79-91% at day 43 when median titers were 1712 (25th — 75th percentile: 789-3132), 2205 (1493-3183), 2839 (1232-7002), 3287 (1470-5770), and 5463 (2675-7132), in 2, 4, 6, 8 and 12 µg groups, respectively. Samples in the 8 µg group from day 57, four weeks after the second dose, showed a small decline in IgG median titers to 1825 (879-2834), but overall these titers persisted above baseline and the day 29 (pre-second dose) values. Notably, the value at day 43 in the 12 µg group was comparable to the median titer of 6381 (5400-12432) in the group of convalescent sera.</w:t>
      </w:r>
    </w:p>
    <w:p>
      <w:pPr>
        <w:spacing w:after="0" w:line="110" w:lineRule="exact"/>
        <w:rPr>
          <w:sz w:val="20"/>
          <w:szCs w:val="20"/>
          <w:color w:val="auto"/>
        </w:rPr>
      </w:pPr>
    </w:p>
    <w:p>
      <w:pPr>
        <w:ind w:left="1260" w:right="539" w:firstLine="648"/>
        <w:spacing w:after="0" w:line="255" w:lineRule="auto"/>
        <w:rPr>
          <w:sz w:val="20"/>
          <w:szCs w:val="20"/>
          <w:color w:val="auto"/>
        </w:rPr>
      </w:pPr>
      <w:r>
        <w:rPr>
          <w:rFonts w:ascii="Arial" w:cs="Arial" w:eastAsia="Arial" w:hAnsi="Arial"/>
          <w:sz w:val="18"/>
          <w:szCs w:val="18"/>
          <w:color w:val="auto"/>
        </w:rPr>
        <w:t>When IgG antibody titers against RBD were assessed, a response in the 8 µg group data was observed at day 29 after one dose. The marked increases in titers seven days (day 36) after the second dose were also observed when seroconversion rates were 17-66%. A further increase was observed on day 43 when the seroconversion rates were 83% and 91% in the 8 and 12 µg groups with median titers of 1240 (349-2952) and 1007 (678-3141), respectively, which were comparable to the median of 1448 (726-5391) observed in convalescent sera.</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SARS-CoV-2 mRNA vaccine candidate, CVnCoV, elicited humoral immune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128905</wp:posOffset>
            </wp:positionV>
            <wp:extent cx="4311650" cy="29146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311650"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1260" w:right="679"/>
        <w:spacing w:after="0" w:line="279" w:lineRule="auto"/>
        <w:rPr>
          <w:sz w:val="20"/>
          <w:szCs w:val="20"/>
          <w:color w:val="auto"/>
        </w:rPr>
      </w:pPr>
      <w:r>
        <w:rPr>
          <w:rFonts w:ascii="Arial" w:cs="Arial" w:eastAsia="Arial" w:hAnsi="Arial"/>
          <w:sz w:val="17"/>
          <w:szCs w:val="17"/>
          <w:i w:val="1"/>
          <w:iCs w:val="1"/>
          <w:color w:val="auto"/>
        </w:rPr>
        <w:t>Figure. Anti-Spike protein IgGs in the different study groups and convalescent sera measured by ELISA. Bars show median values per group at each study time point, individual GMT values for each sample are shown as diamonds. Numbers show median values at day 43, two weeks after the second vaccination, for each group and the convalescent sera panel. Data cutoff for immunogenicity was October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0" w:name="page181"/>
    <w:bookmarkEnd w:id="18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537210</wp:posOffset>
            </wp:positionV>
            <wp:extent cx="4303395" cy="290639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303395" cy="2906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260" w:right="559"/>
        <w:spacing w:after="0" w:line="279" w:lineRule="auto"/>
        <w:rPr>
          <w:sz w:val="20"/>
          <w:szCs w:val="20"/>
          <w:color w:val="auto"/>
        </w:rPr>
      </w:pPr>
      <w:r>
        <w:rPr>
          <w:rFonts w:ascii="Arial" w:cs="Arial" w:eastAsia="Arial" w:hAnsi="Arial"/>
          <w:sz w:val="17"/>
          <w:szCs w:val="17"/>
          <w:i w:val="1"/>
          <w:iCs w:val="1"/>
          <w:color w:val="auto"/>
        </w:rPr>
        <w:t>Figure. Anti-RBD IgGs in the different study groups and convalescent sera measured by ELISA. Bars show median values per group at each study time point, individual GMT values for each sample are shown as diamonds. Numbers show median values at day 43, two weeks after the second vaccination, for each group and the convalescent sera panel. Data cutoff for immunogenicity was October 31, 2020.</w:t>
      </w:r>
    </w:p>
    <w:p>
      <w:pPr>
        <w:spacing w:after="0" w:line="104" w:lineRule="exact"/>
        <w:rPr>
          <w:sz w:val="20"/>
          <w:szCs w:val="20"/>
          <w:color w:val="auto"/>
        </w:rPr>
      </w:pPr>
    </w:p>
    <w:p>
      <w:pPr>
        <w:ind w:left="1260" w:right="439" w:firstLine="648"/>
        <w:spacing w:after="0" w:line="255" w:lineRule="auto"/>
        <w:rPr>
          <w:sz w:val="20"/>
          <w:szCs w:val="20"/>
          <w:color w:val="auto"/>
        </w:rPr>
      </w:pPr>
      <w:r>
        <w:rPr>
          <w:rFonts w:ascii="Arial" w:cs="Arial" w:eastAsia="Arial" w:hAnsi="Arial"/>
          <w:sz w:val="18"/>
          <w:szCs w:val="18"/>
          <w:color w:val="auto"/>
        </w:rPr>
        <w:t>The observation of IgG antibody responses to the Spike protein and RBD translated into SARS-CoV-2 virus-neutralizing activity, as shown in the figure below. This response was less obviously dose-dependent from the available samples. More importantly, seroconversion reached 100% by day 43 for the 12 µg group (n = 11). The median neutralizing titer in this group on day 43 was comparable to that observed in convalescent sera. In contrast to Spike protein IgG levels, the 8 µg group median neutralizing titers observed at day 43 were generally maintained to day 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271780</wp:posOffset>
            </wp:positionV>
            <wp:extent cx="6806565"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1" w:name="page182"/>
    <w:bookmarkEnd w:id="18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537210</wp:posOffset>
            </wp:positionV>
            <wp:extent cx="4585970" cy="34118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585970" cy="341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559"/>
        <w:spacing w:after="0" w:line="235" w:lineRule="auto"/>
        <w:rPr>
          <w:sz w:val="20"/>
          <w:szCs w:val="20"/>
          <w:color w:val="auto"/>
        </w:rPr>
      </w:pPr>
      <w:r>
        <w:rPr>
          <w:rFonts w:ascii="Arial" w:cs="Arial" w:eastAsia="Arial" w:hAnsi="Arial"/>
          <w:sz w:val="18"/>
          <w:szCs w:val="18"/>
          <w:i w:val="1"/>
          <w:iCs w:val="1"/>
          <w:color w:val="auto"/>
        </w:rPr>
        <w:t>Figure. Anti-SARS-CoV-2 virus-neutralizing titers in the different study groups and convalescent sera measured by micro-neutralization. Bars show median values per group at each study time point, individual GMT values for each sample are shown as diamonds. Numbers show median MN</w:t>
      </w:r>
      <w:r>
        <w:rPr>
          <w:rFonts w:ascii="Arial" w:cs="Arial" w:eastAsia="Arial" w:hAnsi="Arial"/>
          <w:sz w:val="26"/>
          <w:szCs w:val="26"/>
          <w:i w:val="1"/>
          <w:iCs w:val="1"/>
          <w:color w:val="auto"/>
          <w:vertAlign w:val="subscript"/>
        </w:rPr>
        <w:t>50</w:t>
      </w:r>
      <w:r>
        <w:rPr>
          <w:rFonts w:ascii="Arial" w:cs="Arial" w:eastAsia="Arial" w:hAnsi="Arial"/>
          <w:sz w:val="18"/>
          <w:szCs w:val="18"/>
          <w:i w:val="1"/>
          <w:iCs w:val="1"/>
          <w:color w:val="auto"/>
        </w:rPr>
        <w:t xml:space="preserve"> values at day 43, two weeks after the second vaccination, for each group and in the convalescent sera panel. Data cutoff for immunogenicity was October 31, 2020.</w:t>
      </w:r>
    </w:p>
    <w:p>
      <w:pPr>
        <w:spacing w:after="0" w:line="139" w:lineRule="exact"/>
        <w:rPr>
          <w:sz w:val="20"/>
          <w:szCs w:val="20"/>
          <w:color w:val="auto"/>
        </w:rPr>
      </w:pPr>
    </w:p>
    <w:p>
      <w:pPr>
        <w:ind w:left="1260" w:right="439" w:firstLine="648"/>
        <w:spacing w:after="0" w:line="254" w:lineRule="auto"/>
        <w:rPr>
          <w:sz w:val="20"/>
          <w:szCs w:val="20"/>
          <w:color w:val="auto"/>
        </w:rPr>
      </w:pPr>
      <w:r>
        <w:rPr>
          <w:rFonts w:ascii="Arial" w:cs="Arial" w:eastAsia="Arial" w:hAnsi="Arial"/>
          <w:sz w:val="18"/>
          <w:szCs w:val="18"/>
          <w:color w:val="auto"/>
        </w:rPr>
        <w:t>Since an imbalance between binding versus neutralizing antibodies could hypothetically lead to immune-mediated disease enhancement, we further investigated the ratio of neutralizing to binding antibodies both for the Spike protein and for RBD. We calculated such ratios on an individual basis for vaccinated study participants for the recommended Phase 2b/3 dose of 12 µg as well as for convalescent patients. At day 43, after administration of two doses of CVnCoV, we observed that the ratios were comparable to the ratios measured in the sera from convalescent patients following a natural infection. This observation was also in line with the potential mechanism of action of CVnCoV, which is designed to mimic natural immune response to RNA viruses.</w:t>
      </w:r>
    </w:p>
    <w:p>
      <w:pPr>
        <w:spacing w:after="0" w:line="124" w:lineRule="exact"/>
        <w:rPr>
          <w:sz w:val="20"/>
          <w:szCs w:val="20"/>
          <w:color w:val="auto"/>
        </w:rPr>
      </w:pPr>
    </w:p>
    <w:p>
      <w:pPr>
        <w:ind w:left="1260" w:right="419" w:firstLine="648"/>
        <w:spacing w:after="0" w:line="253" w:lineRule="auto"/>
        <w:rPr>
          <w:sz w:val="20"/>
          <w:szCs w:val="20"/>
          <w:color w:val="auto"/>
        </w:rPr>
      </w:pPr>
      <w:r>
        <w:rPr>
          <w:rFonts w:ascii="Arial" w:cs="Arial" w:eastAsia="Arial" w:hAnsi="Arial"/>
          <w:sz w:val="18"/>
          <w:szCs w:val="18"/>
          <w:color w:val="auto"/>
        </w:rPr>
        <w:t>Immunogenicity of CVnCoV in subjects known to be SARS-CoV-2 seropositive at baseline is presented in the figure below. After vaccination with either 2μg or 4μg of CVnCoV, a rapid increase in antibody titers of more than a factor 10 was observed within one week post first vaccination even in subjects that showed with low antibody titers at baseline. These results were observed for both binding and neutralizing antibodies. The change in antibody titers following a second dose were less pronounced. Antibody titers remained stable in these patients up to day 57. We believe these results suggest a proper development of cellular memory in response to natural infection in seropositive subjects and supports the potential role of memory cells in providing long-term protection to SARS-CoV-2. As of the time of the interim data (data cutoff was October 31, 2020 for immunogenicity and November 9, 2020 for reactogenicity), CVnCoV was generally well tolerated in this population, and boosted the pre-existing immune response already at low dose levels.</w:t>
      </w: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2" w:name="page183"/>
    <w:bookmarkEnd w:id="18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SARS-CoV-2 mRNA vaccine candidate, CVnCoV, boosted preexisting immune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137160</wp:posOffset>
            </wp:positionV>
            <wp:extent cx="4766310" cy="27692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766310" cy="2769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260" w:right="419"/>
        <w:spacing w:after="0" w:line="259" w:lineRule="auto"/>
        <w:rPr>
          <w:sz w:val="20"/>
          <w:szCs w:val="20"/>
          <w:color w:val="auto"/>
        </w:rPr>
      </w:pPr>
      <w:r>
        <w:rPr>
          <w:rFonts w:ascii="Arial" w:cs="Arial" w:eastAsia="Arial" w:hAnsi="Arial"/>
          <w:sz w:val="18"/>
          <w:szCs w:val="18"/>
          <w:i w:val="1"/>
          <w:iCs w:val="1"/>
          <w:color w:val="auto"/>
        </w:rPr>
        <w:t>Figure. Boosting of antibody responses in seropositive subjects. Seropositive subjects were vaccinated either with 2μg (upper panel) or 4μg (lower panel) of CVnCoV on day 1 and 29. RBD binding antibodies as well as SARS-CoV-2 neutralizing antibodies were analyzed at multiple time points. Lines show individual subjects in both dose groups. Data cutoff for immunogenicity was October 31, 2020.</w:t>
      </w:r>
    </w:p>
    <w:p>
      <w:pPr>
        <w:spacing w:after="0" w:line="119" w:lineRule="exact"/>
        <w:rPr>
          <w:sz w:val="20"/>
          <w:szCs w:val="20"/>
          <w:color w:val="auto"/>
        </w:rPr>
      </w:pPr>
    </w:p>
    <w:p>
      <w:pPr>
        <w:ind w:left="1260" w:right="479" w:firstLine="648"/>
        <w:spacing w:after="0" w:line="267" w:lineRule="auto"/>
        <w:rPr>
          <w:sz w:val="20"/>
          <w:szCs w:val="20"/>
          <w:color w:val="auto"/>
        </w:rPr>
      </w:pPr>
      <w:r>
        <w:rPr>
          <w:rFonts w:ascii="Arial" w:cs="Arial" w:eastAsia="Arial" w:hAnsi="Arial"/>
          <w:sz w:val="17"/>
          <w:szCs w:val="17"/>
          <w:color w:val="auto"/>
        </w:rPr>
        <w:t>In summary, CVnCoV elicited a strong immune response against SARS-CoV-2 at all investigated doses as of the cutoff date. Induction of an adaptive humoral immune response was demonstrated by the observed increase in neutralizing antibodies, with 100% of participants seroconverting two weeks after two 12 µg injections. The neutralizing activity was associated with marked Spike protein-specific and RBD-specific IgG antibody responses. In the most comprehensive data set available for Spike IgGs, we observed markedly increased titers within seven days of the second vaccination, suggesting efficient priming by the first dose. In the 8 µg group, the VNT response remained stable at least up to day 57, the latest time-point with data currently available. Data in SARS-CoV-2 seropositive subjects showed that the doses of CVnCoV tested in this population were well tolerated, supporting its evaluation in a broader population without the need for previous testing for serostatus. Furthermore, interim data from seropositive subjects showed that memory responses were induced by the natural infection, since even in subjects with low antibody titers at baseline, low doses of CVnCoV were able to expand antibody titers within one week after the first vacciation. As shown in the graph above, for some subjects, the expansion of antibody titers were above tenfold within one week after the first vaccination. We believe these results supports the role of memory cells in providing long term protection to SARS-CoV-2. This is in line with our recently shared preclinical data in a hamster model, which also indicated induction of memory cells, priming after vaccination with a low dose of CVnCoV and a rapid boosting of neutralizing antibodies following virus challenge.</w:t>
      </w:r>
    </w:p>
    <w:p>
      <w:pPr>
        <w:spacing w:after="0" w:line="110" w:lineRule="exact"/>
        <w:rPr>
          <w:sz w:val="20"/>
          <w:szCs w:val="20"/>
          <w:color w:val="auto"/>
        </w:rPr>
      </w:pPr>
    </w:p>
    <w:p>
      <w:pPr>
        <w:ind w:left="1260" w:right="459" w:firstLine="648"/>
        <w:spacing w:after="0" w:line="279" w:lineRule="auto"/>
        <w:rPr>
          <w:sz w:val="20"/>
          <w:szCs w:val="20"/>
          <w:color w:val="auto"/>
        </w:rPr>
      </w:pPr>
      <w:r>
        <w:rPr>
          <w:rFonts w:ascii="Arial" w:cs="Arial" w:eastAsia="Arial" w:hAnsi="Arial"/>
          <w:sz w:val="17"/>
          <w:szCs w:val="17"/>
          <w:color w:val="auto"/>
        </w:rPr>
        <w:t>Overall, the available preclinical and clinical data are suggestive of a potential immune response mimicking the natural responses to infection, including a potent induction of an immune memory. More analyses on T-and B-cell memory responses are currently ongoing in this clinical study, as well as in preclinical studies and will further inform the unique mechanism of action of this mRNA vaccine candidate.</w:t>
      </w:r>
    </w:p>
    <w:p>
      <w:pPr>
        <w:spacing w:after="0" w:line="104" w:lineRule="exact"/>
        <w:rPr>
          <w:sz w:val="20"/>
          <w:szCs w:val="20"/>
          <w:color w:val="auto"/>
        </w:rPr>
      </w:pPr>
    </w:p>
    <w:p>
      <w:pPr>
        <w:ind w:left="1260" w:right="539" w:firstLine="648"/>
        <w:spacing w:after="0" w:line="259" w:lineRule="auto"/>
        <w:rPr>
          <w:sz w:val="20"/>
          <w:szCs w:val="20"/>
          <w:color w:val="auto"/>
        </w:rPr>
      </w:pPr>
      <w:r>
        <w:rPr>
          <w:rFonts w:ascii="Arial" w:cs="Arial" w:eastAsia="Arial" w:hAnsi="Arial"/>
          <w:sz w:val="18"/>
          <w:szCs w:val="18"/>
          <w:color w:val="auto"/>
        </w:rPr>
        <w:t>Based on the interim clinical results, the 12 µg dose was selected as the recommended dose for further clinical investigation, including a pivotal Phase 2b/3 study, which was initiated in December 2020 and will enroll more than 37,000 participants, and is investigating the efficacy, safety, and immunogenicity of our candidate vaccine, CVnCoV.</w:t>
      </w: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271780</wp:posOffset>
            </wp:positionV>
            <wp:extent cx="6806565"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3" w:name="page184"/>
    <w:bookmarkEnd w:id="18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019" w:firstLine="648"/>
        <w:spacing w:after="0" w:line="263" w:lineRule="auto"/>
        <w:rPr>
          <w:sz w:val="20"/>
          <w:szCs w:val="20"/>
          <w:color w:val="auto"/>
        </w:rPr>
      </w:pPr>
      <w:r>
        <w:rPr>
          <w:rFonts w:ascii="Arial" w:cs="Arial" w:eastAsia="Arial" w:hAnsi="Arial"/>
          <w:sz w:val="18"/>
          <w:szCs w:val="18"/>
          <w:color w:val="auto"/>
        </w:rPr>
        <w:t>The Phase 1 study is ongoing with additional testing of higher doses of 16 µg and 20 µg to investigate the boundaries of the safety window and for completion of the assessments of the present groups, with a follow-up of at least one year post-vaccination.</w:t>
      </w:r>
    </w:p>
    <w:p>
      <w:pPr>
        <w:spacing w:after="0" w:line="184"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Preclinical Data</w:t>
      </w:r>
    </w:p>
    <w:p>
      <w:pPr>
        <w:spacing w:after="0" w:line="158" w:lineRule="exact"/>
        <w:rPr>
          <w:sz w:val="20"/>
          <w:szCs w:val="20"/>
          <w:color w:val="auto"/>
        </w:rPr>
      </w:pPr>
    </w:p>
    <w:p>
      <w:pPr>
        <w:ind w:left="1260" w:right="439" w:firstLine="648"/>
        <w:spacing w:after="0"/>
        <w:rPr>
          <w:sz w:val="20"/>
          <w:szCs w:val="20"/>
          <w:color w:val="auto"/>
        </w:rPr>
      </w:pPr>
      <w:r>
        <w:rPr>
          <w:rFonts w:ascii="Arial" w:cs="Arial" w:eastAsia="Arial" w:hAnsi="Arial"/>
          <w:sz w:val="17"/>
          <w:szCs w:val="17"/>
          <w:color w:val="auto"/>
        </w:rPr>
        <w:t>The preclinical evaluation of our lead vaccine candidate, CVnCoV, against SARS-CoV-2 was carried out in mouse and hamster animal models and showed that the vaccine candidate induced strong humoral and cellular immune responses with high titers of IgG binding and virus-neutralizing titers (VNTs) in mice and hamsters and robust CD4</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CD8</w:t>
      </w:r>
      <w:r>
        <w:rPr>
          <w:rFonts w:ascii="Arial" w:cs="Arial" w:eastAsia="Arial" w:hAnsi="Arial"/>
          <w:sz w:val="25"/>
          <w:szCs w:val="25"/>
          <w:color w:val="auto"/>
          <w:vertAlign w:val="superscript"/>
        </w:rPr>
        <w:t>+</w:t>
      </w:r>
      <w:r>
        <w:rPr>
          <w:rFonts w:ascii="Arial" w:cs="Arial" w:eastAsia="Arial" w:hAnsi="Arial"/>
          <w:sz w:val="17"/>
          <w:szCs w:val="17"/>
          <w:color w:val="auto"/>
        </w:rPr>
        <w:t xml:space="preserve"> T cell responses in mice. In addition, administration of CVnCoV protected hamster lungs from challenge with the wild type SARS-CoV-2 virus. To gain further insights in the risk of vaccine-enhanced disease, hamsters were also vaccinated with what we believe was a suboptimal dose of CVnCoV, which led to breakthrough viral replication, and were analyzed for any signs of vaccine-enhanced disease. No evidence of increased viral replication or exacerbated inflammation and damage to virus target organs was detectable, even for a suboptimal vaccine dose, providing evidence supporting the potential immunogenicity and safety of CVnCoV. The impact of different immunization schedules was investigated and is shown in the figures below for two intramuscular injections of 2µg of CVnCoV four, three, two or one week apart, i.e., on d0/d28, d7/d28, d14/d28 or d21/d28. Robust IgG1 and IgG2a titers were present seven days after a single vaccination and increased over time. A second injection with CVnCoV led to an increase in IgG1 and IgG2a binding antibodies. A trend towards lower immune responses following shorter intervals between the first and second vaccination remained detectable until termination of the experiment. High IgG titers are the basis for the development of VNTs, which are suggestive of a successful neutralization of the virus.IgG1 and IgG2a have been used in many third-party studies as surrogate markers of T</w:t>
      </w:r>
      <w:r>
        <w:rPr>
          <w:rFonts w:ascii="Arial" w:cs="Arial" w:eastAsia="Arial" w:hAnsi="Arial"/>
          <w:sz w:val="25"/>
          <w:szCs w:val="25"/>
          <w:color w:val="auto"/>
          <w:vertAlign w:val="subscript"/>
        </w:rPr>
        <w:t>H</w:t>
      </w:r>
      <w:r>
        <w:rPr>
          <w:rFonts w:ascii="Arial" w:cs="Arial" w:eastAsia="Arial" w:hAnsi="Arial"/>
          <w:sz w:val="17"/>
          <w:szCs w:val="17"/>
          <w:color w:val="auto"/>
        </w:rPr>
        <w:t>1 and T</w:t>
      </w:r>
      <w:r>
        <w:rPr>
          <w:rFonts w:ascii="Arial" w:cs="Arial" w:eastAsia="Arial" w:hAnsi="Arial"/>
          <w:sz w:val="25"/>
          <w:szCs w:val="25"/>
          <w:color w:val="auto"/>
          <w:vertAlign w:val="subscript"/>
        </w:rPr>
        <w:t>H</w:t>
      </w:r>
      <w:r>
        <w:rPr>
          <w:rFonts w:ascii="Arial" w:cs="Arial" w:eastAsia="Arial" w:hAnsi="Arial"/>
          <w:sz w:val="17"/>
          <w:szCs w:val="17"/>
          <w:color w:val="auto"/>
        </w:rPr>
        <w:t>2 responses. It is known that interferon-γ (as a T</w:t>
      </w:r>
      <w:r>
        <w:rPr>
          <w:rFonts w:ascii="Arial" w:cs="Arial" w:eastAsia="Arial" w:hAnsi="Arial"/>
          <w:sz w:val="25"/>
          <w:szCs w:val="25"/>
          <w:color w:val="auto"/>
          <w:vertAlign w:val="subscript"/>
        </w:rPr>
        <w:t>H</w:t>
      </w:r>
      <w:r>
        <w:rPr>
          <w:rFonts w:ascii="Arial" w:cs="Arial" w:eastAsia="Arial" w:hAnsi="Arial"/>
          <w:sz w:val="17"/>
          <w:szCs w:val="17"/>
          <w:color w:val="auto"/>
        </w:rPr>
        <w:t>1 cytokine) and IL-4 (as a T</w:t>
      </w:r>
      <w:r>
        <w:rPr>
          <w:rFonts w:ascii="Arial" w:cs="Arial" w:eastAsia="Arial" w:hAnsi="Arial"/>
          <w:sz w:val="25"/>
          <w:szCs w:val="25"/>
          <w:color w:val="auto"/>
          <w:vertAlign w:val="subscript"/>
        </w:rPr>
        <w:t>H</w:t>
      </w:r>
      <w:r>
        <w:rPr>
          <w:rFonts w:ascii="Arial" w:cs="Arial" w:eastAsia="Arial" w:hAnsi="Arial"/>
          <w:sz w:val="17"/>
          <w:szCs w:val="17"/>
          <w:color w:val="auto"/>
        </w:rPr>
        <w:t>2 cytokine) induce isotype switching to IgG2a and IgG1, respectively. A balanced T</w:t>
      </w:r>
      <w:r>
        <w:rPr>
          <w:rFonts w:ascii="Arial" w:cs="Arial" w:eastAsia="Arial" w:hAnsi="Arial"/>
          <w:sz w:val="25"/>
          <w:szCs w:val="25"/>
          <w:color w:val="auto"/>
          <w:vertAlign w:val="subscript"/>
        </w:rPr>
        <w:t>H</w:t>
      </w:r>
      <w:r>
        <w:rPr>
          <w:rFonts w:ascii="Arial" w:cs="Arial" w:eastAsia="Arial" w:hAnsi="Arial"/>
          <w:sz w:val="17"/>
          <w:szCs w:val="17"/>
          <w:color w:val="auto"/>
        </w:rPr>
        <w:t>1 and T</w:t>
      </w:r>
      <w:r>
        <w:rPr>
          <w:rFonts w:ascii="Arial" w:cs="Arial" w:eastAsia="Arial" w:hAnsi="Arial"/>
          <w:sz w:val="25"/>
          <w:szCs w:val="25"/>
          <w:color w:val="auto"/>
          <w:vertAlign w:val="subscript"/>
        </w:rPr>
        <w:t>H</w:t>
      </w:r>
      <w:r>
        <w:rPr>
          <w:rFonts w:ascii="Arial" w:cs="Arial" w:eastAsia="Arial" w:hAnsi="Arial"/>
          <w:sz w:val="17"/>
          <w:szCs w:val="17"/>
          <w:color w:val="auto"/>
        </w:rPr>
        <w:t>2 response provides best grounds for a protective vaccine. The equivalent levels of IgG1 and IgG2a antibodies observed for CVnCoV were suggestive of a balanced T</w:t>
      </w:r>
      <w:r>
        <w:rPr>
          <w:rFonts w:ascii="Arial" w:cs="Arial" w:eastAsia="Arial" w:hAnsi="Arial"/>
          <w:sz w:val="25"/>
          <w:szCs w:val="25"/>
          <w:color w:val="auto"/>
          <w:vertAlign w:val="subscript"/>
        </w:rPr>
        <w:t>H</w:t>
      </w:r>
      <w:r>
        <w:rPr>
          <w:rFonts w:ascii="Arial" w:cs="Arial" w:eastAsia="Arial" w:hAnsi="Arial"/>
          <w:sz w:val="17"/>
          <w:szCs w:val="17"/>
          <w:color w:val="auto"/>
        </w:rPr>
        <w:t>1/T</w:t>
      </w:r>
      <w:r>
        <w:rPr>
          <w:rFonts w:ascii="Arial" w:cs="Arial" w:eastAsia="Arial" w:hAnsi="Arial"/>
          <w:sz w:val="25"/>
          <w:szCs w:val="25"/>
          <w:color w:val="auto"/>
          <w:vertAlign w:val="subscript"/>
        </w:rPr>
        <w:t>H</w:t>
      </w:r>
      <w:r>
        <w:rPr>
          <w:rFonts w:ascii="Arial" w:cs="Arial" w:eastAsia="Arial" w:hAnsi="Arial"/>
          <w:sz w:val="17"/>
          <w:szCs w:val="17"/>
          <w:color w:val="auto"/>
        </w:rPr>
        <w:t>2 profile, which gave no indication of a T</w:t>
      </w:r>
      <w:r>
        <w:rPr>
          <w:rFonts w:ascii="Arial" w:cs="Arial" w:eastAsia="Arial" w:hAnsi="Arial"/>
          <w:sz w:val="25"/>
          <w:szCs w:val="25"/>
          <w:color w:val="auto"/>
          <w:vertAlign w:val="subscript"/>
        </w:rPr>
        <w:t>H</w:t>
      </w:r>
      <w:r>
        <w:rPr>
          <w:rFonts w:ascii="Arial" w:cs="Arial" w:eastAsia="Arial" w:hAnsi="Arial"/>
          <w:sz w:val="17"/>
          <w:szCs w:val="17"/>
          <w:color w:val="auto"/>
        </w:rPr>
        <w:t>2 bias. As expected, the Alum-adjuvanted S</w:t>
      </w:r>
      <w:r>
        <w:rPr>
          <w:rFonts w:ascii="Arial" w:cs="Arial" w:eastAsia="Arial" w:hAnsi="Arial"/>
          <w:sz w:val="25"/>
          <w:szCs w:val="25"/>
          <w:color w:val="auto"/>
          <w:vertAlign w:val="subscript"/>
        </w:rPr>
        <w:t>ECD</w:t>
      </w:r>
      <w:r>
        <w:rPr>
          <w:rFonts w:ascii="Arial" w:cs="Arial" w:eastAsia="Arial" w:hAnsi="Arial"/>
          <w:sz w:val="17"/>
          <w:szCs w:val="17"/>
          <w:color w:val="auto"/>
        </w:rPr>
        <w:t xml:space="preserve"> protein domain, employed as a control for T</w:t>
      </w:r>
      <w:r>
        <w:rPr>
          <w:rFonts w:ascii="Arial" w:cs="Arial" w:eastAsia="Arial" w:hAnsi="Arial"/>
          <w:sz w:val="25"/>
          <w:szCs w:val="25"/>
          <w:color w:val="auto"/>
          <w:vertAlign w:val="subscript"/>
        </w:rPr>
        <w:t>H</w:t>
      </w:r>
      <w:r>
        <w:rPr>
          <w:rFonts w:ascii="Arial" w:cs="Arial" w:eastAsia="Arial" w:hAnsi="Arial"/>
          <w:sz w:val="17"/>
          <w:szCs w:val="17"/>
          <w:color w:val="auto"/>
        </w:rPr>
        <w:t>2 biased responses, induced high titers of IgG1 but comparatively low levels of IgG2a.</w:t>
      </w:r>
    </w:p>
    <w:p>
      <w:pPr>
        <w:spacing w:after="0" w:line="150" w:lineRule="exact"/>
        <w:rPr>
          <w:sz w:val="20"/>
          <w:szCs w:val="20"/>
          <w:color w:val="auto"/>
        </w:rPr>
      </w:pPr>
    </w:p>
    <w:p>
      <w:pPr>
        <w:ind w:left="1260" w:right="479" w:firstLine="648"/>
        <w:spacing w:after="0" w:line="255" w:lineRule="auto"/>
        <w:rPr>
          <w:sz w:val="20"/>
          <w:szCs w:val="20"/>
          <w:color w:val="auto"/>
        </w:rPr>
      </w:pPr>
      <w:r>
        <w:rPr>
          <w:rFonts w:ascii="Arial" w:cs="Arial" w:eastAsia="Arial" w:hAnsi="Arial"/>
          <w:sz w:val="18"/>
          <w:szCs w:val="18"/>
          <w:color w:val="auto"/>
        </w:rPr>
        <w:t>Induction of VNTs in mouse sera was assessed in a cytopathic effect, or CPE, based assay with the wild-type SARS-CoV-2 virus. Detectable levels of VNTs started to develop 4 weeks after a single injection, while a second injection led to a significant VNT increase in all groups. Analyses one and three weeks after the second vaccination, on day 35 and day 49, showed that responses rose over time. On day 49, all sera derived from animals vaccinated based on a day 0 / day 28 schedule showed neutralization of 50% of infecting virus in cell culture at a dilution of 1:5120.</w:t>
      </w:r>
    </w:p>
    <w:p>
      <w:pPr>
        <w:spacing w:after="0" w:line="188" w:lineRule="exact"/>
        <w:rPr>
          <w:sz w:val="20"/>
          <w:szCs w:val="20"/>
          <w:color w:val="auto"/>
        </w:rPr>
      </w:pPr>
    </w:p>
    <w:p>
      <w:pPr>
        <w:ind w:left="1260" w:right="799"/>
        <w:spacing w:after="0" w:line="282" w:lineRule="auto"/>
        <w:rPr>
          <w:sz w:val="20"/>
          <w:szCs w:val="20"/>
          <w:color w:val="auto"/>
        </w:rPr>
      </w:pPr>
      <w:r>
        <w:rPr>
          <w:rFonts w:ascii="Arial" w:cs="Arial" w:eastAsia="Arial" w:hAnsi="Arial"/>
          <w:sz w:val="18"/>
          <w:szCs w:val="18"/>
          <w:b w:val="1"/>
          <w:bCs w:val="1"/>
          <w:color w:val="auto"/>
        </w:rPr>
        <w:t>SARS-CoV-2 mRNA vaccine candidate, CVnCoV, elicited high levels of humoral immune responses, which depended on the vaccination schedule and the dose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4" w:name="page185"/>
    <w:bookmarkEnd w:id="18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Impact of immunization schedule on binding and neutralizing antibody titers observed in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151765</wp:posOffset>
            </wp:positionV>
            <wp:extent cx="4140200" cy="24003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14020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60" w:right="419"/>
        <w:spacing w:after="0" w:line="257" w:lineRule="auto"/>
        <w:rPr>
          <w:sz w:val="20"/>
          <w:szCs w:val="20"/>
          <w:color w:val="auto"/>
        </w:rPr>
      </w:pPr>
      <w:r>
        <w:rPr>
          <w:rFonts w:ascii="Arial" w:cs="Arial" w:eastAsia="Arial" w:hAnsi="Arial"/>
          <w:sz w:val="18"/>
          <w:szCs w:val="18"/>
          <w:i w:val="1"/>
          <w:iCs w:val="1"/>
          <w:color w:val="auto"/>
        </w:rPr>
        <w:t>Figure. Mice (n=8) were vaccinated with 2µg CVnCoV via 2 intramuscular injections four, three, two or one week apart, i.e., d0/d28, d7/d28 d14/d28 or d21/d28 (orange columns). Alum-adjuvanted recombinant full-length Spike protein (extracellular domain) served as a control (purple columns). On day 28, day 35 and day 49 IgG titers were measured by ELISA. Values from individual animals (dots) and the median (bars) are reported for each group (buffer control grey column)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120015</wp:posOffset>
            </wp:positionV>
            <wp:extent cx="4491990" cy="175768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491990" cy="1757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60" w:right="419"/>
        <w:spacing w:after="0" w:line="255" w:lineRule="auto"/>
        <w:rPr>
          <w:sz w:val="20"/>
          <w:szCs w:val="20"/>
          <w:color w:val="auto"/>
        </w:rPr>
      </w:pPr>
      <w:r>
        <w:rPr>
          <w:rFonts w:ascii="Arial" w:cs="Arial" w:eastAsia="Arial" w:hAnsi="Arial"/>
          <w:sz w:val="18"/>
          <w:szCs w:val="18"/>
          <w:i w:val="1"/>
          <w:iCs w:val="1"/>
          <w:color w:val="auto"/>
        </w:rPr>
        <w:t>Figure. Mice (n=8) were vaccinated with 2µg CVnCoV via 2 intramuscular injections four, three, two or one week apart, i.e., d0/d28, d7/d28 d14/d28 or d21/d28 (orange columns). Alum-adjuvanted recombinant full-length Spike protein (extracellular domain) served as a control (purple columns) On day 28, day 35 and day 49 virus neutralizing titers (VNTs) based on cytopathic effect (CPE) were measured by micro-neutralization assay. Values from individual animals (dots) and the median (bars) are reported for each group (buffer control grey column).</w:t>
      </w:r>
    </w:p>
    <w:p>
      <w:pPr>
        <w:spacing w:after="0" w:line="125" w:lineRule="exact"/>
        <w:rPr>
          <w:sz w:val="20"/>
          <w:szCs w:val="20"/>
          <w:color w:val="auto"/>
        </w:rPr>
      </w:pPr>
    </w:p>
    <w:p>
      <w:pPr>
        <w:ind w:left="1260" w:right="439" w:firstLine="648"/>
        <w:spacing w:after="0" w:line="230" w:lineRule="auto"/>
        <w:rPr>
          <w:sz w:val="20"/>
          <w:szCs w:val="20"/>
          <w:color w:val="auto"/>
        </w:rPr>
      </w:pPr>
      <w:r>
        <w:rPr>
          <w:rFonts w:ascii="Arial" w:cs="Arial" w:eastAsia="Arial" w:hAnsi="Arial"/>
          <w:sz w:val="18"/>
          <w:szCs w:val="18"/>
          <w:color w:val="auto"/>
        </w:rPr>
        <w:t>Mice vaccinated with escalating doses of CVnCoV of 0.25 µg, 1 µg or 4 µg elicited dose dependent humoral responses. IgG1 and IgG2a antibodies interacted with S</w:t>
      </w:r>
      <w:r>
        <w:rPr>
          <w:rFonts w:ascii="Arial" w:cs="Arial" w:eastAsia="Arial" w:hAnsi="Arial"/>
          <w:sz w:val="26"/>
          <w:szCs w:val="26"/>
          <w:color w:val="auto"/>
          <w:vertAlign w:val="subscript"/>
        </w:rPr>
        <w:t>ECD</w:t>
      </w:r>
      <w:r>
        <w:rPr>
          <w:rFonts w:ascii="Arial" w:cs="Arial" w:eastAsia="Arial" w:hAnsi="Arial"/>
          <w:sz w:val="18"/>
          <w:szCs w:val="18"/>
          <w:color w:val="auto"/>
        </w:rPr>
        <w:t>, the isolated S receptor binding domain (RBD), the trimeric form of the S-protein (S trimer), and with the isolated N-terminal domain, or NTD, of the Spike protein. CVnCoV induced comparable levels of S</w:t>
      </w:r>
      <w:r>
        <w:rPr>
          <w:rFonts w:ascii="Arial" w:cs="Arial" w:eastAsia="Arial" w:hAnsi="Arial"/>
          <w:sz w:val="26"/>
          <w:szCs w:val="26"/>
          <w:color w:val="auto"/>
          <w:vertAlign w:val="subscript"/>
        </w:rPr>
        <w:t>ECD</w:t>
      </w:r>
      <w:r>
        <w:rPr>
          <w:rFonts w:ascii="Arial" w:cs="Arial" w:eastAsia="Arial" w:hAnsi="Arial"/>
          <w:sz w:val="18"/>
          <w:szCs w:val="18"/>
          <w:color w:val="auto"/>
        </w:rPr>
        <w:t>, RBD and trimeric S reactive antibodies, with the exception of the lowest 0.25μg dose, which generated lower RBD responses. As observed previously, VNTs started to develop three weeks after a single vaccination and robust levels were detectable after a second vaccination for the 1 µg and 4 µg dose groups, respectively. Even the lowest dose of 0.25µg induced detectable levels of VNTs.</w:t>
      </w:r>
    </w:p>
    <w:p>
      <w:pPr>
        <w:spacing w:after="0" w:line="38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5" w:name="page186"/>
    <w:bookmarkEnd w:id="18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Impact of dose escalation on binding and neutralizing antibody titers observed in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153035</wp:posOffset>
            </wp:positionV>
            <wp:extent cx="4946015" cy="228917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946015" cy="2289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right="499"/>
        <w:spacing w:after="0" w:line="279" w:lineRule="auto"/>
        <w:rPr>
          <w:sz w:val="20"/>
          <w:szCs w:val="20"/>
          <w:color w:val="auto"/>
        </w:rPr>
      </w:pPr>
      <w:r>
        <w:rPr>
          <w:rFonts w:ascii="Arial" w:cs="Arial" w:eastAsia="Arial" w:hAnsi="Arial"/>
          <w:sz w:val="17"/>
          <w:szCs w:val="17"/>
          <w:i w:val="1"/>
          <w:iCs w:val="1"/>
          <w:color w:val="auto"/>
        </w:rPr>
        <w:t>Figure. Mice (n=7) were vaccinated with 0.25µg, 1µg and 4µg of CVnCoV on day 0 and day 21 (orange columns). On day 21 and day 42 IgGs binding to S ectodomain (S ECD), receptor binding domain (RBD), S trimer and N-terminal domain (NTD) were measured by ELISA. Values from individual animals (dots) and the median (bars) are reported for each group (buffer control grey column).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109220</wp:posOffset>
            </wp:positionV>
            <wp:extent cx="3823335" cy="214312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82333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60" w:right="619"/>
        <w:spacing w:after="0" w:line="259" w:lineRule="auto"/>
        <w:rPr>
          <w:sz w:val="20"/>
          <w:szCs w:val="20"/>
          <w:color w:val="auto"/>
        </w:rPr>
      </w:pPr>
      <w:r>
        <w:rPr>
          <w:rFonts w:ascii="Arial" w:cs="Arial" w:eastAsia="Arial" w:hAnsi="Arial"/>
          <w:sz w:val="18"/>
          <w:szCs w:val="18"/>
          <w:i w:val="1"/>
          <w:iCs w:val="1"/>
          <w:color w:val="auto"/>
        </w:rPr>
        <w:t>Figure. Mice (n=7) were vaccinated with 0.25µg, 1µg and 4µg of CVnCoV on day 0 and day 21 (orange columns).On day 21 and day 42 virus neutralizing titers (VNTs) based on cytopathic effect (CPE) were measured by micro-neutralization assay . Values from individual animals (dots) and the median (bars) are reported for each group (buffer control grey column).</w:t>
      </w:r>
    </w:p>
    <w:p>
      <w:pPr>
        <w:spacing w:after="0" w:line="119" w:lineRule="exact"/>
        <w:rPr>
          <w:sz w:val="20"/>
          <w:szCs w:val="20"/>
          <w:color w:val="auto"/>
        </w:rPr>
      </w:pPr>
    </w:p>
    <w:p>
      <w:pPr>
        <w:ind w:left="1260" w:right="539" w:firstLine="648"/>
        <w:spacing w:after="0" w:line="251" w:lineRule="auto"/>
        <w:rPr>
          <w:sz w:val="20"/>
          <w:szCs w:val="20"/>
          <w:color w:val="auto"/>
        </w:rPr>
      </w:pPr>
      <w:r>
        <w:rPr>
          <w:rFonts w:ascii="Arial" w:cs="Arial" w:eastAsia="Arial" w:hAnsi="Arial"/>
          <w:sz w:val="17"/>
          <w:szCs w:val="17"/>
          <w:color w:val="auto"/>
        </w:rPr>
        <w:t>Strong induction of IFNγ/TNF double positive T cells in CVnCoV-vaccinated mice was demonstrated by T cell analyses via intracellular staining of cells isolated three weeks after the second vaccination, on day 49. T cell responses were also shown to benefit from longer intervals between first and second vaccination. Higher responses were detected in animals vaccinated according to a day 0 / day 28 schedule with median values of IFNγ</w:t>
      </w:r>
      <w:r>
        <w:rPr>
          <w:rFonts w:ascii="Arial" w:cs="Arial" w:eastAsia="Arial" w:hAnsi="Arial"/>
          <w:sz w:val="25"/>
          <w:szCs w:val="25"/>
          <w:color w:val="auto"/>
          <w:vertAlign w:val="superscript"/>
        </w:rPr>
        <w:t>+</w:t>
      </w:r>
      <w:r>
        <w:rPr>
          <w:rFonts w:ascii="Arial" w:cs="Arial" w:eastAsia="Arial" w:hAnsi="Arial"/>
          <w:sz w:val="17"/>
          <w:szCs w:val="17"/>
          <w:color w:val="auto"/>
        </w:rPr>
        <w:t>/TNF</w:t>
      </w:r>
      <w:r>
        <w:rPr>
          <w:rFonts w:ascii="Arial" w:cs="Arial" w:eastAsia="Arial" w:hAnsi="Arial"/>
          <w:sz w:val="25"/>
          <w:szCs w:val="25"/>
          <w:color w:val="auto"/>
          <w:vertAlign w:val="superscript"/>
        </w:rPr>
        <w:t>+</w:t>
      </w:r>
      <w:r>
        <w:rPr>
          <w:rFonts w:ascii="Arial" w:cs="Arial" w:eastAsia="Arial" w:hAnsi="Arial"/>
          <w:sz w:val="17"/>
          <w:szCs w:val="17"/>
          <w:color w:val="auto"/>
        </w:rPr>
        <w:t xml:space="preserve"> CD4</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CD8</w:t>
      </w:r>
      <w:r>
        <w:rPr>
          <w:rFonts w:ascii="Arial" w:cs="Arial" w:eastAsia="Arial" w:hAnsi="Arial"/>
          <w:sz w:val="25"/>
          <w:szCs w:val="25"/>
          <w:color w:val="auto"/>
          <w:vertAlign w:val="superscript"/>
        </w:rPr>
        <w:t>+</w:t>
      </w:r>
      <w:r>
        <w:rPr>
          <w:rFonts w:ascii="Arial" w:cs="Arial" w:eastAsia="Arial" w:hAnsi="Arial"/>
          <w:sz w:val="17"/>
          <w:szCs w:val="17"/>
          <w:color w:val="auto"/>
        </w:rPr>
        <w:t xml:space="preserve"> T cell of 0.34% and 10.5%, respectively. In contrast, IFNγ</w:t>
      </w:r>
      <w:r>
        <w:rPr>
          <w:rFonts w:ascii="Arial" w:cs="Arial" w:eastAsia="Arial" w:hAnsi="Arial"/>
          <w:sz w:val="25"/>
          <w:szCs w:val="25"/>
          <w:color w:val="auto"/>
          <w:vertAlign w:val="superscript"/>
        </w:rPr>
        <w:t>+</w:t>
      </w:r>
      <w:r>
        <w:rPr>
          <w:rFonts w:ascii="Arial" w:cs="Arial" w:eastAsia="Arial" w:hAnsi="Arial"/>
          <w:sz w:val="17"/>
          <w:szCs w:val="17"/>
          <w:color w:val="auto"/>
        </w:rPr>
        <w:t>/TNF</w:t>
      </w:r>
      <w:r>
        <w:rPr>
          <w:rFonts w:ascii="Arial" w:cs="Arial" w:eastAsia="Arial" w:hAnsi="Arial"/>
          <w:sz w:val="25"/>
          <w:szCs w:val="25"/>
          <w:color w:val="auto"/>
          <w:vertAlign w:val="superscript"/>
        </w:rPr>
        <w:t>+</w:t>
      </w:r>
      <w:r>
        <w:rPr>
          <w:rFonts w:ascii="Arial" w:cs="Arial" w:eastAsia="Arial" w:hAnsi="Arial"/>
          <w:sz w:val="17"/>
          <w:szCs w:val="17"/>
          <w:color w:val="auto"/>
        </w:rPr>
        <w:t xml:space="preserve"> CD4</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CD8</w:t>
      </w:r>
      <w:r>
        <w:rPr>
          <w:rFonts w:ascii="Arial" w:cs="Arial" w:eastAsia="Arial" w:hAnsi="Arial"/>
          <w:sz w:val="25"/>
          <w:szCs w:val="25"/>
          <w:color w:val="auto"/>
          <w:vertAlign w:val="superscript"/>
        </w:rPr>
        <w:t>+</w:t>
      </w:r>
      <w:r>
        <w:rPr>
          <w:rFonts w:ascii="Arial" w:cs="Arial" w:eastAsia="Arial" w:hAnsi="Arial"/>
          <w:sz w:val="17"/>
          <w:szCs w:val="17"/>
          <w:color w:val="auto"/>
        </w:rPr>
        <w:t xml:space="preserve"> T cells remained undetectable in the protein control group.</w:t>
      </w:r>
    </w:p>
    <w:p>
      <w:pPr>
        <w:spacing w:after="0" w:line="29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271780</wp:posOffset>
            </wp:positionV>
            <wp:extent cx="6806565"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6" w:name="page187"/>
    <w:bookmarkEnd w:id="18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SARS-CoV-2 mRNA vaccine induced multifunctional (IFN</w:t>
      </w:r>
      <w:r>
        <w:rPr>
          <w:rFonts w:ascii="Arial" w:cs="Arial" w:eastAsia="Arial" w:hAnsi="Arial"/>
          <w:sz w:val="16"/>
          <w:szCs w:val="16"/>
          <w:color w:val="auto"/>
        </w:rPr>
        <w:t>γ</w:t>
      </w:r>
      <w:r>
        <w:rPr>
          <w:rFonts w:ascii="Arial" w:cs="Arial" w:eastAsia="Arial" w:hAnsi="Arial"/>
          <w:sz w:val="23"/>
          <w:szCs w:val="23"/>
          <w:b w:val="1"/>
          <w:bCs w:val="1"/>
          <w:color w:val="auto"/>
          <w:vertAlign w:val="superscript"/>
        </w:rPr>
        <w:t>+</w:t>
      </w:r>
      <w:r>
        <w:rPr>
          <w:rFonts w:ascii="Arial" w:cs="Arial" w:eastAsia="Arial" w:hAnsi="Arial"/>
          <w:sz w:val="16"/>
          <w:szCs w:val="16"/>
          <w:b w:val="1"/>
          <w:bCs w:val="1"/>
          <w:color w:val="auto"/>
        </w:rPr>
        <w:t xml:space="preserve"> and TNF</w:t>
      </w:r>
      <w:r>
        <w:rPr>
          <w:rFonts w:ascii="Arial" w:cs="Arial" w:eastAsia="Arial" w:hAnsi="Arial"/>
          <w:sz w:val="16"/>
          <w:szCs w:val="16"/>
          <w:color w:val="auto"/>
        </w:rPr>
        <w:t>α</w:t>
      </w:r>
      <w:r>
        <w:rPr>
          <w:rFonts w:ascii="Arial" w:cs="Arial" w:eastAsia="Arial" w:hAnsi="Arial"/>
          <w:sz w:val="23"/>
          <w:szCs w:val="23"/>
          <w:b w:val="1"/>
          <w:bCs w:val="1"/>
          <w:color w:val="auto"/>
          <w:vertAlign w:val="superscript"/>
        </w:rPr>
        <w:t>+</w:t>
      </w:r>
      <w:r>
        <w:rPr>
          <w:rFonts w:ascii="Arial" w:cs="Arial" w:eastAsia="Arial" w:hAnsi="Arial"/>
          <w:sz w:val="16"/>
          <w:szCs w:val="16"/>
          <w:b w:val="1"/>
          <w:bCs w:val="1"/>
          <w:color w:val="auto"/>
        </w:rPr>
        <w:t>) CD4 and CD8 T cell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131445</wp:posOffset>
            </wp:positionV>
            <wp:extent cx="5066030" cy="2049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066030" cy="204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60" w:right="459"/>
        <w:spacing w:after="0" w:line="250" w:lineRule="auto"/>
        <w:rPr>
          <w:sz w:val="20"/>
          <w:szCs w:val="20"/>
          <w:color w:val="auto"/>
        </w:rPr>
      </w:pPr>
      <w:r>
        <w:rPr>
          <w:rFonts w:ascii="Arial" w:cs="Arial" w:eastAsia="Arial" w:hAnsi="Arial"/>
          <w:sz w:val="17"/>
          <w:szCs w:val="17"/>
          <w:i w:val="1"/>
          <w:iCs w:val="1"/>
          <w:color w:val="auto"/>
        </w:rPr>
        <w:t>Mice (n=8) were vaccinated with 2µg CVnCoV via 2 intramuscular injections four, three, two or one week apart, i.e., d0/d28, d7/d28 d14/d28 or d21/d28 (orange columns). Alum-adjuvanted recombinant full-length Spike protein (extracellular domain) served as a control (purple columns). Multifunctional CD4</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and CD8</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T cells analysis was performed using FACS from cells isolated on day 49. Double positive IFNy and TNF CD4 and CD8 cells were quantified as percentage of total CD4 or CD8 cell counts, respectively.</w:t>
      </w:r>
    </w:p>
    <w:p>
      <w:pPr>
        <w:spacing w:after="0" w:line="128" w:lineRule="exact"/>
        <w:rPr>
          <w:sz w:val="20"/>
          <w:szCs w:val="20"/>
          <w:color w:val="auto"/>
        </w:rPr>
      </w:pPr>
    </w:p>
    <w:p>
      <w:pPr>
        <w:ind w:left="1260" w:right="639" w:firstLine="648"/>
        <w:spacing w:after="0" w:line="272" w:lineRule="auto"/>
        <w:rPr>
          <w:sz w:val="20"/>
          <w:szCs w:val="20"/>
          <w:color w:val="auto"/>
        </w:rPr>
      </w:pPr>
      <w:r>
        <w:rPr>
          <w:rFonts w:ascii="Arial" w:cs="Arial" w:eastAsia="Arial" w:hAnsi="Arial"/>
          <w:sz w:val="17"/>
          <w:szCs w:val="17"/>
          <w:color w:val="auto"/>
        </w:rPr>
        <w:t>Next, we sought to evaluate the protective efficacy of CVnCoV in Syrian hamsters. This model represents mild to moderate human lung disease pathology, and is one of the recognized and accepted models for investigating human-relevant immunogenicity and pathogenesis. Hamsters are believed to be susceptible to a wild-type SARS-CoV-2 virus infection, resulting in high levels of virus replication and histopathological changes in virus target organs such as the lungs. Animals vaccinated with two CVnCoV doses of 2 μg or 10 μg in a four-week interval developed dose-dependent binding IgG antibodies after the first vaccination that increased upon the second vaccination.</w:t>
      </w:r>
    </w:p>
    <w:p>
      <w:pPr>
        <w:spacing w:after="0" w:line="110" w:lineRule="exact"/>
        <w:rPr>
          <w:sz w:val="20"/>
          <w:szCs w:val="20"/>
          <w:color w:val="auto"/>
        </w:rPr>
      </w:pPr>
    </w:p>
    <w:p>
      <w:pPr>
        <w:jc w:val="both"/>
        <w:ind w:left="1260" w:right="799" w:firstLine="648"/>
        <w:spacing w:after="0" w:line="263" w:lineRule="auto"/>
        <w:rPr>
          <w:sz w:val="20"/>
          <w:szCs w:val="20"/>
          <w:color w:val="auto"/>
        </w:rPr>
      </w:pPr>
      <w:r>
        <w:rPr>
          <w:rFonts w:ascii="Arial" w:cs="Arial" w:eastAsia="Arial" w:hAnsi="Arial"/>
          <w:sz w:val="18"/>
          <w:szCs w:val="18"/>
          <w:color w:val="auto"/>
        </w:rPr>
        <w:t>CPE-based VNT analysis showed that two vaccinations with 10 μg of CVnCoV induced robust levels of neutralizing titers in hamsters. Of note, a control group that received Alum-adjuvanted SECD protein developed IgG antibodies but no detectable VNT levels.</w:t>
      </w:r>
    </w:p>
    <w:p>
      <w:pPr>
        <w:spacing w:after="0" w:line="103" w:lineRule="exact"/>
        <w:rPr>
          <w:sz w:val="20"/>
          <w:szCs w:val="20"/>
          <w:color w:val="auto"/>
        </w:rPr>
      </w:pPr>
    </w:p>
    <w:p>
      <w:pPr>
        <w:ind w:left="1260" w:right="459" w:firstLine="648"/>
        <w:spacing w:after="0" w:line="253" w:lineRule="auto"/>
        <w:rPr>
          <w:sz w:val="20"/>
          <w:szCs w:val="20"/>
          <w:color w:val="auto"/>
        </w:rPr>
      </w:pPr>
      <w:r>
        <w:rPr>
          <w:rFonts w:ascii="Arial" w:cs="Arial" w:eastAsia="Arial" w:hAnsi="Arial"/>
          <w:sz w:val="18"/>
          <w:szCs w:val="18"/>
          <w:color w:val="auto"/>
        </w:rPr>
        <w:t>Four weeks after the second vaccination, all hamsters were challenged with the wild-type SARS-CoV-2 virus. Buffer control animal throat swabs, taken daily, showed peak replication-competent viral titers of two days post challenge. Animals previously infected with SARS-CoV-2 remained negative throughout the experiment. Viral levels were significantly reduced in throat swabs of both CVnCoV-vaccinated groups. Vaccination with 10 μg of CVnCoV resulted in significantly diminished and delayed viral peaks three days post-challenge. At least two out of five animals in this group remained negative throughout the testing period. Viral levels in nasal turbinates revealed less pronounced, but detectable dose-dependent reduction of viral replication. Importantly, animals vaccinated with 10 µg of CVnCoV exhibited no detectable viral levels in the lungs, proving the ability of CVnCoV to protect animals from viral replication in the lower respiratory 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7" w:name="page188"/>
    <w:bookmarkEnd w:id="18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537210</wp:posOffset>
            </wp:positionV>
            <wp:extent cx="4509135" cy="20320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509135" cy="203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60" w:right="459"/>
        <w:spacing w:after="0" w:line="255" w:lineRule="auto"/>
        <w:rPr>
          <w:sz w:val="20"/>
          <w:szCs w:val="20"/>
          <w:color w:val="auto"/>
        </w:rPr>
      </w:pPr>
      <w:r>
        <w:rPr>
          <w:rFonts w:ascii="Arial" w:cs="Arial" w:eastAsia="Arial" w:hAnsi="Arial"/>
          <w:sz w:val="17"/>
          <w:szCs w:val="17"/>
          <w:i w:val="1"/>
          <w:iCs w:val="1"/>
          <w:color w:val="auto"/>
        </w:rPr>
        <w:t>Figure based on unpublished preclinical data. Hamsters (n=5) were vaccinated with 2µg or 10µg of CVnCoV on day 0 and day 28 (orange columns). Alum-adjuvanted recombinant full-length Spike protein (extracellular domain) served as a control (purple columns). As additional controls, animals were either left untreated or infected intra-nasally with 10</w:t>
      </w:r>
      <w:r>
        <w:rPr>
          <w:rFonts w:ascii="Arial" w:cs="Arial" w:eastAsia="Arial" w:hAnsi="Arial"/>
          <w:sz w:val="24"/>
          <w:szCs w:val="24"/>
          <w:i w:val="1"/>
          <w:iCs w:val="1"/>
          <w:color w:val="auto"/>
          <w:vertAlign w:val="superscript"/>
        </w:rPr>
        <w:t>2</w:t>
      </w:r>
      <w:r>
        <w:rPr>
          <w:rFonts w:ascii="Arial" w:cs="Arial" w:eastAsia="Arial" w:hAnsi="Arial"/>
          <w:sz w:val="17"/>
          <w:szCs w:val="17"/>
          <w:i w:val="1"/>
          <w:iCs w:val="1"/>
          <w:color w:val="auto"/>
        </w:rPr>
        <w:t xml:space="preserve"> TCID </w:t>
      </w:r>
      <w:r>
        <w:rPr>
          <w:rFonts w:ascii="Arial" w:cs="Arial" w:eastAsia="Arial" w:hAnsi="Arial"/>
          <w:sz w:val="24"/>
          <w:szCs w:val="24"/>
          <w:i w:val="1"/>
          <w:iCs w:val="1"/>
          <w:color w:val="auto"/>
          <w:vertAlign w:val="subscript"/>
        </w:rPr>
        <w:t>50</w:t>
      </w:r>
      <w:r>
        <w:rPr>
          <w:rFonts w:ascii="Arial" w:cs="Arial" w:eastAsia="Arial" w:hAnsi="Arial"/>
          <w:sz w:val="17"/>
          <w:szCs w:val="17"/>
          <w:i w:val="1"/>
          <w:iCs w:val="1"/>
          <w:color w:val="auto"/>
        </w:rPr>
        <w:t>/dose of SARS CoV-2 virus on day 0. Left, analysis of nasal turbinate on day 60. Right, analysis of lung tissues on day 60. Values from individual animals (dots) and the median (bars) are reported for each group (buffer control grey column).</w:t>
      </w:r>
    </w:p>
    <w:p>
      <w:pPr>
        <w:spacing w:after="0" w:line="113" w:lineRule="exact"/>
        <w:rPr>
          <w:sz w:val="20"/>
          <w:szCs w:val="20"/>
          <w:color w:val="auto"/>
        </w:rPr>
      </w:pPr>
    </w:p>
    <w:p>
      <w:pPr>
        <w:ind w:left="1260" w:right="439" w:firstLine="648"/>
        <w:spacing w:after="0" w:line="254" w:lineRule="auto"/>
        <w:rPr>
          <w:sz w:val="20"/>
          <w:szCs w:val="20"/>
          <w:color w:val="auto"/>
        </w:rPr>
      </w:pPr>
      <w:r>
        <w:rPr>
          <w:rFonts w:ascii="Arial" w:cs="Arial" w:eastAsia="Arial" w:hAnsi="Arial"/>
          <w:sz w:val="18"/>
          <w:szCs w:val="18"/>
          <w:color w:val="auto"/>
        </w:rPr>
        <w:t>Hamsters were vaccinated with different CVnCoV doses on day 0 and day 28. One group received only a single vaccination of the 8 μg dose. Animals were challenged on day 56 with SARS-CoV-2 virusand virus neutralizing titers were measured on days 56 (before) and day 63 (post challenge). In contrast to buffer control, animals treated with a single dose vaccine, or with low dose of 0.4μg, developed VNT titers comparable to the hamsters vaccinated with two 8μg doses. This data indicates a good priming even with a low dose vaccine and induction of memory B cells, which produced high antibody amounts in response to virus challenge.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115570</wp:posOffset>
            </wp:positionV>
            <wp:extent cx="4363085" cy="303466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363085"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60" w:right="639"/>
        <w:spacing w:after="0" w:line="259" w:lineRule="auto"/>
        <w:rPr>
          <w:sz w:val="20"/>
          <w:szCs w:val="20"/>
          <w:color w:val="auto"/>
        </w:rPr>
      </w:pPr>
      <w:r>
        <w:rPr>
          <w:rFonts w:ascii="Arial" w:cs="Arial" w:eastAsia="Arial" w:hAnsi="Arial"/>
          <w:sz w:val="18"/>
          <w:szCs w:val="18"/>
          <w:i w:val="1"/>
          <w:iCs w:val="1"/>
          <w:color w:val="auto"/>
        </w:rPr>
        <w:t>Figure based on unpublished preclinical data. Hamsters (n=5) were vaccinated with 0.4μg, 2μg or 8μg of CVnCoV on day 0 and day 28 (orange columns). One group received 8μg only on day 28 (blue column). Control group was treated with NaCl buffer (grey column). On day 56 all animals were infected intra-nasally with 102</w:t>
      </w:r>
    </w:p>
    <w:p>
      <w:pPr>
        <w:sectPr>
          <w:pgSz w:w="11900" w:h="16838" w:orient="portrait"/>
          <w:cols w:equalWidth="0" w:num="1">
            <w:col w:w="9879"/>
          </w:cols>
          <w:pgMar w:left="580" w:top="132" w:right="1440" w:bottom="1440" w:gutter="0" w:footer="0" w:header="0"/>
        </w:sectPr>
      </w:pPr>
    </w:p>
    <w:p>
      <w:pPr>
        <w:spacing w:after="0" w:line="37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8" w:name="page189"/>
    <w:bookmarkEnd w:id="18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539"/>
        <w:spacing w:after="0" w:line="263" w:lineRule="auto"/>
        <w:rPr>
          <w:sz w:val="20"/>
          <w:szCs w:val="20"/>
          <w:color w:val="auto"/>
        </w:rPr>
      </w:pPr>
      <w:r>
        <w:rPr>
          <w:rFonts w:ascii="Arial" w:cs="Arial" w:eastAsia="Arial" w:hAnsi="Arial"/>
          <w:sz w:val="18"/>
          <w:szCs w:val="18"/>
          <w:i w:val="1"/>
          <w:iCs w:val="1"/>
          <w:color w:val="auto"/>
        </w:rPr>
        <w:t>TCID50/dose of SARSCoV-2virus. Virus neutralizing titers were measured on days 56 and 63 with microneutralization assay based on Cytopathic effect (CPE) at Viroclinics. Bars represent median VNTwith range per group.</w:t>
      </w:r>
    </w:p>
    <w:p>
      <w:pPr>
        <w:spacing w:after="0" w:line="116" w:lineRule="exact"/>
        <w:rPr>
          <w:sz w:val="20"/>
          <w:szCs w:val="20"/>
          <w:color w:val="auto"/>
        </w:rPr>
      </w:pPr>
    </w:p>
    <w:p>
      <w:pPr>
        <w:ind w:left="1260" w:right="459" w:firstLine="648"/>
        <w:spacing w:after="0" w:line="243" w:lineRule="auto"/>
        <w:rPr>
          <w:sz w:val="20"/>
          <w:szCs w:val="20"/>
          <w:color w:val="auto"/>
        </w:rPr>
      </w:pPr>
      <w:r>
        <w:rPr>
          <w:rFonts w:ascii="Arial" w:cs="Arial" w:eastAsia="Arial" w:hAnsi="Arial"/>
          <w:sz w:val="18"/>
          <w:szCs w:val="18"/>
          <w:color w:val="auto"/>
        </w:rPr>
        <w:t>In summary, we believe the preclinical data collected for CVnCoV in mice and hamsters support the favorable safety profile of CVnCoV and showed fast induction of a balanced immune response with robust humoral responses featuring high levels of virus neutralizing titers in mice and hamsters that were dose-and dosing schedule-dependent. T cell analysis in mice showed high levels of cellular immune responses demonstrated by the induction of high S-specific CD4</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CD8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T cell levels, which are known to contribute to protection in respiratory infections. Consistent with robust immune responses, CVnCoV protected hamsters against SARS-CoV-2 viral challenge. These experiments showed significant reduction in virus levels in the upper respiratory tract and the absence of detectable live virus in the lungs of animals upon two vaccinations with 10 µg of CVnCoV. In addition, challenge infection in hamsters did not reveal evidence of disease enhancement, neither by enhanced viral levels in the respiratory tract, nor inflammation of lung tissue.</w:t>
      </w:r>
    </w:p>
    <w:p>
      <w:pPr>
        <w:spacing w:after="0" w:line="140" w:lineRule="exact"/>
        <w:rPr>
          <w:sz w:val="20"/>
          <w:szCs w:val="20"/>
          <w:color w:val="auto"/>
        </w:rPr>
      </w:pPr>
    </w:p>
    <w:p>
      <w:pPr>
        <w:ind w:left="1260" w:right="419" w:firstLine="648"/>
        <w:spacing w:after="0" w:line="270" w:lineRule="auto"/>
        <w:rPr>
          <w:sz w:val="20"/>
          <w:szCs w:val="20"/>
          <w:color w:val="auto"/>
        </w:rPr>
      </w:pPr>
      <w:r>
        <w:rPr>
          <w:rFonts w:ascii="Arial" w:cs="Arial" w:eastAsia="Arial" w:hAnsi="Arial"/>
          <w:sz w:val="17"/>
          <w:szCs w:val="17"/>
          <w:color w:val="auto"/>
        </w:rPr>
        <w:t>On December 23, 2020, we published preclinical data demonstrating the efficient protection of non-human primates vaccinated with CVnCoV from SARS-CoV-2. Rhesus macaques vaccinated with 8μg of CVnCoV showed robust humoral and cellular immune responses, including high levels of Spike protein and receptor binding domain (RBD) specific binding antibodies and virus neutralizing antibodies. Animals were shown to be protected from challenge infection with SARS-CoV-2 following vaccination with 8µg of CVnCoV. Comprehensive analyses gave no indication of enhanced disease upon CVnCoV vaccination. The data provide important evidence on the safety, immunogenicity and protective efficacy of CVnCoV at low doses in NHPs that extend our previously published preclinical data in mice and hamsters and further support the ongoing international clinical Phase 2b/3 efficacy study applying a 12μg dose.</w:t>
      </w:r>
    </w:p>
    <w:p>
      <w:pPr>
        <w:spacing w:after="0" w:line="100" w:lineRule="exact"/>
        <w:rPr>
          <w:sz w:val="20"/>
          <w:szCs w:val="20"/>
          <w:color w:val="auto"/>
        </w:rPr>
      </w:pPr>
    </w:p>
    <w:p>
      <w:pPr>
        <w:ind w:left="1260" w:right="759" w:firstLine="648"/>
        <w:spacing w:after="0" w:line="281" w:lineRule="auto"/>
        <w:rPr>
          <w:sz w:val="20"/>
          <w:szCs w:val="20"/>
          <w:color w:val="auto"/>
        </w:rPr>
      </w:pPr>
      <w:r>
        <w:rPr>
          <w:rFonts w:ascii="Arial" w:cs="Arial" w:eastAsia="Arial" w:hAnsi="Arial"/>
          <w:sz w:val="17"/>
          <w:szCs w:val="17"/>
          <w:color w:val="auto"/>
        </w:rPr>
        <w:t>Analysis of binding antibody titers to either the Spike protein or the isolated RBD showed a significant increase in IgG titers after the second vaccination on day 42, with animals exhibiting median endpoint titers of 1.6 x 10</w:t>
      </w:r>
      <w:r>
        <w:rPr>
          <w:rFonts w:ascii="Arial" w:cs="Arial" w:eastAsia="Arial" w:hAnsi="Arial"/>
          <w:sz w:val="25"/>
          <w:szCs w:val="25"/>
          <w:color w:val="auto"/>
          <w:vertAlign w:val="superscript"/>
        </w:rPr>
        <w:t>3</w:t>
      </w:r>
      <w:r>
        <w:rPr>
          <w:rFonts w:ascii="Arial" w:cs="Arial" w:eastAsia="Arial" w:hAnsi="Arial"/>
          <w:sz w:val="17"/>
          <w:szCs w:val="17"/>
          <w:color w:val="auto"/>
        </w:rPr>
        <w:t xml:space="preserve"> and 3.2 x 10</w:t>
      </w:r>
      <w:r>
        <w:rPr>
          <w:rFonts w:ascii="Arial" w:cs="Arial" w:eastAsia="Arial" w:hAnsi="Arial"/>
          <w:sz w:val="25"/>
          <w:szCs w:val="25"/>
          <w:color w:val="auto"/>
          <w:vertAlign w:val="superscript"/>
        </w:rPr>
        <w:t>3</w:t>
      </w:r>
      <w:r>
        <w:rPr>
          <w:rFonts w:ascii="Arial" w:cs="Arial" w:eastAsia="Arial" w:hAnsi="Arial"/>
          <w:sz w:val="17"/>
          <w:szCs w:val="17"/>
          <w:color w:val="auto"/>
        </w:rPr>
        <w:t xml:space="preserve"> for Spike protein and RBD antibodies, respectively.</w:t>
      </w:r>
    </w:p>
    <w:p>
      <w:pPr>
        <w:spacing w:after="0" w:line="16" w:lineRule="exact"/>
        <w:rPr>
          <w:sz w:val="20"/>
          <w:szCs w:val="20"/>
          <w:color w:val="auto"/>
        </w:rPr>
      </w:pPr>
    </w:p>
    <w:p>
      <w:pPr>
        <w:ind w:left="1260" w:right="479" w:firstLine="648"/>
        <w:spacing w:after="0" w:line="232" w:lineRule="auto"/>
        <w:rPr>
          <w:sz w:val="20"/>
          <w:szCs w:val="20"/>
          <w:color w:val="auto"/>
        </w:rPr>
      </w:pPr>
      <w:r>
        <w:rPr>
          <w:rFonts w:ascii="Arial" w:cs="Arial" w:eastAsia="Arial" w:hAnsi="Arial"/>
          <w:sz w:val="18"/>
          <w:szCs w:val="18"/>
          <w:color w:val="auto"/>
        </w:rPr>
        <w:t>In agreement with the induction of binding antibodies, robust levels of virus neutralizing titers (VNTs) were detectable after the second vaccination in the 8μg group. VNTs peaked on day 42 at median titers of 2.7 x 10</w:t>
      </w:r>
      <w:r>
        <w:rPr>
          <w:rFonts w:ascii="Arial" w:cs="Arial" w:eastAsia="Arial" w:hAnsi="Arial"/>
          <w:sz w:val="26"/>
          <w:szCs w:val="26"/>
          <w:color w:val="auto"/>
          <w:vertAlign w:val="superscript"/>
        </w:rPr>
        <w:t>4</w:t>
      </w:r>
      <w:r>
        <w:rPr>
          <w:rFonts w:ascii="Arial" w:cs="Arial" w:eastAsia="Arial" w:hAnsi="Arial"/>
          <w:sz w:val="18"/>
          <w:szCs w:val="18"/>
          <w:color w:val="auto"/>
        </w:rPr>
        <w:t>. Neutralizing antibody titers remained relatively unchanged upon challenge (day 56) until day 62, 63 and 64 of the experiment.</w:t>
      </w:r>
    </w:p>
    <w:p>
      <w:pPr>
        <w:spacing w:after="0" w:line="200"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SARS-CoV-2 mRNA vaccine candidate, CVnCoV, elicited high levels of humoral immune responses</w:t>
      </w:r>
    </w:p>
    <w:p>
      <w:pPr>
        <w:spacing w:after="0" w:line="241" w:lineRule="exact"/>
        <w:rPr>
          <w:sz w:val="20"/>
          <w:szCs w:val="20"/>
          <w:color w:val="auto"/>
        </w:rPr>
      </w:pPr>
    </w:p>
    <w:p>
      <w:pPr>
        <w:ind w:left="1260" w:right="739"/>
        <w:spacing w:after="0" w:line="277" w:lineRule="auto"/>
        <w:rPr>
          <w:sz w:val="20"/>
          <w:szCs w:val="20"/>
          <w:color w:val="auto"/>
        </w:rPr>
      </w:pPr>
      <w:r>
        <w:rPr>
          <w:rFonts w:ascii="Arial" w:cs="Arial" w:eastAsia="Arial" w:hAnsi="Arial"/>
          <w:sz w:val="18"/>
          <w:szCs w:val="18"/>
          <w:b w:val="1"/>
          <w:bCs w:val="1"/>
          <w:i w:val="1"/>
          <w:iCs w:val="1"/>
          <w:color w:val="auto"/>
        </w:rPr>
        <w:t>Spike protein specific binding IgG antibodies determined via ELISA and displayed as endpoint titers at different time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1503045</wp:posOffset>
            </wp:positionH>
            <wp:positionV relativeFrom="paragraph">
              <wp:posOffset>108585</wp:posOffset>
            </wp:positionV>
            <wp:extent cx="3814445" cy="17913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814445"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9" w:name="page190"/>
    <w:bookmarkEnd w:id="18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RBD specific binding IgG antibodies determined via ELISA and displayed as endpoint titers at different time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1571625</wp:posOffset>
            </wp:positionH>
            <wp:positionV relativeFrom="paragraph">
              <wp:posOffset>165100</wp:posOffset>
            </wp:positionV>
            <wp:extent cx="3677285" cy="17405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677285" cy="1740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Virus neutralizing antibodies determined via focus reduction neutralization test at different time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158115</wp:posOffset>
            </wp:positionV>
            <wp:extent cx="4465955" cy="184340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465955" cy="184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60" w:right="459"/>
        <w:spacing w:after="0" w:line="238" w:lineRule="auto"/>
        <w:rPr>
          <w:sz w:val="20"/>
          <w:szCs w:val="20"/>
          <w:color w:val="auto"/>
        </w:rPr>
      </w:pPr>
      <w:r>
        <w:rPr>
          <w:rFonts w:ascii="Arial" w:cs="Arial" w:eastAsia="Arial" w:hAnsi="Arial"/>
          <w:sz w:val="18"/>
          <w:szCs w:val="18"/>
          <w:i w:val="1"/>
          <w:iCs w:val="1"/>
          <w:color w:val="auto"/>
        </w:rPr>
        <w:t>Figures. Rhesus macaques (n=18) were divided into three groups of six, each comprising three females and three males. Animals were vaccinated intramuscularly on day 0 and day 28 with 0.5µg (light orange columns) or 8µg (orange columns) of CVnCoV or remained unvaccinated (grey columns). All animals were challenged with 5.0 x 10</w:t>
      </w:r>
      <w:r>
        <w:rPr>
          <w:rFonts w:ascii="Arial" w:cs="Arial" w:eastAsia="Arial" w:hAnsi="Arial"/>
          <w:sz w:val="26"/>
          <w:szCs w:val="26"/>
          <w:i w:val="1"/>
          <w:iCs w:val="1"/>
          <w:color w:val="auto"/>
          <w:vertAlign w:val="superscript"/>
        </w:rPr>
        <w:t>6</w:t>
      </w:r>
      <w:r>
        <w:rPr>
          <w:rFonts w:ascii="Arial" w:cs="Arial" w:eastAsia="Arial" w:hAnsi="Arial"/>
          <w:sz w:val="18"/>
          <w:szCs w:val="18"/>
          <w:i w:val="1"/>
          <w:iCs w:val="1"/>
          <w:color w:val="auto"/>
        </w:rPr>
        <w:t xml:space="preserve"> PFU of wild type SARS-CoV-2 on day 56. All values are displayed as median with range. Square symbols represent male, round symbols female animals. Dotted lines represent vaccinations and challenge infection, respectively.</w:t>
      </w:r>
    </w:p>
    <w:p>
      <w:pPr>
        <w:spacing w:after="0" w:line="135" w:lineRule="exact"/>
        <w:rPr>
          <w:sz w:val="20"/>
          <w:szCs w:val="20"/>
          <w:color w:val="auto"/>
        </w:rPr>
      </w:pPr>
    </w:p>
    <w:p>
      <w:pPr>
        <w:ind w:left="1260" w:right="539" w:firstLine="648"/>
        <w:spacing w:after="0" w:line="253" w:lineRule="auto"/>
        <w:rPr>
          <w:sz w:val="20"/>
          <w:szCs w:val="20"/>
          <w:color w:val="auto"/>
        </w:rPr>
      </w:pPr>
      <w:r>
        <w:rPr>
          <w:rFonts w:ascii="Arial" w:cs="Arial" w:eastAsia="Arial" w:hAnsi="Arial"/>
          <w:sz w:val="18"/>
          <w:szCs w:val="18"/>
          <w:color w:val="auto"/>
        </w:rPr>
        <w:t>In order to assess CVnCoV induced cellular responses, peripheral blood mononuclear cells were isolated at different time points after vaccination and challenge infection and subsequently stimulated with pools of peptides spanning the whole SARS-CoV-2 Spike protein. IFNγ release of stimulated cells was measured by ELISpot. Analysis of summed responses to the peptide pools in the vaccination phase showed increases in Spike-specific IFNγ secreting cells in 8μg CVnCoV vaccinated animals, two weeks after the first and, more pronounced, two weeks after the second vaccination (Figure below, A1). Stimulation with ten individual pools, each covering approximately 140 amino acids of the Spike protein, demonstrated the induction of cells reactive to peptides across the whole length of the Spike protein upon vaccination with 8μg of CVnCoV (Figure below, A3).</w:t>
      </w:r>
    </w:p>
    <w:p>
      <w:pPr>
        <w:spacing w:after="0" w:line="129" w:lineRule="exact"/>
        <w:rPr>
          <w:sz w:val="20"/>
          <w:szCs w:val="20"/>
          <w:color w:val="auto"/>
        </w:rPr>
      </w:pPr>
    </w:p>
    <w:p>
      <w:pPr>
        <w:ind w:left="1260" w:right="439" w:firstLine="648"/>
        <w:spacing w:after="0" w:line="259" w:lineRule="auto"/>
        <w:rPr>
          <w:sz w:val="20"/>
          <w:szCs w:val="20"/>
          <w:color w:val="auto"/>
        </w:rPr>
      </w:pPr>
      <w:r>
        <w:rPr>
          <w:rFonts w:ascii="Arial" w:cs="Arial" w:eastAsia="Arial" w:hAnsi="Arial"/>
          <w:sz w:val="18"/>
          <w:szCs w:val="18"/>
          <w:color w:val="auto"/>
        </w:rPr>
        <w:t>Increased Spike-specific IFNγ responses were detectable in all animals post challenge on day 62-64 (Figure below, B1-4). Of note, increases of cellular responses in animals vaccinated with 8μg of CVnCoV (Figure below, B3) were less pronounced than in the other groups, likely indicative of lower levels of viral replication in these animals.</w:t>
      </w: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0" w:name="page191"/>
    <w:bookmarkEnd w:id="19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SARS-CoV-2 mRNA vaccine candidate, CVnCoV, induced cellular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146050</wp:posOffset>
            </wp:positionV>
            <wp:extent cx="5134610" cy="256349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134610" cy="2563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60" w:right="499"/>
        <w:spacing w:after="0" w:line="271" w:lineRule="auto"/>
        <w:rPr>
          <w:sz w:val="20"/>
          <w:szCs w:val="20"/>
          <w:color w:val="auto"/>
        </w:rPr>
      </w:pPr>
      <w:r>
        <w:rPr>
          <w:rFonts w:ascii="Arial" w:cs="Arial" w:eastAsia="Arial" w:hAnsi="Arial"/>
          <w:sz w:val="17"/>
          <w:szCs w:val="17"/>
          <w:i w:val="1"/>
          <w:iCs w:val="1"/>
          <w:color w:val="auto"/>
        </w:rPr>
        <w:t>Figures. Peripheral blood mononuclear cells from animals either unvaccinated (grey line) or vaccinated with 0.5μg (light orange line) or 8μg (orange line) of CVnCoV were isolated at different time points and re-stimulated with Spike specific peptide pools followed by IFNγ ELISpot analysis. (A) IFNγELISpot before challenge infection on day 56. Panel A1 shows the summed response covering the whole Spike protein; panels A2-4 depict stimulation results of ten individual pools covering the entire Spike protein in each group. (B) IFNγ ELISpot until termination of the experiment on day 62-64. Panel B1 shows the summed response covering the whole Spike protein; panels B2-4 depict stimulation results of ten individual pools covering the entire S protein in each group. SFU: spot forming unit; PP: peptide pool</w:t>
      </w:r>
    </w:p>
    <w:p>
      <w:pPr>
        <w:spacing w:after="0" w:line="111" w:lineRule="exact"/>
        <w:rPr>
          <w:sz w:val="20"/>
          <w:szCs w:val="20"/>
          <w:color w:val="auto"/>
        </w:rPr>
      </w:pPr>
    </w:p>
    <w:p>
      <w:pPr>
        <w:ind w:left="1260" w:right="539" w:firstLine="648"/>
        <w:spacing w:after="0" w:line="253" w:lineRule="auto"/>
        <w:rPr>
          <w:sz w:val="20"/>
          <w:szCs w:val="20"/>
          <w:color w:val="auto"/>
        </w:rPr>
      </w:pPr>
      <w:r>
        <w:rPr>
          <w:rFonts w:ascii="Arial" w:cs="Arial" w:eastAsia="Arial" w:hAnsi="Arial"/>
          <w:sz w:val="17"/>
          <w:szCs w:val="17"/>
          <w:color w:val="auto"/>
        </w:rPr>
        <w:t>Presence of SARS-CoV-2 RNA in the upper and lower respiratory tract following challenge infection (day 56) was monitored via reverse transcription quantitative polymerase chain reaction (RT-qPCR). Viral replication in the upper respiratory tract peaked on day 59 in unvaccinated animals, which reached median values of 2.7 10</w:t>
      </w:r>
      <w:r>
        <w:rPr>
          <w:rFonts w:ascii="Arial" w:cs="Arial" w:eastAsia="Arial" w:hAnsi="Arial"/>
          <w:sz w:val="25"/>
          <w:szCs w:val="25"/>
          <w:color w:val="auto"/>
          <w:vertAlign w:val="superscript"/>
        </w:rPr>
        <w:t>7</w:t>
      </w:r>
      <w:r>
        <w:rPr>
          <w:rFonts w:ascii="Arial" w:cs="Arial" w:eastAsia="Arial" w:hAnsi="Arial"/>
          <w:sz w:val="17"/>
          <w:szCs w:val="17"/>
          <w:color w:val="auto"/>
        </w:rPr>
        <w:t xml:space="preserve"> cp/ml in nasal swabs, and remained detectable until termination on day 62-64 (Figure below, A). No significant difference between viral replication in animals vaccinated with 0.5 μg CVnCoV and unvaccinated control animals was measured in nose swabs.</w:t>
      </w:r>
    </w:p>
    <w:p>
      <w:pPr>
        <w:spacing w:after="0" w:line="125" w:lineRule="exact"/>
        <w:rPr>
          <w:sz w:val="20"/>
          <w:szCs w:val="20"/>
          <w:color w:val="auto"/>
        </w:rPr>
      </w:pPr>
    </w:p>
    <w:p>
      <w:pPr>
        <w:ind w:left="1260" w:right="439" w:firstLine="648"/>
        <w:spacing w:after="0" w:line="241" w:lineRule="auto"/>
        <w:rPr>
          <w:sz w:val="20"/>
          <w:szCs w:val="20"/>
          <w:color w:val="auto"/>
        </w:rPr>
      </w:pPr>
      <w:r>
        <w:rPr>
          <w:rFonts w:ascii="Arial" w:cs="Arial" w:eastAsia="Arial" w:hAnsi="Arial"/>
          <w:sz w:val="18"/>
          <w:szCs w:val="18"/>
          <w:color w:val="auto"/>
        </w:rPr>
        <w:t>Overall, 8μg CVnCoV vaccination induced the lowest number of viral RNA copies in the upper respiratory tract, where median values of 2.9 x 10</w:t>
      </w:r>
      <w:r>
        <w:rPr>
          <w:rFonts w:ascii="Arial" w:cs="Arial" w:eastAsia="Arial" w:hAnsi="Arial"/>
          <w:sz w:val="26"/>
          <w:szCs w:val="26"/>
          <w:color w:val="auto"/>
          <w:vertAlign w:val="superscript"/>
        </w:rPr>
        <w:t>6</w:t>
      </w:r>
      <w:r>
        <w:rPr>
          <w:rFonts w:ascii="Arial" w:cs="Arial" w:eastAsia="Arial" w:hAnsi="Arial"/>
          <w:sz w:val="18"/>
          <w:szCs w:val="18"/>
          <w:color w:val="auto"/>
        </w:rPr>
        <w:t xml:space="preserve"> cp/ml in nasal swabs, respectively, were detectable on day 59. However, the difference between the study groups was not statistically significant. Parallel analyses of the lower respiratory tract of in-life (day 59) and post-mortem (day 62-64) bronchoalveolar lavage samples (BAL) showed significantly reduced levels of total viral RNA upon 8μg CVnCoV vaccination (Figure below, B). RNA levels in BAL were below the lower limit of quantification for all but one animal in the 8μg CVnCoV group on day 59, which featured low RNA counts. Total viral RNA levels in 0.5μg CVnCoV vaccinated animals were comparable to the control group.</w:t>
      </w:r>
    </w:p>
    <w:p>
      <w:pPr>
        <w:spacing w:after="0" w:line="121" w:lineRule="exact"/>
        <w:rPr>
          <w:sz w:val="20"/>
          <w:szCs w:val="20"/>
          <w:color w:val="auto"/>
        </w:rPr>
      </w:pPr>
    </w:p>
    <w:p>
      <w:pPr>
        <w:ind w:left="1260" w:right="439" w:firstLine="648"/>
        <w:spacing w:after="0" w:line="254" w:lineRule="auto"/>
        <w:rPr>
          <w:sz w:val="20"/>
          <w:szCs w:val="20"/>
          <w:color w:val="auto"/>
        </w:rPr>
      </w:pPr>
      <w:r>
        <w:rPr>
          <w:rFonts w:ascii="Arial" w:cs="Arial" w:eastAsia="Arial" w:hAnsi="Arial"/>
          <w:sz w:val="18"/>
          <w:szCs w:val="18"/>
          <w:color w:val="auto"/>
        </w:rPr>
        <w:t>Additional analyses assessing sub-genomic RNA via RT-qPCR indicative of viral replication yielded overall low sub-genomic RNA levels in the upper respiratory tract. Values peaked on day 59 and returned to baseline on day 62 in all animals (Figure below, D). In nasal swabs, sub-genomic RNA levels were lowest in CVnCoV vaccinated animals. Sub-genomic viral RNA analysis in BAL samples yielded comparable results: RNA indicative of replicating virus was detectable in BAL samples of unvaccinated and 0.5μg CVnCoV vaccinated animals on day 59 and day 62-64, respectively. All animals in the 8μg CVnCoV group were negative in these analyses (Figure below, E).</w:t>
      </w:r>
    </w:p>
    <w:p>
      <w:pPr>
        <w:spacing w:after="0" w:line="38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1" w:name="page192"/>
    <w:bookmarkEnd w:id="19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SARS-CoV-2 mRNA vaccine candidate, CVnCoV, protects non-human primates from challenge infection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117475</wp:posOffset>
            </wp:positionV>
            <wp:extent cx="4363085" cy="31121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363085" cy="3112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Figure: (A) Nasal swabs taken at different time points following challenge infection and</w:t>
      </w:r>
    </w:p>
    <w:p>
      <w:pPr>
        <w:spacing w:after="0" w:line="12" w:lineRule="exact"/>
        <w:rPr>
          <w:sz w:val="20"/>
          <w:szCs w:val="20"/>
          <w:color w:val="auto"/>
        </w:rPr>
      </w:pPr>
    </w:p>
    <w:p>
      <w:pPr>
        <w:ind w:left="1260" w:right="479"/>
        <w:spacing w:after="0" w:line="253" w:lineRule="auto"/>
        <w:tabs>
          <w:tab w:leader="none" w:pos="1549" w:val="left"/>
        </w:tabs>
        <w:numPr>
          <w:ilvl w:val="0"/>
          <w:numId w:val="123"/>
        </w:numPr>
        <w:rPr>
          <w:rFonts w:ascii="Arial" w:cs="Arial" w:eastAsia="Arial" w:hAnsi="Arial"/>
          <w:sz w:val="17"/>
          <w:szCs w:val="17"/>
          <w:i w:val="1"/>
          <w:iCs w:val="1"/>
          <w:color w:val="auto"/>
        </w:rPr>
      </w:pPr>
      <w:r>
        <w:rPr>
          <w:rFonts w:ascii="Arial" w:cs="Arial" w:eastAsia="Arial" w:hAnsi="Arial"/>
          <w:sz w:val="17"/>
          <w:szCs w:val="17"/>
          <w:i w:val="1"/>
          <w:iCs w:val="1"/>
          <w:color w:val="auto"/>
        </w:rPr>
        <w:t>bronchoalveolar lavage (BAL) samples taken on day 59 and at termination on day 62-64 were analyzed for viral RNA via RT-qPCR. (D) Nasal swabs taken at different time points following challenge infection and (E) BAL samples taken on day 59 and at termination on day 62-64 were analyzed for sub-genomic RNA via RT-qPCR.. Values are depicted as medians with range. Square symbols represent male, round symbols female animals. Lower and upper dotted lines represent lower limit of detection and lower limit of quantification, respectively. RT-qPCR Reverse transcription quantitative polymerase chain reaction</w:t>
      </w:r>
    </w:p>
    <w:p>
      <w:pPr>
        <w:spacing w:after="0" w:line="84" w:lineRule="exact"/>
        <w:rPr>
          <w:sz w:val="20"/>
          <w:szCs w:val="20"/>
          <w:color w:val="auto"/>
        </w:rPr>
      </w:pPr>
    </w:p>
    <w:p>
      <w:pPr>
        <w:ind w:left="1260" w:right="419" w:firstLine="648"/>
        <w:spacing w:after="0" w:line="254" w:lineRule="auto"/>
        <w:rPr>
          <w:sz w:val="20"/>
          <w:szCs w:val="20"/>
          <w:color w:val="auto"/>
        </w:rPr>
      </w:pPr>
      <w:r>
        <w:rPr>
          <w:rFonts w:ascii="Arial" w:cs="Arial" w:eastAsia="Arial" w:hAnsi="Arial"/>
          <w:sz w:val="17"/>
          <w:szCs w:val="17"/>
          <w:color w:val="auto"/>
        </w:rPr>
        <w:t>In summary, we believe the preclinical data collected for CVnCoV in rhesus macaques complement our preclinical data in mice and hamsters and further support the favorable safety profile of CVnCoV. As for the mice and hamster data, it showed induction of a balanced immune response with robust humoral responses featuring high levels of binding and neutralizing antibody titers and cellular responses. Consistent with robust immune responses, CVnCoV protected lungs of rhesus macaques against SARS-CoV-2 infection. The experiments showed reduction in virus levels in the upper respiratory tract and the absence of detectable live virus in the lungs of animals upon two vaccinations with a dose of 8μg of CVnCoV. In addition, challenge infection did not reveal evidence of disease enhancement in vaccinated animals.</w:t>
      </w:r>
    </w:p>
    <w:p>
      <w:pPr>
        <w:spacing w:after="0" w:line="181"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CVnCoV Phase 2b/3 Clinical Trial (Pivotal Trial for CVnCoV Safety and Efficacy)</w:t>
      </w:r>
    </w:p>
    <w:p>
      <w:pPr>
        <w:spacing w:after="0" w:line="144" w:lineRule="exact"/>
        <w:rPr>
          <w:sz w:val="20"/>
          <w:szCs w:val="20"/>
          <w:color w:val="auto"/>
        </w:rPr>
      </w:pPr>
    </w:p>
    <w:p>
      <w:pPr>
        <w:ind w:left="1260" w:right="439" w:firstLine="648"/>
        <w:spacing w:after="0" w:line="238" w:lineRule="auto"/>
        <w:rPr>
          <w:sz w:val="20"/>
          <w:szCs w:val="20"/>
          <w:color w:val="auto"/>
        </w:rPr>
      </w:pPr>
      <w:r>
        <w:rPr>
          <w:rFonts w:ascii="Arial" w:cs="Arial" w:eastAsia="Arial" w:hAnsi="Arial"/>
          <w:sz w:val="18"/>
          <w:szCs w:val="18"/>
          <w:color w:val="auto"/>
        </w:rPr>
        <w:t>We initiated our Phase 2b/3 study, called HERALD, in December 2020, and expect to enroll more than 37,000 participants, above the age of 18, at sites in Europe and Latin America. The study is randomized, observer blind, placebo-controlled, on a two-dose schedule and was started with an initial Phase 2b safety part, which is expected to merge into a Phase 3 efficacy trial. The Phase 2b/3 study has a primary safety objective and two primary efficacy objectives: the demonstration of the efficacy of preventing first episodes of confirmed cases of COVID-19 of any severity and preventing moderate to severe confirmed cases of COVID -19 in participants who have never been infected with SARS-CoV-2. We currently expect to conduct a first interim analysis of the pivotal Phase 2b/3 study later in the first quarter of 2021 or early in the second quarter of 2021, depending on the infection rate of SARS-COV-2 in clinical trial participants.</w:t>
      </w:r>
    </w:p>
    <w:p>
      <w:pPr>
        <w:spacing w:after="0" w:line="188"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CVnCoV Temperature Stability Studies</w:t>
      </w:r>
    </w:p>
    <w:p>
      <w:pPr>
        <w:spacing w:after="0" w:line="131" w:lineRule="exact"/>
        <w:rPr>
          <w:sz w:val="20"/>
          <w:szCs w:val="20"/>
          <w:color w:val="auto"/>
        </w:rPr>
      </w:pPr>
    </w:p>
    <w:p>
      <w:pPr>
        <w:ind w:left="1260" w:right="599" w:firstLine="648"/>
        <w:spacing w:after="0" w:line="291" w:lineRule="auto"/>
        <w:rPr>
          <w:sz w:val="20"/>
          <w:szCs w:val="20"/>
          <w:color w:val="auto"/>
        </w:rPr>
      </w:pPr>
      <w:r>
        <w:rPr>
          <w:rFonts w:ascii="Arial" w:cs="Arial" w:eastAsia="Arial" w:hAnsi="Arial"/>
          <w:sz w:val="17"/>
          <w:szCs w:val="17"/>
          <w:color w:val="auto"/>
        </w:rPr>
        <w:t>Temperature stability studies of CVnCoV are being carried out in parallel with the clinical development. A first study read-out announced on November 12, 2020, showed stability of the COVID-19</w:t>
      </w:r>
    </w:p>
    <w:p>
      <w:pPr>
        <w:sectPr>
          <w:pgSz w:w="11900" w:h="16838" w:orient="portrait"/>
          <w:cols w:equalWidth="0" w:num="1">
            <w:col w:w="9879"/>
          </w:cols>
          <w:pgMar w:left="580" w:top="132" w:right="1440" w:bottom="1440" w:gutter="0" w:footer="0" w:header="0"/>
        </w:sectPr>
      </w:pPr>
    </w:p>
    <w:p>
      <w:pPr>
        <w:spacing w:after="0" w:line="33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2" w:name="page193"/>
    <w:bookmarkEnd w:id="19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599"/>
        <w:spacing w:after="0" w:line="277" w:lineRule="auto"/>
        <w:rPr>
          <w:sz w:val="20"/>
          <w:szCs w:val="20"/>
          <w:color w:val="auto"/>
        </w:rPr>
      </w:pPr>
      <w:r>
        <w:rPr>
          <w:rFonts w:ascii="Arial" w:cs="Arial" w:eastAsia="Arial" w:hAnsi="Arial"/>
          <w:sz w:val="18"/>
          <w:szCs w:val="18"/>
          <w:color w:val="auto"/>
        </w:rPr>
        <w:t>vaccine candidate for at least three months at standard fridge temperature (2-8 °C / 36-46 °F) and up to 24 hours of the ready-to-use vaccine candidate when stored at room temperature.</w:t>
      </w:r>
    </w:p>
    <w:p>
      <w:pPr>
        <w:spacing w:after="0" w:line="103" w:lineRule="exact"/>
        <w:rPr>
          <w:sz w:val="20"/>
          <w:szCs w:val="20"/>
          <w:color w:val="auto"/>
        </w:rPr>
      </w:pPr>
    </w:p>
    <w:p>
      <w:pPr>
        <w:ind w:left="1260" w:right="459" w:firstLine="648"/>
        <w:spacing w:after="0" w:line="257" w:lineRule="auto"/>
        <w:rPr>
          <w:sz w:val="20"/>
          <w:szCs w:val="20"/>
          <w:color w:val="auto"/>
        </w:rPr>
      </w:pPr>
      <w:r>
        <w:rPr>
          <w:rFonts w:ascii="Arial" w:cs="Arial" w:eastAsia="Arial" w:hAnsi="Arial"/>
          <w:sz w:val="18"/>
          <w:szCs w:val="18"/>
          <w:color w:val="auto"/>
        </w:rPr>
        <w:t>Storage of sample material, as well as analytical testing of CVnCoV, was performed under standard conditions defined by the International Council for Harmonisation of Technical Requirements for Pharmaceuticals for Human Use, or ICH. ICH guidelines include standards for drug development including methodologies to ensure efficacy, safety and quality of active drug substance and dosage forms over time and to establish shelf life or expiration period and to support label claims.</w:t>
      </w:r>
    </w:p>
    <w:p>
      <w:pPr>
        <w:spacing w:after="0" w:line="120" w:lineRule="exact"/>
        <w:rPr>
          <w:sz w:val="20"/>
          <w:szCs w:val="20"/>
          <w:color w:val="auto"/>
        </w:rPr>
      </w:pPr>
    </w:p>
    <w:p>
      <w:pPr>
        <w:jc w:val="both"/>
        <w:ind w:left="1260" w:right="539" w:firstLine="648"/>
        <w:spacing w:after="0" w:line="259" w:lineRule="auto"/>
        <w:rPr>
          <w:sz w:val="20"/>
          <w:szCs w:val="20"/>
          <w:color w:val="auto"/>
        </w:rPr>
      </w:pPr>
      <w:r>
        <w:rPr>
          <w:rFonts w:ascii="Arial" w:cs="Arial" w:eastAsia="Arial" w:hAnsi="Arial"/>
          <w:sz w:val="18"/>
          <w:szCs w:val="18"/>
          <w:color w:val="auto"/>
        </w:rPr>
        <w:t>Stability of the liquid drug product of CVnCoV was tested at the anticipated storage concentration and stored at +5°C (+41°F) as well as below -60°C (-76°F). CVnCoV fulfilled all set release specifications at both temperatures after three months. The stability study is ongoing with the goal to further evaluate the potential for a longer commercial product shelf-life.</w:t>
      </w:r>
    </w:p>
    <w:p>
      <w:pPr>
        <w:spacing w:after="0" w:line="106" w:lineRule="exact"/>
        <w:rPr>
          <w:sz w:val="20"/>
          <w:szCs w:val="20"/>
          <w:color w:val="auto"/>
        </w:rPr>
      </w:pPr>
    </w:p>
    <w:p>
      <w:pPr>
        <w:ind w:left="1260" w:right="499" w:firstLine="648"/>
        <w:spacing w:after="0" w:line="259" w:lineRule="auto"/>
        <w:rPr>
          <w:sz w:val="20"/>
          <w:szCs w:val="20"/>
          <w:color w:val="auto"/>
        </w:rPr>
      </w:pPr>
      <w:r>
        <w:rPr>
          <w:rFonts w:ascii="Arial" w:cs="Arial" w:eastAsia="Arial" w:hAnsi="Arial"/>
          <w:sz w:val="18"/>
          <w:szCs w:val="18"/>
          <w:color w:val="auto"/>
        </w:rPr>
        <w:t>We believe the reported stability results from testing of our COVID-19 vaccine candidate show the potential to be compatible with existing vaccine cold-chain infrastructures, which we believe could enable decentralized vaccine storage and significantly facilitate large-scale vaccination efforts during the current pandemic.</w:t>
      </w:r>
    </w:p>
    <w:p>
      <w:pPr>
        <w:spacing w:after="0" w:line="187"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CVnCoV Phase 3 Clinical Trial</w:t>
      </w:r>
    </w:p>
    <w:p>
      <w:pPr>
        <w:spacing w:after="0" w:line="158" w:lineRule="exact"/>
        <w:rPr>
          <w:sz w:val="20"/>
          <w:szCs w:val="20"/>
          <w:color w:val="auto"/>
        </w:rPr>
      </w:pPr>
    </w:p>
    <w:p>
      <w:pPr>
        <w:ind w:left="1260" w:right="439" w:firstLine="648"/>
        <w:spacing w:after="0" w:line="254" w:lineRule="auto"/>
        <w:rPr>
          <w:sz w:val="20"/>
          <w:szCs w:val="20"/>
          <w:color w:val="auto"/>
        </w:rPr>
      </w:pPr>
      <w:r>
        <w:rPr>
          <w:rFonts w:ascii="Arial" w:cs="Arial" w:eastAsia="Arial" w:hAnsi="Arial"/>
          <w:sz w:val="18"/>
          <w:szCs w:val="18"/>
          <w:color w:val="auto"/>
        </w:rPr>
        <w:t>On December 21, 2020, we announced initiation of a clinical Phase 3 study to evaluate the safety and immunogenicity of CVnCoV in healthcare workers at the University Medical Center Mainz in the Rhine-Main Region of Germany. The Phase 3 study is a randomized, observer-blinded and placebo-controlled clinical study and will enroll more than 2,500 healthy participants, above the age of 18. The Phase 3 study follows an epidemiological, non-interventional study conducted with healthcare workers from the University Medical Center Mainz which focuses on the rate at which SARS-CoV-2-specific antibodies arise and can be detected in hospital employees as well as the frequency of virologically confirmed COVID-19 cases in this cohort of hospital employees.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CV7202: Rabies Vaccine</w:t>
      </w:r>
    </w:p>
    <w:p>
      <w:pPr>
        <w:spacing w:after="0" w:line="158" w:lineRule="exact"/>
        <w:rPr>
          <w:sz w:val="20"/>
          <w:szCs w:val="20"/>
          <w:color w:val="auto"/>
        </w:rPr>
      </w:pPr>
    </w:p>
    <w:p>
      <w:pPr>
        <w:ind w:left="1260" w:right="539" w:firstLine="648"/>
        <w:spacing w:after="0" w:line="257" w:lineRule="auto"/>
        <w:rPr>
          <w:sz w:val="20"/>
          <w:szCs w:val="20"/>
          <w:color w:val="auto"/>
        </w:rPr>
      </w:pPr>
      <w:r>
        <w:rPr>
          <w:rFonts w:ascii="Arial" w:cs="Arial" w:eastAsia="Arial" w:hAnsi="Arial"/>
          <w:sz w:val="18"/>
          <w:szCs w:val="18"/>
          <w:color w:val="auto"/>
        </w:rPr>
        <w:t>CV7202 is our next-generation rabies vaccine encoding the rabies virus glycoprotein, RABV-G protein formulated with LNPs, which have shown to increase immunogenicity in animal models. RABV-G is one of only five proteins encoded by the rabies virus. As a dominant part of the virus surface and its role in virus entry into the host cell, RABV-G is the only target of virus-neutralizing antibodies conferring protection against challenge.</w:t>
      </w:r>
    </w:p>
    <w:p>
      <w:pPr>
        <w:spacing w:after="0" w:line="107" w:lineRule="exact"/>
        <w:rPr>
          <w:sz w:val="20"/>
          <w:szCs w:val="20"/>
          <w:color w:val="auto"/>
        </w:rPr>
      </w:pPr>
    </w:p>
    <w:p>
      <w:pPr>
        <w:ind w:left="1260" w:right="479" w:firstLine="648"/>
        <w:spacing w:after="0" w:line="259" w:lineRule="auto"/>
        <w:rPr>
          <w:sz w:val="20"/>
          <w:szCs w:val="20"/>
          <w:color w:val="auto"/>
        </w:rPr>
      </w:pPr>
      <w:r>
        <w:rPr>
          <w:rFonts w:ascii="Arial" w:cs="Arial" w:eastAsia="Arial" w:hAnsi="Arial"/>
          <w:sz w:val="18"/>
          <w:szCs w:val="18"/>
          <w:color w:val="auto"/>
        </w:rPr>
        <w:t>We initiated a Phase 1 clinical trial for CV7202 in the fourth quarter of 2018, which is fully enrolled. Follow-up in this clinical trial is ongoing and data will be collected along the different time points during the study. We will follow all study participants for up to two years after their last vaccination to collect safety data and to monitor persistence of VNT and other immune parameters.</w:t>
      </w:r>
    </w:p>
    <w:p>
      <w:pPr>
        <w:spacing w:after="0" w:line="187"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Rabies Disease Background</w:t>
      </w:r>
    </w:p>
    <w:p>
      <w:pPr>
        <w:spacing w:after="0" w:line="158" w:lineRule="exact"/>
        <w:rPr>
          <w:sz w:val="20"/>
          <w:szCs w:val="20"/>
          <w:color w:val="auto"/>
        </w:rPr>
      </w:pPr>
    </w:p>
    <w:p>
      <w:pPr>
        <w:ind w:left="1260" w:right="699" w:firstLine="648"/>
        <w:spacing w:after="0" w:line="342" w:lineRule="auto"/>
        <w:rPr>
          <w:sz w:val="20"/>
          <w:szCs w:val="20"/>
          <w:color w:val="auto"/>
        </w:rPr>
      </w:pPr>
      <w:r>
        <w:rPr>
          <w:rFonts w:ascii="Arial" w:cs="Arial" w:eastAsia="Arial" w:hAnsi="Arial"/>
          <w:sz w:val="16"/>
          <w:szCs w:val="16"/>
          <w:color w:val="auto"/>
        </w:rPr>
        <w:t>Rabies is an infectious viral disease that is almost always fatal following the onset of clinical symptoms. In up to 99% of cases, domestic dogs are responsible for rabies virus transmission to humans.</w:t>
      </w:r>
    </w:p>
    <w:p>
      <w:pPr>
        <w:spacing w:after="0" w:line="56" w:lineRule="exact"/>
        <w:rPr>
          <w:sz w:val="20"/>
          <w:szCs w:val="20"/>
          <w:color w:val="auto"/>
        </w:rPr>
      </w:pPr>
    </w:p>
    <w:p>
      <w:pPr>
        <w:ind w:left="1260" w:right="519" w:firstLine="648"/>
        <w:spacing w:after="0" w:line="259" w:lineRule="auto"/>
        <w:rPr>
          <w:sz w:val="20"/>
          <w:szCs w:val="20"/>
          <w:color w:val="auto"/>
        </w:rPr>
      </w:pPr>
      <w:r>
        <w:rPr>
          <w:rFonts w:ascii="Arial" w:cs="Arial" w:eastAsia="Arial" w:hAnsi="Arial"/>
          <w:sz w:val="18"/>
          <w:szCs w:val="18"/>
          <w:color w:val="auto"/>
        </w:rPr>
        <w:t>Rabies can affect both domestic and wild animals. It is spread to people through bites or scratches, usually via saliva. According to the World Health Organization, rabies remains an important disease, leading to 60,000 human deaths every year worldwide, primarily in Asia and Africa, where dog rabies is endemic.</w:t>
      </w:r>
    </w:p>
    <w:p>
      <w:pPr>
        <w:spacing w:after="0" w:line="106" w:lineRule="exact"/>
        <w:rPr>
          <w:sz w:val="20"/>
          <w:szCs w:val="20"/>
          <w:color w:val="auto"/>
        </w:rPr>
      </w:pPr>
    </w:p>
    <w:p>
      <w:pPr>
        <w:ind w:left="1260" w:right="459" w:firstLine="648"/>
        <w:spacing w:after="0" w:line="257" w:lineRule="auto"/>
        <w:rPr>
          <w:sz w:val="20"/>
          <w:szCs w:val="20"/>
          <w:color w:val="auto"/>
        </w:rPr>
      </w:pPr>
      <w:r>
        <w:rPr>
          <w:rFonts w:ascii="Arial" w:cs="Arial" w:eastAsia="Arial" w:hAnsi="Arial"/>
          <w:sz w:val="18"/>
          <w:szCs w:val="18"/>
          <w:color w:val="auto"/>
        </w:rPr>
        <w:t>There are commercially available rabies vaccines that are both safe and effective. They can be used to prevent rabies before and for a period of time after exposure to the virus (such as by a dog or bat bite). However, these vaccines require multiple vaccinations both before and after virus exposure. Additional major limitations for the commercially available rabies vaccines are cost and access, particularly in the developing world, as well as supply shortages.</w:t>
      </w:r>
    </w:p>
    <w:p>
      <w:pPr>
        <w:sectPr>
          <w:pgSz w:w="11900" w:h="16838" w:orient="portrait"/>
          <w:cols w:equalWidth="0" w:num="1">
            <w:col w:w="9879"/>
          </w:cols>
          <w:pgMar w:left="580" w:top="132" w:right="1440" w:bottom="1440" w:gutter="0" w:footer="0" w:header="0"/>
        </w:sectPr>
      </w:pPr>
    </w:p>
    <w:p>
      <w:pPr>
        <w:spacing w:after="0" w:line="37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3" w:name="page194"/>
    <w:bookmarkEnd w:id="19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CV7202 Phase 1 Clinical Trial</w:t>
      </w:r>
    </w:p>
    <w:p>
      <w:pPr>
        <w:spacing w:after="0" w:line="158" w:lineRule="exact"/>
        <w:rPr>
          <w:sz w:val="20"/>
          <w:szCs w:val="20"/>
          <w:color w:val="auto"/>
        </w:rPr>
      </w:pPr>
    </w:p>
    <w:p>
      <w:pPr>
        <w:ind w:left="1260" w:right="459" w:firstLine="648"/>
        <w:spacing w:after="0" w:line="254" w:lineRule="auto"/>
        <w:rPr>
          <w:sz w:val="20"/>
          <w:szCs w:val="20"/>
          <w:color w:val="auto"/>
        </w:rPr>
      </w:pPr>
      <w:r>
        <w:rPr>
          <w:rFonts w:ascii="Arial" w:cs="Arial" w:eastAsia="Arial" w:hAnsi="Arial"/>
          <w:sz w:val="18"/>
          <w:szCs w:val="18"/>
          <w:color w:val="auto"/>
        </w:rPr>
        <w:t>We initiated a Phase 1 clinical trial for CV7202 in the fourth quarter of 2018. This ongoing non-randomized, open label Phase 1 clinical trial evaluates safety, including reactogenicity, and immunogenicity after one and two doses of investigational Rabies vaccine CV7202, administered intramuscularly in healthy adults 18 to 40 years of age, at different doses. A control group received Rabipur according to the standard schedule. The primary endpoint is the assessment of safety and the key secondary endpoint assesses the proportion of subjects with a protective immune response as defined by WHO as rabies-specific serum VNTs ≥0.5 IU/ml.</w:t>
      </w:r>
    </w:p>
    <w:p>
      <w:pPr>
        <w:spacing w:after="0" w:line="195"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Key inclusion criteria:</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Subjects must satisfy the following criteria at trial entry:</w:t>
      </w:r>
    </w:p>
    <w:p>
      <w:pPr>
        <w:spacing w:after="0" w:line="117" w:lineRule="exact"/>
        <w:rPr>
          <w:sz w:val="20"/>
          <w:szCs w:val="20"/>
          <w:color w:val="auto"/>
        </w:rPr>
      </w:pPr>
    </w:p>
    <w:p>
      <w:pPr>
        <w:ind w:left="2260" w:hanging="352"/>
        <w:spacing w:after="0"/>
        <w:tabs>
          <w:tab w:leader="none" w:pos="22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Healthy male and female subjects aged 18 to 40 years; and</w:t>
      </w:r>
    </w:p>
    <w:p>
      <w:pPr>
        <w:spacing w:after="0" w:line="130" w:lineRule="exact"/>
        <w:rPr>
          <w:rFonts w:ascii="Arial" w:cs="Arial" w:eastAsia="Arial" w:hAnsi="Arial"/>
          <w:sz w:val="18"/>
          <w:szCs w:val="18"/>
          <w:color w:val="auto"/>
        </w:rPr>
      </w:pPr>
    </w:p>
    <w:p>
      <w:pPr>
        <w:ind w:left="2260" w:right="639" w:hanging="352"/>
        <w:spacing w:after="0" w:line="271" w:lineRule="auto"/>
        <w:tabs>
          <w:tab w:leader="none" w:pos="22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Physical examination and laboratory results without clinically significant findings and Body Mass Index, or BMI, ≥18.0 and ≤32.0 kg/m.</w:t>
      </w:r>
      <w:r>
        <w:rPr>
          <w:rFonts w:ascii="Arial" w:cs="Arial" w:eastAsia="Arial" w:hAnsi="Arial"/>
          <w:sz w:val="26"/>
          <w:szCs w:val="26"/>
          <w:color w:val="auto"/>
          <w:vertAlign w:val="superscript"/>
        </w:rPr>
        <w:t>2</w:t>
      </w:r>
    </w:p>
    <w:p>
      <w:pPr>
        <w:spacing w:after="0" w:line="90"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Key exclusion criteria:</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Any trial subject who meets any of the following criteria will not qualify for entry into the trial:</w:t>
      </w:r>
    </w:p>
    <w:p>
      <w:pPr>
        <w:spacing w:after="0" w:line="131" w:lineRule="exact"/>
        <w:rPr>
          <w:sz w:val="20"/>
          <w:szCs w:val="20"/>
          <w:color w:val="auto"/>
        </w:rPr>
      </w:pPr>
    </w:p>
    <w:p>
      <w:pPr>
        <w:ind w:left="2260" w:right="759" w:hanging="352"/>
        <w:spacing w:after="0" w:line="263" w:lineRule="auto"/>
        <w:tabs>
          <w:tab w:leader="none" w:pos="22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Use of any investigational or non-registered product (drug or vaccine) other than the trial vaccine within four weeks preceding the administration of the trial vaccine, or planned use during the trial period;</w:t>
      </w:r>
    </w:p>
    <w:p>
      <w:pPr>
        <w:spacing w:after="0" w:line="75" w:lineRule="exact"/>
        <w:rPr>
          <w:rFonts w:ascii="Arial" w:cs="Arial" w:eastAsia="Arial" w:hAnsi="Arial"/>
          <w:sz w:val="18"/>
          <w:szCs w:val="18"/>
          <w:color w:val="auto"/>
        </w:rPr>
      </w:pPr>
    </w:p>
    <w:p>
      <w:pPr>
        <w:ind w:left="2260" w:right="619" w:hanging="352"/>
        <w:spacing w:after="0" w:line="263" w:lineRule="auto"/>
        <w:tabs>
          <w:tab w:leader="none" w:pos="22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Receipt of any other vaccines within 14 days (for inactivated vaccines) or 28 days (for live vaccines) prior to enrollment in this trial or planned receipt of any vaccine within 28 days of any trial vaccine administration;</w:t>
      </w:r>
    </w:p>
    <w:p>
      <w:pPr>
        <w:spacing w:after="0" w:line="89" w:lineRule="exact"/>
        <w:rPr>
          <w:rFonts w:ascii="Arial" w:cs="Arial" w:eastAsia="Arial" w:hAnsi="Arial"/>
          <w:sz w:val="18"/>
          <w:szCs w:val="18"/>
          <w:color w:val="auto"/>
        </w:rPr>
      </w:pPr>
    </w:p>
    <w:p>
      <w:pPr>
        <w:ind w:left="2260" w:right="479" w:hanging="352"/>
        <w:spacing w:after="0" w:line="277" w:lineRule="auto"/>
        <w:tabs>
          <w:tab w:leader="none" w:pos="22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Receipt of any licensed or investigational rabies vaccine prior to the administration of the trial vaccine;</w:t>
      </w:r>
    </w:p>
    <w:p>
      <w:pPr>
        <w:spacing w:after="0" w:line="75" w:lineRule="exact"/>
        <w:rPr>
          <w:rFonts w:ascii="Arial" w:cs="Arial" w:eastAsia="Arial" w:hAnsi="Arial"/>
          <w:sz w:val="18"/>
          <w:szCs w:val="18"/>
          <w:color w:val="auto"/>
        </w:rPr>
      </w:pPr>
    </w:p>
    <w:p>
      <w:pPr>
        <w:ind w:left="2260" w:right="639" w:hanging="352"/>
        <w:spacing w:after="0" w:line="277" w:lineRule="auto"/>
        <w:tabs>
          <w:tab w:leader="none" w:pos="22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Administration of immunoglobulins (Igs) and/or any blood products within the three months preceding the administration of any dose of the trial vaccine; or</w:t>
      </w:r>
    </w:p>
    <w:p>
      <w:pPr>
        <w:spacing w:after="0" w:line="75" w:lineRule="exact"/>
        <w:rPr>
          <w:rFonts w:ascii="Arial" w:cs="Arial" w:eastAsia="Arial" w:hAnsi="Arial"/>
          <w:sz w:val="18"/>
          <w:szCs w:val="18"/>
          <w:color w:val="auto"/>
        </w:rPr>
      </w:pPr>
    </w:p>
    <w:p>
      <w:pPr>
        <w:ind w:left="2260" w:right="599" w:hanging="352"/>
        <w:spacing w:after="0" w:line="277" w:lineRule="auto"/>
        <w:tabs>
          <w:tab w:leader="none" w:pos="22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Known allergy to any component of CV7202 such as type I allergy to beta-lactam antibiotics or Rabipur.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876935</wp:posOffset>
            </wp:positionH>
            <wp:positionV relativeFrom="paragraph">
              <wp:posOffset>99695</wp:posOffset>
            </wp:positionV>
            <wp:extent cx="5066030" cy="13030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06603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Patient demographics:</w:t>
      </w:r>
    </w:p>
    <w:p>
      <w:pPr>
        <w:spacing w:after="0" w:line="144" w:lineRule="exact"/>
        <w:rPr>
          <w:sz w:val="20"/>
          <w:szCs w:val="20"/>
          <w:color w:val="auto"/>
        </w:rPr>
      </w:pPr>
    </w:p>
    <w:p>
      <w:pPr>
        <w:ind w:left="1260" w:right="519" w:firstLine="648"/>
        <w:spacing w:after="0" w:line="255" w:lineRule="auto"/>
        <w:rPr>
          <w:sz w:val="20"/>
          <w:szCs w:val="20"/>
          <w:color w:val="auto"/>
        </w:rPr>
      </w:pPr>
      <w:r>
        <w:rPr>
          <w:rFonts w:ascii="Arial" w:cs="Arial" w:eastAsia="Arial" w:hAnsi="Arial"/>
          <w:sz w:val="18"/>
          <w:szCs w:val="18"/>
          <w:color w:val="auto"/>
        </w:rPr>
        <w:t>As of March 16, 2020, we enrolled a total of 53 subjects in three CV7202 groups, 1μg (n=16), 2μg (n=16) and 5μg (n=10), and one Rabipur group (n=11) as control. In both the CV7202 1μg and 2μg groups, subjects received a single dose of CV7202 on Day 1 (n=8), or two doses of CV7202 on Days 1 and 29 (n=8). In the CV7202 5μg group, the 10 subjects received a single dose of CV7202 on Day 1. Of the 11 subjects enrolled in the Rabipur group received, 10 subjects received the licensed three-dose primary vaccination schedule on Days 1, 8 and 29, respectively.</w:t>
      </w:r>
    </w:p>
    <w:p>
      <w:pPr>
        <w:spacing w:after="0" w:line="38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4" w:name="page195"/>
    <w:bookmarkEnd w:id="19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Preliminary safety results:</w:t>
      </w:r>
    </w:p>
    <w:p>
      <w:pPr>
        <w:spacing w:after="0" w:line="158" w:lineRule="exact"/>
        <w:rPr>
          <w:sz w:val="20"/>
          <w:szCs w:val="20"/>
          <w:color w:val="auto"/>
        </w:rPr>
      </w:pPr>
    </w:p>
    <w:p>
      <w:pPr>
        <w:ind w:left="1260" w:right="479" w:firstLine="648"/>
        <w:spacing w:after="0" w:line="252" w:lineRule="auto"/>
        <w:rPr>
          <w:sz w:val="20"/>
          <w:szCs w:val="20"/>
          <w:color w:val="auto"/>
        </w:rPr>
      </w:pPr>
      <w:r>
        <w:rPr>
          <w:rFonts w:ascii="Arial" w:cs="Arial" w:eastAsia="Arial" w:hAnsi="Arial"/>
          <w:sz w:val="18"/>
          <w:szCs w:val="18"/>
          <w:color w:val="auto"/>
        </w:rPr>
        <w:t>Based on our preliminary data as of March 2020, a dose-dependent reactogenicity was observed in the trial. Local and systemic events were solicited for seven days after each vaccination, unsolicited events for 28 days after each vaccination and serious adverse events throughout the entire study. While all subjects in the vaccine and control groups reported at least one solicited AE, the vast majority of solicited AEs were Grade 1 or 2 in intensity and transient in nature. Grade 3 solicited AEs were experienced by none of the subjects in the CV7202 1μg and the Rabipur groups, 3/16 (19%) subjects in the CV7202 2μg group, and 7/10 (70%) subjects in the CV7202 5μg group. Grade 3 solicited local AEs were reported for 1/16 (6%) subjects in the CV7202 2μg and 1/10 (10%) subjects in the CV7202 5μg group. Grade 3 solicited systemic AEs were reported for 3/16 (19%) subjects in the CV7202 2μg group and 6/10 (60%) subjects in the CV7202 5μg group. Unsolicited AE considered as related to the vaccination increased with increasing mRNA content: from 1/8 (13%) subject after each dose in the CV7202 1μg group to 7/10 (70%) subjects in the CV7202 5μg group.</w:t>
      </w:r>
    </w:p>
    <w:p>
      <w:pPr>
        <w:spacing w:after="0" w:line="200"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Preliminary immunogenicity results:</w:t>
      </w:r>
    </w:p>
    <w:p>
      <w:pPr>
        <w:spacing w:after="0" w:line="158" w:lineRule="exact"/>
        <w:rPr>
          <w:sz w:val="20"/>
          <w:szCs w:val="20"/>
          <w:color w:val="auto"/>
        </w:rPr>
      </w:pPr>
    </w:p>
    <w:p>
      <w:pPr>
        <w:ind w:left="1260" w:right="439" w:firstLine="648"/>
        <w:spacing w:after="0" w:line="269" w:lineRule="auto"/>
        <w:rPr>
          <w:sz w:val="20"/>
          <w:szCs w:val="20"/>
          <w:color w:val="auto"/>
        </w:rPr>
      </w:pPr>
      <w:r>
        <w:rPr>
          <w:rFonts w:ascii="Arial" w:cs="Arial" w:eastAsia="Arial" w:hAnsi="Arial"/>
          <w:sz w:val="17"/>
          <w:szCs w:val="17"/>
          <w:color w:val="auto"/>
        </w:rPr>
        <w:t>Based on our preliminary data as of January 2020, after two doses of 1μg or 2μg CV7202, 28 days apart, all evaluable subjects had virus neutralizing titers, or VNTs, above the ≥0.5IU/mL level considered protective 14 days after Dose 2 (Day 43). Subjects in the CV7202 5 μg group did not receive a second dose of CV7202. Between the CV7202 1μg and 2μg groups, geometric mean titers, or GMTs, of rabies-specific VNTs after the first dose administration showed a dose-dependent increase but, in the majority of subjects, remained below the antibody level recommended by the WHO as an adequate response to vaccination (≥0.5IU/mL), considered to be protective. No further dose-dependent increase was observed in the rabies-specific-VNTs following a single dose of 5μg CV7202, potentially confirming the hypothesis that they were partially suppressed by the higher than expected innate immune response. Values less than the lower limit of quantification, or LLOQ, are shown as half LLOQ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118110</wp:posOffset>
            </wp:positionV>
            <wp:extent cx="4663440" cy="21342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663440"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CV7202 Preclinical Data</w:t>
      </w:r>
    </w:p>
    <w:p>
      <w:pPr>
        <w:spacing w:after="0" w:line="158" w:lineRule="exact"/>
        <w:rPr>
          <w:sz w:val="20"/>
          <w:szCs w:val="20"/>
          <w:color w:val="auto"/>
        </w:rPr>
      </w:pPr>
    </w:p>
    <w:p>
      <w:pPr>
        <w:ind w:left="1260" w:right="539" w:firstLine="648"/>
        <w:spacing w:after="0" w:line="255" w:lineRule="auto"/>
        <w:rPr>
          <w:sz w:val="20"/>
          <w:szCs w:val="20"/>
          <w:color w:val="auto"/>
        </w:rPr>
      </w:pPr>
      <w:r>
        <w:rPr>
          <w:rFonts w:ascii="Arial" w:cs="Arial" w:eastAsia="Arial" w:hAnsi="Arial"/>
          <w:sz w:val="18"/>
          <w:szCs w:val="18"/>
          <w:color w:val="auto"/>
        </w:rPr>
        <w:t>In preclinical studies, we have shown that optimized formulation leads to more robust immune responses to multiple antigens and higher VNTs. CV7202 was found to be highly potent in multiple animal studies, and protected against the rabies virus infection in non-human primates. CV7202 leads to rapid generation of neutralizing antibodies that exceed the threshold agreed upon by the WHO for rabies protection. These results, obtained after a single administration in non-human primates, were sustained at high levels through at least 344 days post vaccination.</w:t>
      </w:r>
    </w:p>
    <w:p>
      <w:pPr>
        <w:spacing w:after="0" w:line="36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5" w:name="page196"/>
    <w:bookmarkEnd w:id="19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600"/>
        <w:spacing w:after="0"/>
        <w:rPr>
          <w:sz w:val="20"/>
          <w:szCs w:val="20"/>
          <w:color w:val="auto"/>
        </w:rPr>
      </w:pPr>
      <w:r>
        <w:rPr>
          <w:rFonts w:ascii="Arial" w:cs="Arial" w:eastAsia="Arial" w:hAnsi="Arial"/>
          <w:sz w:val="16"/>
          <w:szCs w:val="16"/>
          <w:b w:val="1"/>
          <w:bCs w:val="1"/>
          <w:color w:val="auto"/>
        </w:rPr>
        <w:t>CV7202 Induces Rabies-Neutralizing Antibodies After Single Administration in Non-Human Primates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954405</wp:posOffset>
            </wp:positionH>
            <wp:positionV relativeFrom="paragraph">
              <wp:posOffset>151765</wp:posOffset>
            </wp:positionV>
            <wp:extent cx="4911725" cy="225488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911725" cy="225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CV-SSIV: Influenza Vaccine</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Disease Overview</w:t>
      </w:r>
    </w:p>
    <w:p>
      <w:pPr>
        <w:spacing w:after="0" w:line="144" w:lineRule="exact"/>
        <w:rPr>
          <w:sz w:val="20"/>
          <w:szCs w:val="20"/>
          <w:color w:val="auto"/>
        </w:rPr>
      </w:pPr>
    </w:p>
    <w:p>
      <w:pPr>
        <w:ind w:left="1260" w:right="499" w:firstLine="648"/>
        <w:spacing w:after="0" w:line="255" w:lineRule="auto"/>
        <w:rPr>
          <w:sz w:val="20"/>
          <w:szCs w:val="20"/>
          <w:color w:val="auto"/>
        </w:rPr>
      </w:pPr>
      <w:r>
        <w:rPr>
          <w:rFonts w:ascii="Arial" w:cs="Arial" w:eastAsia="Arial" w:hAnsi="Arial"/>
          <w:sz w:val="18"/>
          <w:szCs w:val="18"/>
          <w:color w:val="auto"/>
        </w:rPr>
        <w:t>Influenza is a highly contagious virus that causes mild to severe respiratory virus that can lead to death. According to the CDC, the burden of illness during the 2018-2019 season was estimated to include approximately 35.5 million people getting sick with influenza, 16.5 million people going to a healthcare provider for their illness, 490,600 hospitalizations, and 34,200 deaths from influenza in the United States. The WHO reports that globally there are as many as five million severe influenza cases annually, leading to as many as 650,000 deaths.</w:t>
      </w:r>
    </w:p>
    <w:p>
      <w:pPr>
        <w:spacing w:after="0" w:line="192"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Limitations of Current Influenza Vaccines</w:t>
      </w:r>
    </w:p>
    <w:p>
      <w:pPr>
        <w:spacing w:after="0" w:line="158" w:lineRule="exact"/>
        <w:rPr>
          <w:sz w:val="20"/>
          <w:szCs w:val="20"/>
          <w:color w:val="auto"/>
        </w:rPr>
      </w:pPr>
    </w:p>
    <w:p>
      <w:pPr>
        <w:ind w:left="1260" w:right="419" w:firstLine="648"/>
        <w:spacing w:after="0" w:line="269" w:lineRule="auto"/>
        <w:rPr>
          <w:sz w:val="20"/>
          <w:szCs w:val="20"/>
          <w:color w:val="auto"/>
        </w:rPr>
      </w:pPr>
      <w:r>
        <w:rPr>
          <w:rFonts w:ascii="Arial" w:cs="Arial" w:eastAsia="Arial" w:hAnsi="Arial"/>
          <w:sz w:val="17"/>
          <w:szCs w:val="17"/>
          <w:color w:val="auto"/>
        </w:rPr>
        <w:t>Influenza viral infections can be prevented by vaccination although there are several limitations associated with current flu vaccines. Flu vaccines are not always effective, primarily because the influenza virus and its associated antigens undergo mutations or changes in its sequence over short periods of time, which is called antigenic drift. Vaccines that are developed for the predominant strain infecting people can be rendered ineffective as the virus mutates as it passes from person to person. The process of developing a standard traditional vaccine typically takes approximately eight months from strain identification to doctor’s office availability, increasing the likelihood that a significant pool of viruses circulating will be poorly recognized by antibodies in vaccinated individuals. Additionally, vaccine efficacy tends to wane over time. For these reasons, vaccination of the target population needs to be repeated every year before the start of the next influenza season, putting a significant burden on the health system. Furthermore, only a part of the population targeted to get the yearly shot is vaccinated each year, leaving many individuals unprotected.</w:t>
      </w:r>
    </w:p>
    <w:p>
      <w:pPr>
        <w:spacing w:after="0" w:line="182"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Our Approach to Influenza Vaccine</w:t>
      </w:r>
    </w:p>
    <w:p>
      <w:pPr>
        <w:spacing w:after="0" w:line="144" w:lineRule="exact"/>
        <w:rPr>
          <w:sz w:val="20"/>
          <w:szCs w:val="20"/>
          <w:color w:val="auto"/>
        </w:rPr>
      </w:pPr>
    </w:p>
    <w:p>
      <w:pPr>
        <w:ind w:left="1260" w:right="519" w:firstLine="648"/>
        <w:spacing w:after="0" w:line="275" w:lineRule="auto"/>
        <w:rPr>
          <w:sz w:val="20"/>
          <w:szCs w:val="20"/>
          <w:color w:val="auto"/>
        </w:rPr>
      </w:pPr>
      <w:r>
        <w:rPr>
          <w:rFonts w:ascii="Arial" w:cs="Arial" w:eastAsia="Arial" w:hAnsi="Arial"/>
          <w:sz w:val="17"/>
          <w:szCs w:val="17"/>
          <w:color w:val="auto"/>
        </w:rPr>
        <w:t>We believe that there is a significant market for a more and broader effective vaccine for influenza that protects over several seasons and that, in case of exceptional changes in the circulating strains, could also be customized to include specific and multiple new strains. We believe that our platform offers the potential for the rapid development of safe and effective vaccines. We believe that the mRNA-based vaccines allows us to address several of the limitations of the currently available seasonal vaccines.</w:t>
      </w:r>
    </w:p>
    <w:p>
      <w:pPr>
        <w:spacing w:after="0" w:line="10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We believe key potential advantages of our approach to traditional seasonal vaccines include:</w:t>
      </w:r>
    </w:p>
    <w:p>
      <w:pPr>
        <w:spacing w:after="0" w:line="117" w:lineRule="exact"/>
        <w:rPr>
          <w:sz w:val="20"/>
          <w:szCs w:val="20"/>
          <w:color w:val="auto"/>
        </w:rPr>
      </w:pPr>
    </w:p>
    <w:p>
      <w:pPr>
        <w:ind w:left="2260" w:right="559" w:hanging="352"/>
        <w:spacing w:after="0" w:line="308" w:lineRule="auto"/>
        <w:tabs>
          <w:tab w:leader="none" w:pos="22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Commercial seasonal vaccines usually contain three to four strains of the virus and may offer limited protection as the virus mutates. Adding more strains or further antigens, which can</w:t>
      </w:r>
    </w:p>
    <w:p>
      <w:pPr>
        <w:sectPr>
          <w:pgSz w:w="11900" w:h="16838" w:orient="portrait"/>
          <w:cols w:equalWidth="0" w:num="1">
            <w:col w:w="9879"/>
          </w:cols>
          <w:pgMar w:left="580" w:top="132" w:right="1440" w:bottom="1440" w:gutter="0" w:footer="0" w:header="0"/>
        </w:sectPr>
      </w:pPr>
    </w:p>
    <w:p>
      <w:pPr>
        <w:spacing w:after="0" w:line="335"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6" w:name="page197"/>
    <w:bookmarkEnd w:id="19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60" w:right="519"/>
        <w:spacing w:after="0" w:line="261" w:lineRule="auto"/>
        <w:rPr>
          <w:sz w:val="20"/>
          <w:szCs w:val="20"/>
          <w:color w:val="auto"/>
        </w:rPr>
      </w:pPr>
      <w:r>
        <w:rPr>
          <w:rFonts w:ascii="Arial" w:cs="Arial" w:eastAsia="Arial" w:hAnsi="Arial"/>
          <w:sz w:val="18"/>
          <w:szCs w:val="18"/>
          <w:color w:val="auto"/>
        </w:rPr>
        <w:t>increase or broaden the level of protection conferred by the vaccine, might be an advantage of an mRNA-based vaccine.</w:t>
      </w:r>
    </w:p>
    <w:p>
      <w:pPr>
        <w:spacing w:after="0" w:line="63" w:lineRule="exact"/>
        <w:rPr>
          <w:sz w:val="20"/>
          <w:szCs w:val="20"/>
          <w:color w:val="auto"/>
        </w:rPr>
      </w:pPr>
    </w:p>
    <w:p>
      <w:pPr>
        <w:ind w:left="2260" w:right="439" w:hanging="352"/>
        <w:spacing w:after="0" w:line="257" w:lineRule="auto"/>
        <w:tabs>
          <w:tab w:leader="none" w:pos="22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mRNA-based vaccines offer greater production flexibility to adapt to circulating seasonal strains. An mRNA influenza vaccine can be generally produced in under three months from strain identification to a finished GMP product. This rapid vaccine development process would allow treatment of a larger fraction of patients before too many changes are introduced by viral mutations.</w:t>
      </w:r>
    </w:p>
    <w:p>
      <w:pPr>
        <w:spacing w:after="0" w:line="79" w:lineRule="exact"/>
        <w:rPr>
          <w:rFonts w:ascii="Arial" w:cs="Arial" w:eastAsia="Arial" w:hAnsi="Arial"/>
          <w:sz w:val="18"/>
          <w:szCs w:val="18"/>
          <w:color w:val="auto"/>
        </w:rPr>
      </w:pPr>
    </w:p>
    <w:p>
      <w:pPr>
        <w:jc w:val="both"/>
        <w:ind w:left="2260" w:right="599" w:hanging="352"/>
        <w:spacing w:after="0" w:line="263" w:lineRule="auto"/>
        <w:tabs>
          <w:tab w:leader="none" w:pos="22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Traditional egg-produced vaccines rely upon high-yielding production strains and often have to contend with egg-adaptation during passage, neither aspects are an issue for mRNA-based vaccination.</w:t>
      </w:r>
    </w:p>
    <w:p>
      <w:pPr>
        <w:spacing w:after="0" w:line="103" w:lineRule="exact"/>
        <w:rPr>
          <w:sz w:val="20"/>
          <w:szCs w:val="20"/>
          <w:color w:val="auto"/>
        </w:rPr>
      </w:pPr>
    </w:p>
    <w:p>
      <w:pPr>
        <w:ind w:left="1260" w:right="479" w:firstLine="648"/>
        <w:spacing w:after="0" w:line="254" w:lineRule="auto"/>
        <w:rPr>
          <w:sz w:val="20"/>
          <w:szCs w:val="20"/>
          <w:color w:val="auto"/>
        </w:rPr>
      </w:pPr>
      <w:r>
        <w:rPr>
          <w:rFonts w:ascii="Arial" w:cs="Arial" w:eastAsia="Arial" w:hAnsi="Arial"/>
          <w:sz w:val="17"/>
          <w:szCs w:val="17"/>
          <w:color w:val="auto"/>
        </w:rPr>
        <w:t>We are also developing a Supra Seasonal Influenza Vaccine, or SSIV. We believe that the initial step towards the development of a SSIV is the development of a multivalent, improved seasonal influenza vaccine. Based on performance of our mRNA next-generation influenza vaccine in preclinical studies, including broadening and persistence of immunity, this multivalent formulation could be considered a first-generation multi-year, supra-seasonal influenza vaccine. The characteristics for the mRNA-based seasonal influenza vaccines are a building block in the development of a SSIV where the induction of long-lasting, potent antibody responses, and the possibility to combine several antigens in one vaccine formulation in the absence of antigenic interference are key pre-requisites.</w:t>
      </w:r>
    </w:p>
    <w:p>
      <w:pPr>
        <w:spacing w:after="0" w:line="181"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CV-SSIV Overview</w:t>
      </w:r>
    </w:p>
    <w:p>
      <w:pPr>
        <w:spacing w:after="0" w:line="158" w:lineRule="exact"/>
        <w:rPr>
          <w:sz w:val="20"/>
          <w:szCs w:val="20"/>
          <w:color w:val="auto"/>
        </w:rPr>
      </w:pPr>
    </w:p>
    <w:p>
      <w:pPr>
        <w:ind w:left="1260" w:right="459" w:firstLine="648"/>
        <w:spacing w:after="0" w:line="241" w:lineRule="auto"/>
        <w:rPr>
          <w:sz w:val="20"/>
          <w:szCs w:val="20"/>
          <w:color w:val="auto"/>
        </w:rPr>
      </w:pPr>
      <w:r>
        <w:rPr>
          <w:rFonts w:ascii="Arial" w:cs="Arial" w:eastAsia="Arial" w:hAnsi="Arial"/>
          <w:sz w:val="18"/>
          <w:szCs w:val="18"/>
          <w:color w:val="auto"/>
        </w:rPr>
        <w:t>Our CV-SSIV contains a mixture of antigens derived from hemagglutinin, or HA, and neuraminidase, or NA, constructs, all from seasonal strains recommended by the WHO, targeting both Influenza A and B strains. The inclusion of NA supports a vaccine with extended breadth, given that NA is more conserved compared to HA, and has the potential to confer protection against drifted seasonal but also pandemic strains in upcoming seasons.</w:t>
      </w:r>
    </w:p>
    <w:p>
      <w:pPr>
        <w:spacing w:after="0" w:line="189"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Preclinical Data for CV-SSIV</w:t>
      </w:r>
    </w:p>
    <w:p>
      <w:pPr>
        <w:spacing w:after="0" w:line="158" w:lineRule="exact"/>
        <w:rPr>
          <w:sz w:val="20"/>
          <w:szCs w:val="20"/>
          <w:color w:val="auto"/>
        </w:rPr>
      </w:pPr>
    </w:p>
    <w:p>
      <w:pPr>
        <w:ind w:left="1260" w:right="419" w:firstLine="648"/>
        <w:spacing w:after="0" w:line="243" w:lineRule="auto"/>
        <w:rPr>
          <w:sz w:val="20"/>
          <w:szCs w:val="20"/>
          <w:color w:val="auto"/>
        </w:rPr>
      </w:pPr>
      <w:r>
        <w:rPr>
          <w:rFonts w:ascii="Arial" w:cs="Arial" w:eastAsia="Arial" w:hAnsi="Arial"/>
          <w:sz w:val="18"/>
          <w:szCs w:val="18"/>
          <w:color w:val="auto"/>
        </w:rPr>
        <w:t>As part of our influenza program, we have evaluated mRNA-based influenza vaccines starting with a monovalent influenza vaccine followed by several seasonal multivalent influenza vaccines. Our preclinical experiments have shown that we can encode for multiple targets in our cocktail mRNA vaccines without experiencing immuno-dominance.</w:t>
      </w:r>
    </w:p>
    <w:p>
      <w:pPr>
        <w:spacing w:after="0" w:line="107" w:lineRule="exact"/>
        <w:rPr>
          <w:sz w:val="20"/>
          <w:szCs w:val="20"/>
          <w:color w:val="auto"/>
        </w:rPr>
      </w:pPr>
    </w:p>
    <w:p>
      <w:pPr>
        <w:ind w:left="1260" w:right="439" w:firstLine="648"/>
        <w:spacing w:after="0" w:line="238" w:lineRule="auto"/>
        <w:rPr>
          <w:sz w:val="20"/>
          <w:szCs w:val="20"/>
          <w:color w:val="auto"/>
        </w:rPr>
      </w:pPr>
      <w:r>
        <w:rPr>
          <w:rFonts w:ascii="Arial" w:cs="Arial" w:eastAsia="Arial" w:hAnsi="Arial"/>
          <w:sz w:val="18"/>
          <w:szCs w:val="18"/>
          <w:color w:val="auto"/>
        </w:rPr>
        <w:t>In these preclinical studies, it was demonstrated that our vaccines induced hemagglutinin-inhibition, or HI, titers above the accepted threshold for protective immunity in ferrets. The immunogenicity of the seasonal influenza vaccine was further evaluated in ferrets testing the breadth of antibody response against historic seasonal viral strains. The HI titer induced by mRNA vaccination against specific isolates were comparable to Fluad produced for the same season. Fluad is the only licensed adjuvanted seasonal influenza vaccine and has been shown to outperform standard of care split vaccine in older adults and very young children. Retrospective studies of the past season could not show a difference between both types of vaccine.</w:t>
      </w:r>
    </w:p>
    <w:p>
      <w:pPr>
        <w:spacing w:after="0" w:line="126" w:lineRule="exact"/>
        <w:rPr>
          <w:sz w:val="20"/>
          <w:szCs w:val="20"/>
          <w:color w:val="auto"/>
        </w:rPr>
      </w:pPr>
    </w:p>
    <w:p>
      <w:pPr>
        <w:ind w:left="1260" w:right="499" w:firstLine="648"/>
        <w:spacing w:after="0" w:line="254" w:lineRule="auto"/>
        <w:rPr>
          <w:sz w:val="20"/>
          <w:szCs w:val="20"/>
          <w:color w:val="auto"/>
        </w:rPr>
      </w:pPr>
      <w:r>
        <w:rPr>
          <w:rFonts w:ascii="Arial" w:cs="Arial" w:eastAsia="Arial" w:hAnsi="Arial"/>
          <w:sz w:val="17"/>
          <w:szCs w:val="17"/>
          <w:color w:val="auto"/>
        </w:rPr>
        <w:t>In immunogenicity studies in ferrets, our multivalent influenza vaccine candidate 2, showed no antigenic interference as judged by HI titer due to the addition of more antigens to multivalent influenza vaccine candidate 1. HI titer against influenza A virus strains were over 1:40 and neutralizing antibody against influenza B virus were detected using a microneutralization assay. Additionally, functional anti-NA antibodies were induced against influenza A strains analyzed using an assay and titers were comparable to Fluad. Overall, the immune response to influenza A virus were comparable to Fluad, whereas the responses to influenza B virus were lower for our multivalent vaccine candidate 2 than for Fluad. We anticipate that this response will be significantly enhanced in humans who are influenza pre-immune.</w:t>
      </w:r>
    </w:p>
    <w:p>
      <w:pPr>
        <w:spacing w:after="0" w:line="113" w:lineRule="exact"/>
        <w:rPr>
          <w:sz w:val="20"/>
          <w:szCs w:val="20"/>
          <w:color w:val="auto"/>
        </w:rPr>
      </w:pPr>
    </w:p>
    <w:p>
      <w:pPr>
        <w:ind w:left="1260" w:right="579" w:firstLine="648"/>
        <w:spacing w:after="0" w:line="241" w:lineRule="auto"/>
        <w:rPr>
          <w:sz w:val="20"/>
          <w:szCs w:val="20"/>
          <w:color w:val="auto"/>
        </w:rPr>
      </w:pPr>
      <w:r>
        <w:rPr>
          <w:rFonts w:ascii="Arial" w:cs="Arial" w:eastAsia="Arial" w:hAnsi="Arial"/>
          <w:sz w:val="18"/>
          <w:szCs w:val="18"/>
          <w:color w:val="auto"/>
        </w:rPr>
        <w:t>As shown in the figure below, the seasonal multivalent vaccine candidate 2 was tested in a ferret challenge infection model. Ferrets were vaccinated with influenza mRNA vaccine candidate two delivered using LNPs or the licensed vaccine Vaxigrip (left light blue column) and adjuvanted vaccine Fluad (right light blue column) via needle-based injection on day 0 and 21 (2-dose regimen). Values from individual animals</w:t>
      </w:r>
    </w:p>
    <w:p>
      <w:pPr>
        <w:spacing w:after="0" w:line="36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7" w:name="page198"/>
    <w:bookmarkEnd w:id="19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39"/>
        <w:spacing w:after="0" w:line="259" w:lineRule="auto"/>
        <w:rPr>
          <w:sz w:val="20"/>
          <w:szCs w:val="20"/>
          <w:color w:val="auto"/>
        </w:rPr>
      </w:pPr>
      <w:r>
        <w:rPr>
          <w:rFonts w:ascii="Arial" w:cs="Arial" w:eastAsia="Arial" w:hAnsi="Arial"/>
          <w:sz w:val="17"/>
          <w:szCs w:val="17"/>
          <w:color w:val="auto"/>
        </w:rPr>
        <w:t>(dots) and the median (bars) are reported for each group (buffer control grey column). Four weeks after the last vaccination, animals were challenged with influenza A via intratracheal route. Four days after infection, animals were euthanized and virology and pathology was investigated in respiratory tissues. Multivalent vaccine candidate 2 induced better protection in the ferret model than the licensed non-adjuvanted split vaccine (Vaxigrip) and showed comparable activity to the adjuvanted vaccine Fluad.</w:t>
      </w:r>
    </w:p>
    <w:p>
      <w:pPr>
        <w:spacing w:after="0" w:line="170" w:lineRule="exact"/>
        <w:rPr>
          <w:sz w:val="20"/>
          <w:szCs w:val="20"/>
          <w:color w:val="auto"/>
        </w:rPr>
      </w:pPr>
    </w:p>
    <w:p>
      <w:pPr>
        <w:jc w:val="center"/>
        <w:ind w:right="-860"/>
        <w:spacing w:after="0"/>
        <w:rPr>
          <w:sz w:val="20"/>
          <w:szCs w:val="20"/>
          <w:color w:val="auto"/>
        </w:rPr>
      </w:pPr>
      <w:r>
        <w:rPr>
          <w:rFonts w:ascii="Arial" w:cs="Arial" w:eastAsia="Arial" w:hAnsi="Arial"/>
          <w:sz w:val="17"/>
          <w:szCs w:val="17"/>
          <w:b w:val="1"/>
          <w:bCs w:val="1"/>
          <w:color w:val="auto"/>
        </w:rPr>
        <w:t>mRNA Vaccination Candidate Protected from Weight Loss and Viral Replication Comparable to the</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Adjuvanted Influenza Vaccine Fluad in Ferrets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116205</wp:posOffset>
            </wp:positionV>
            <wp:extent cx="5194935" cy="116586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194935"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60" w:right="659"/>
        <w:spacing w:after="0" w:line="215" w:lineRule="auto"/>
        <w:rPr>
          <w:sz w:val="20"/>
          <w:szCs w:val="20"/>
          <w:color w:val="auto"/>
        </w:rPr>
      </w:pPr>
      <w:r>
        <w:rPr>
          <w:rFonts w:ascii="Arial" w:cs="Arial" w:eastAsia="Arial" w:hAnsi="Arial"/>
          <w:sz w:val="17"/>
          <w:szCs w:val="17"/>
          <w:i w:val="1"/>
          <w:iCs w:val="1"/>
          <w:color w:val="auto"/>
        </w:rPr>
        <w:t>Ferrets (n=6, female) were vaccinated with a multivalent influenza LNP/mRNA vaccine or the licensed vaccine Vaxigrip and adjuvanted vaccine Fluad</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2017/2018 via i.m. needle-based injection on days 0 and</w:t>
      </w:r>
    </w:p>
    <w:p>
      <w:pPr>
        <w:spacing w:after="0" w:line="2" w:lineRule="exact"/>
        <w:rPr>
          <w:sz w:val="20"/>
          <w:szCs w:val="20"/>
          <w:color w:val="auto"/>
        </w:rPr>
      </w:pPr>
    </w:p>
    <w:p>
      <w:pPr>
        <w:ind w:left="1260" w:right="439"/>
        <w:spacing w:after="0" w:line="256" w:lineRule="auto"/>
        <w:tabs>
          <w:tab w:leader="none" w:pos="1544" w:val="left"/>
        </w:tabs>
        <w:numPr>
          <w:ilvl w:val="0"/>
          <w:numId w:val="128"/>
        </w:numPr>
        <w:rPr>
          <w:rFonts w:ascii="Arial" w:cs="Arial" w:eastAsia="Arial" w:hAnsi="Arial"/>
          <w:sz w:val="17"/>
          <w:szCs w:val="17"/>
          <w:i w:val="1"/>
          <w:iCs w:val="1"/>
          <w:color w:val="auto"/>
        </w:rPr>
      </w:pPr>
      <w:r>
        <w:rPr>
          <w:rFonts w:ascii="Arial" w:cs="Arial" w:eastAsia="Arial" w:hAnsi="Arial"/>
          <w:sz w:val="17"/>
          <w:szCs w:val="17"/>
          <w:i w:val="1"/>
          <w:iCs w:val="1"/>
          <w:color w:val="auto"/>
        </w:rPr>
        <w:t>Four weeks post last vaccination animals were challenged with 106 TCID50 of influenza A/Netherlands/602/2009 H1N1 via intratracheal route. Four days after infection, animals were euthanized and virology and pathology was investigated: in body weight (A), affected lung tissues (B) and viral titers in the lung (C). Values from individual animals (dots) and the median (bars) are reported for each group.</w:t>
      </w:r>
    </w:p>
    <w:p>
      <w:pPr>
        <w:spacing w:after="0" w:line="95" w:lineRule="exact"/>
        <w:rPr>
          <w:sz w:val="20"/>
          <w:szCs w:val="20"/>
          <w:color w:val="auto"/>
        </w:rPr>
      </w:pPr>
    </w:p>
    <w:p>
      <w:pPr>
        <w:ind w:left="1260" w:right="439" w:firstLine="648"/>
        <w:spacing w:after="0"/>
        <w:rPr>
          <w:sz w:val="20"/>
          <w:szCs w:val="20"/>
          <w:color w:val="auto"/>
        </w:rPr>
      </w:pPr>
      <w:r>
        <w:rPr>
          <w:rFonts w:ascii="Arial" w:cs="Arial" w:eastAsia="Arial" w:hAnsi="Arial"/>
          <w:sz w:val="18"/>
          <w:szCs w:val="18"/>
          <w:color w:val="auto"/>
        </w:rPr>
        <w:t>As shown in the figure below, the longevity of antibody response was evaluated in NHP immunized with a monovalent HA vaccine, Cynomolgus monkeys were vaccinated with 1 or 10 μg LNP-formulated mRNA encoding HA of influenza A via intramuscular needle-based injection on days 0 and 28. Functional antibodies were determined in the serum of the immunized animals at the indicated time points using the HI assay. Our vaccine showed HI titers above the protective threshold (&gt;1:40) for at least 1.5 years following a two-dose primary immunization series.</w:t>
      </w:r>
    </w:p>
    <w:p>
      <w:pPr>
        <w:spacing w:after="0" w:line="185"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LNP-Formulated Influenza A H1N1 HA mRNA Vaccine Induce High and Long Lasting</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Functional Antibody Titers in NHP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1948815</wp:posOffset>
            </wp:positionH>
            <wp:positionV relativeFrom="paragraph">
              <wp:posOffset>125730</wp:posOffset>
            </wp:positionV>
            <wp:extent cx="2922905" cy="170561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922905"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Respiratory Syncytial Virus (RSV) Program</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Disease Overview</w:t>
      </w:r>
    </w:p>
    <w:p>
      <w:pPr>
        <w:spacing w:after="0" w:line="158" w:lineRule="exact"/>
        <w:rPr>
          <w:sz w:val="20"/>
          <w:szCs w:val="20"/>
          <w:color w:val="auto"/>
        </w:rPr>
      </w:pPr>
    </w:p>
    <w:p>
      <w:pPr>
        <w:ind w:left="1260" w:right="499" w:firstLine="648"/>
        <w:spacing w:after="0" w:line="286" w:lineRule="auto"/>
        <w:rPr>
          <w:sz w:val="20"/>
          <w:szCs w:val="20"/>
          <w:color w:val="auto"/>
        </w:rPr>
      </w:pPr>
      <w:r>
        <w:rPr>
          <w:rFonts w:ascii="Arial" w:cs="Arial" w:eastAsia="Arial" w:hAnsi="Arial"/>
          <w:sz w:val="17"/>
          <w:szCs w:val="17"/>
          <w:color w:val="auto"/>
        </w:rPr>
        <w:t>RSV is a leading cause of respiratory disease globally. The virus causes infections at all ages but young infants have the highest incidence of severe disease. The National Institute of Allergy and Infectious Diseases estimates that by the age of two years, almost all children will have been infected with RSV in the</w:t>
      </w:r>
    </w:p>
    <w:p>
      <w:pPr>
        <w:spacing w:after="0" w:line="34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271780</wp:posOffset>
            </wp:positionV>
            <wp:extent cx="6806565"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8" w:name="page199"/>
    <w:bookmarkEnd w:id="19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19"/>
        <w:spacing w:after="0" w:line="253" w:lineRule="auto"/>
        <w:rPr>
          <w:sz w:val="20"/>
          <w:szCs w:val="20"/>
          <w:color w:val="auto"/>
        </w:rPr>
      </w:pPr>
      <w:r>
        <w:rPr>
          <w:rFonts w:ascii="Arial" w:cs="Arial" w:eastAsia="Arial" w:hAnsi="Arial"/>
          <w:sz w:val="18"/>
          <w:szCs w:val="18"/>
          <w:color w:val="auto"/>
        </w:rPr>
        <w:t>United States. Globally, RSV has been estimated to cause approximately 33 million cases of RSV-related acute lower respiratory tract infections, or LRTI, annually in children less than five years of age, with approximately three million cases requiring hospitalization, and approximately 60,000 dying from complications associated with the infection. In addition, RSV infections can be a significant problem for certain immunocompromised adults and high-risk older adults. Adults at highest risk for severe RSV infection include older adults, especially those 65 years and older, adults with chronic heart or lung disease and adults with weakened immune systems. According to the CDC, RSV is responsible for approximately 177,000 hospitalizations and 14,000 deaths annually in people over 65 years of age within the United States. Market research by GlobalData indicates that the RSV market is expected to grow from $418.6 million in 2018 to $5.39 billion by 2028 in the United States, the United Kingdom, France, Germany, Italy, Spain and Japan.</w:t>
      </w:r>
    </w:p>
    <w:p>
      <w:pPr>
        <w:spacing w:after="0" w:line="124" w:lineRule="exact"/>
        <w:rPr>
          <w:sz w:val="20"/>
          <w:szCs w:val="20"/>
          <w:color w:val="auto"/>
        </w:rPr>
      </w:pPr>
    </w:p>
    <w:p>
      <w:pPr>
        <w:ind w:left="1260" w:right="419" w:firstLine="648"/>
        <w:spacing w:after="0" w:line="257" w:lineRule="auto"/>
        <w:rPr>
          <w:sz w:val="20"/>
          <w:szCs w:val="20"/>
          <w:color w:val="auto"/>
        </w:rPr>
      </w:pPr>
      <w:r>
        <w:rPr>
          <w:rFonts w:ascii="Arial" w:cs="Arial" w:eastAsia="Arial" w:hAnsi="Arial"/>
          <w:sz w:val="18"/>
          <w:szCs w:val="18"/>
          <w:color w:val="auto"/>
        </w:rPr>
        <w:t>There are no effective RSV vaccines approved to date and the only approved prophylactic treatment is palivizumab, marketed as Synagis in the United States. Synagis is a monoclonal antibody for the prevention of RSV in premature babies or babies with underlying medical conditions of bronchopulmonary dysplasia or congenital heart disease. Synagis’s highly restrictive label, combined with the high cost of prophylactic therapy, has limited wider uptake.</w:t>
      </w:r>
    </w:p>
    <w:p>
      <w:pPr>
        <w:spacing w:after="0" w:line="188"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Historical Approaches to RSV Vaccines</w:t>
      </w:r>
    </w:p>
    <w:p>
      <w:pPr>
        <w:spacing w:after="0" w:line="158" w:lineRule="exact"/>
        <w:rPr>
          <w:sz w:val="20"/>
          <w:szCs w:val="20"/>
          <w:color w:val="auto"/>
        </w:rPr>
      </w:pPr>
    </w:p>
    <w:p>
      <w:pPr>
        <w:ind w:left="1260" w:right="619" w:firstLine="648"/>
        <w:spacing w:after="0" w:line="275" w:lineRule="auto"/>
        <w:rPr>
          <w:sz w:val="20"/>
          <w:szCs w:val="20"/>
          <w:color w:val="auto"/>
        </w:rPr>
      </w:pPr>
      <w:r>
        <w:rPr>
          <w:rFonts w:ascii="Arial" w:cs="Arial" w:eastAsia="Arial" w:hAnsi="Arial"/>
          <w:sz w:val="17"/>
          <w:szCs w:val="17"/>
          <w:color w:val="auto"/>
        </w:rPr>
        <w:t>In 1968, a formalin-inactivated whole RSV vaccine was tested for newly infected and immunized children but was not effective and resulted in vaccine-induced amplification of disease. Since the most severe cases of RSV occur in the first months of life, past approaches have focused on increasing the maternal immune response by developing maternal anti-RSV antibodies. To date, the efforts to develop maternal anti-RSV antibodies through administration of a vaccine have been unsuccessful.</w:t>
      </w:r>
    </w:p>
    <w:p>
      <w:pPr>
        <w:spacing w:after="0" w:line="95" w:lineRule="exact"/>
        <w:rPr>
          <w:sz w:val="20"/>
          <w:szCs w:val="20"/>
          <w:color w:val="auto"/>
        </w:rPr>
      </w:pPr>
    </w:p>
    <w:p>
      <w:pPr>
        <w:ind w:left="1260" w:right="439" w:firstLine="648"/>
        <w:spacing w:after="0" w:line="254" w:lineRule="auto"/>
        <w:rPr>
          <w:sz w:val="20"/>
          <w:szCs w:val="20"/>
          <w:color w:val="auto"/>
        </w:rPr>
      </w:pPr>
      <w:r>
        <w:rPr>
          <w:rFonts w:ascii="Arial" w:cs="Arial" w:eastAsia="Arial" w:hAnsi="Arial"/>
          <w:sz w:val="18"/>
          <w:szCs w:val="18"/>
          <w:color w:val="auto"/>
        </w:rPr>
        <w:t>While the reasons for the failure of RSV vaccines to protect against infection remain unclear, the lack of understanding regarding the identity of the natural protective immune response in subjects has challenged the development of an effective RSV vaccine. In certain previous clinical studies, an increase in the immune response has been detected but has not resulted in any further protection against the progression of the RSV infection. Currently, there are several vaccines for RSV in development, including subunit vaccines, attenuated vaccines, and those delivering RSV antigens by recombinant vectors such as vaccinia virus or bovine-based systems.</w:t>
      </w:r>
    </w:p>
    <w:p>
      <w:pPr>
        <w:spacing w:after="0" w:line="195"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Our Approach</w:t>
      </w:r>
    </w:p>
    <w:p>
      <w:pPr>
        <w:spacing w:after="0" w:line="158" w:lineRule="exact"/>
        <w:rPr>
          <w:sz w:val="20"/>
          <w:szCs w:val="20"/>
          <w:color w:val="auto"/>
        </w:rPr>
      </w:pPr>
    </w:p>
    <w:p>
      <w:pPr>
        <w:ind w:left="1260" w:right="579" w:firstLine="648"/>
        <w:spacing w:after="0" w:line="254" w:lineRule="auto"/>
        <w:rPr>
          <w:sz w:val="20"/>
          <w:szCs w:val="20"/>
          <w:color w:val="auto"/>
        </w:rPr>
      </w:pPr>
      <w:r>
        <w:rPr>
          <w:rFonts w:ascii="Arial" w:cs="Arial" w:eastAsia="Arial" w:hAnsi="Arial"/>
          <w:sz w:val="18"/>
          <w:szCs w:val="18"/>
          <w:color w:val="auto"/>
        </w:rPr>
        <w:t>The surface of RSV contains two glycoproteins: the attachment glycoprotein, or G, and the fusion glycoprotein, or F. Deletion of RSV G leads to a viable but attenuated virus, indicating that RSV G is not essential for viral entry. In contrast, the RSV F protein is essential to the viral replication process, as it facilitates pH-independent fusion of the viral membrane with the host-cell plasma membrane, leading to infection of the host cell. Expression of RSV F on the surface of cells can also cause fusion with neighboring cells, leading to the formation of multinucleated syncytia. The F protein is expected to induce virus neutralization titer against both subtypes of RSV A and B.</w:t>
      </w:r>
    </w:p>
    <w:p>
      <w:pPr>
        <w:spacing w:after="0" w:line="127" w:lineRule="exact"/>
        <w:rPr>
          <w:sz w:val="20"/>
          <w:szCs w:val="20"/>
          <w:color w:val="auto"/>
        </w:rPr>
      </w:pPr>
    </w:p>
    <w:p>
      <w:pPr>
        <w:ind w:left="1260" w:right="459" w:firstLine="648"/>
        <w:spacing w:after="0" w:line="254" w:lineRule="auto"/>
        <w:rPr>
          <w:sz w:val="20"/>
          <w:szCs w:val="20"/>
          <w:color w:val="auto"/>
        </w:rPr>
      </w:pPr>
      <w:r>
        <w:rPr>
          <w:rFonts w:ascii="Arial" w:cs="Arial" w:eastAsia="Arial" w:hAnsi="Arial"/>
          <w:sz w:val="18"/>
          <w:szCs w:val="18"/>
          <w:color w:val="auto"/>
        </w:rPr>
        <w:t>Our approach for the RSV program is based on delivering mRNAs encoding for the RSV F (fusion) protein. This is considered as an advantage over vaccines consisting of the glycoprotein G. Glycoprotein G determines the RSV subtypes and hence, vaccines that aims to protect against all RSV subtypes would need to include a glycoprotein from both RSV A and B each. Therefore, an approach targeting the RSV F as protective antigen has an advantage to target both RSV A and B. Consequently, we have been able to show that our vaccines encoding for RSV F induce high levels of virus neutralizing antibodies, a likely correlate of protection against RSV.</w:t>
      </w:r>
    </w:p>
    <w:p>
      <w:pPr>
        <w:spacing w:after="0" w:line="195"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Preclinical Data</w:t>
      </w:r>
    </w:p>
    <w:p>
      <w:pPr>
        <w:spacing w:after="0" w:line="144" w:lineRule="exact"/>
        <w:rPr>
          <w:sz w:val="20"/>
          <w:szCs w:val="20"/>
          <w:color w:val="auto"/>
        </w:rPr>
      </w:pPr>
    </w:p>
    <w:p>
      <w:pPr>
        <w:ind w:left="1260" w:right="519" w:firstLine="648"/>
        <w:spacing w:after="0" w:line="286" w:lineRule="auto"/>
        <w:rPr>
          <w:sz w:val="20"/>
          <w:szCs w:val="20"/>
          <w:color w:val="auto"/>
        </w:rPr>
      </w:pPr>
      <w:r>
        <w:rPr>
          <w:rFonts w:ascii="Arial" w:cs="Arial" w:eastAsia="Arial" w:hAnsi="Arial"/>
          <w:sz w:val="17"/>
          <w:szCs w:val="17"/>
          <w:color w:val="auto"/>
        </w:rPr>
        <w:t>In preclinical studies, we showed that the delivery of our mRNA-based vaccines leads to the stimulation of TLR7, thus supporting affinity maturation of antibodies. In addition, we showed that antigen delivery via mRNA mediates correct protein folding and localization. For our RSV vaccine, we also</w:t>
      </w:r>
    </w:p>
    <w:p>
      <w:pPr>
        <w:sectPr>
          <w:pgSz w:w="11900" w:h="16838" w:orient="portrait"/>
          <w:cols w:equalWidth="0" w:num="1">
            <w:col w:w="9879"/>
          </w:cols>
          <w:pgMar w:left="580" w:top="132" w:right="1440" w:bottom="1440" w:gutter="0" w:footer="0" w:header="0"/>
        </w:sectPr>
      </w:pPr>
    </w:p>
    <w:p>
      <w:pPr>
        <w:spacing w:after="0" w:line="35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9" w:name="page200"/>
    <w:bookmarkEnd w:id="19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19"/>
        <w:spacing w:after="0" w:line="279" w:lineRule="auto"/>
        <w:rPr>
          <w:sz w:val="20"/>
          <w:szCs w:val="20"/>
          <w:color w:val="auto"/>
        </w:rPr>
      </w:pPr>
      <w:r>
        <w:rPr>
          <w:rFonts w:ascii="Arial" w:cs="Arial" w:eastAsia="Arial" w:hAnsi="Arial"/>
          <w:sz w:val="17"/>
          <w:szCs w:val="17"/>
          <w:color w:val="auto"/>
        </w:rPr>
        <w:t>analyzed the potential to minimize worsening immunopathology, a phenomenon also known as vaccine-dependent disease enhancement, or VDE, that may also be relevant for other respiratory viral infections such as for the novel SARS-CoV-2. Our RSV vaccine induces a balanced immune response, thus avoiding the Th2-biased response associated with enhanced respiratory disease or VDE.</w:t>
      </w:r>
    </w:p>
    <w:p>
      <w:pPr>
        <w:spacing w:after="0" w:line="104" w:lineRule="exact"/>
        <w:rPr>
          <w:sz w:val="20"/>
          <w:szCs w:val="20"/>
          <w:color w:val="auto"/>
        </w:rPr>
      </w:pPr>
    </w:p>
    <w:p>
      <w:pPr>
        <w:ind w:left="1260" w:right="479" w:firstLine="648"/>
        <w:spacing w:after="0" w:line="253" w:lineRule="auto"/>
        <w:rPr>
          <w:sz w:val="20"/>
          <w:szCs w:val="20"/>
          <w:color w:val="auto"/>
        </w:rPr>
      </w:pPr>
      <w:r>
        <w:rPr>
          <w:rFonts w:ascii="Arial" w:cs="Arial" w:eastAsia="Arial" w:hAnsi="Arial"/>
          <w:sz w:val="18"/>
          <w:szCs w:val="18"/>
          <w:color w:val="auto"/>
        </w:rPr>
        <w:t>In preclinical studies, we have demonstrated that our vaccines encoding for RSV F induce high levels of virus neutralizing antibodies, a likely correlate of protection against RSV. In a cotton rat challenge model, our RSV vaccine was compared to formalin-inactivated virus for evaluating enhanced respiratory disease and live RSV. Cotton rats vaccinated twice at day 0 and day 28 showed high RSV neutralizing antibody titers in the serum 28, 49 or 63 days post vaccination. Animals were challenged with RSV at day 63 and subjected to histopathologic analysis at day 68. The study showed that our RSV vaccine was able to protect lungs from viral replication and significantly reduced viral titers in the nose, when measured using plaque assay five days post-RSV challenge. Evaluation of signs of VDE were analyzed by lung histopathology FI virus induced peribronchiolitis in cotton rats, which was not detectable in animals vaccinated with our RSV vaccine.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106680</wp:posOffset>
            </wp:positionV>
            <wp:extent cx="5100320" cy="46380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100320" cy="4638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260" w:right="439"/>
        <w:spacing w:after="0" w:line="257" w:lineRule="auto"/>
        <w:rPr>
          <w:sz w:val="20"/>
          <w:szCs w:val="20"/>
          <w:color w:val="auto"/>
        </w:rPr>
      </w:pPr>
      <w:r>
        <w:rPr>
          <w:rFonts w:ascii="Arial" w:cs="Arial" w:eastAsia="Arial" w:hAnsi="Arial"/>
          <w:sz w:val="18"/>
          <w:szCs w:val="18"/>
          <w:i w:val="1"/>
          <w:iCs w:val="1"/>
          <w:color w:val="auto"/>
        </w:rPr>
        <w:t>Cotton rats (n= 5 per group) were vaccinated twice (d0 and d28) as indicated. RSV neutralizing antibody titers in the serum were analyzed 28, 49 or 63 days post vaccination (top panel). Protection was assessed by measuring viral load in lung and nose at day 5 post-RSV challenge (top right panel). Lung histopathology was analyzed at day 68 after animals were challenged with RSV at day 63 (lower panel). Upper graphs show titers measured on day 63.</w:t>
      </w:r>
    </w:p>
    <w:p>
      <w:pPr>
        <w:sectPr>
          <w:pgSz w:w="11900" w:h="16838" w:orient="portrait"/>
          <w:cols w:equalWidth="0" w:num="1">
            <w:col w:w="9879"/>
          </w:cols>
          <w:pgMar w:left="580" w:top="132" w:right="1440" w:bottom="1440" w:gutter="0" w:footer="0" w:header="0"/>
        </w:sectPr>
      </w:pPr>
    </w:p>
    <w:p>
      <w:pPr>
        <w:spacing w:after="0" w:line="36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00" w:name="page201"/>
    <w:bookmarkEnd w:id="20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39" w:firstLine="648"/>
        <w:spacing w:after="0" w:line="241" w:lineRule="auto"/>
        <w:rPr>
          <w:sz w:val="20"/>
          <w:szCs w:val="20"/>
          <w:color w:val="auto"/>
        </w:rPr>
      </w:pPr>
      <w:r>
        <w:rPr>
          <w:rFonts w:ascii="Arial" w:cs="Arial" w:eastAsia="Arial" w:hAnsi="Arial"/>
          <w:sz w:val="18"/>
          <w:szCs w:val="18"/>
          <w:color w:val="auto"/>
        </w:rPr>
        <w:t>In this study RSV F encoding vaccine induced high levels of virus neutralizing antibodies, a likely correlate of protection. Functional antibody responses for mRNA vaccinated groups were higher than live virus vaccinated groups. Protection in lungs and nose are shown in the top right panel (viral titers via plaque assay five days post-RSV challenge). FI virus induces peribronchiolitis in cotton rats, which is not detectable in animals vaccinated with mRNA.</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Prophylactic Vaccines for Infectious Diseases</w:t>
      </w:r>
    </w:p>
    <w:p>
      <w:pPr>
        <w:spacing w:after="0" w:line="144" w:lineRule="exact"/>
        <w:rPr>
          <w:sz w:val="20"/>
          <w:szCs w:val="20"/>
          <w:color w:val="auto"/>
        </w:rPr>
      </w:pPr>
    </w:p>
    <w:p>
      <w:pPr>
        <w:ind w:left="1260" w:right="499" w:firstLine="648"/>
        <w:spacing w:after="0" w:line="243" w:lineRule="auto"/>
        <w:rPr>
          <w:sz w:val="20"/>
          <w:szCs w:val="20"/>
          <w:color w:val="auto"/>
        </w:rPr>
      </w:pPr>
      <w:r>
        <w:rPr>
          <w:rFonts w:ascii="Arial" w:cs="Arial" w:eastAsia="Arial" w:hAnsi="Arial"/>
          <w:sz w:val="18"/>
          <w:szCs w:val="18"/>
          <w:color w:val="auto"/>
        </w:rPr>
        <w:t>In partnership with the Bill &amp; Melinda Gates Foundation, we are developing prophylactic vaccines for prevention of other infectious diseases associated with high mortality in the developing world including malaria and rotavirus. Preclinical studies are ongoing, with encouraging results, which could lead to the decision for further clinical development of the candidate vaccines.</w:t>
      </w:r>
    </w:p>
    <w:p>
      <w:pPr>
        <w:spacing w:after="0" w:line="107" w:lineRule="exact"/>
        <w:rPr>
          <w:sz w:val="20"/>
          <w:szCs w:val="20"/>
          <w:color w:val="auto"/>
        </w:rPr>
      </w:pPr>
    </w:p>
    <w:p>
      <w:pPr>
        <w:ind w:left="1260" w:right="459" w:firstLine="648"/>
        <w:spacing w:after="0"/>
        <w:rPr>
          <w:sz w:val="20"/>
          <w:szCs w:val="20"/>
          <w:color w:val="auto"/>
        </w:rPr>
      </w:pPr>
      <w:r>
        <w:rPr>
          <w:rFonts w:ascii="Arial" w:cs="Arial" w:eastAsia="Arial" w:hAnsi="Arial"/>
          <w:sz w:val="18"/>
          <w:szCs w:val="18"/>
          <w:color w:val="auto"/>
        </w:rPr>
        <w:t>Furthermore, we are collaborating on several vaccine projects with CEPI, a public -private initiative to strengthen the vaccine research. This focuses on the development of the mRNA Printer, a mobile, automated production unit for rapid mRNA supply. This innovative platform is being designed to provide a rapid supply of LNP-formulated mRNA vaccine candidates that can target known pathogens (including Lassa fever, yellow fever and SARS-CoV-2) and prepare for rapid response to new and previously unknown pathogens.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Protein Delivery</w:t>
      </w:r>
    </w:p>
    <w:p>
      <w:pPr>
        <w:spacing w:after="0" w:line="148" w:lineRule="exact"/>
        <w:rPr>
          <w:sz w:val="20"/>
          <w:szCs w:val="20"/>
          <w:color w:val="auto"/>
        </w:rPr>
      </w:pPr>
    </w:p>
    <w:p>
      <w:pPr>
        <w:ind w:left="1260" w:right="499" w:firstLine="648"/>
        <w:spacing w:after="0" w:line="237" w:lineRule="auto"/>
        <w:rPr>
          <w:sz w:val="20"/>
          <w:szCs w:val="20"/>
          <w:color w:val="auto"/>
        </w:rPr>
      </w:pPr>
      <w:r>
        <w:rPr>
          <w:rFonts w:ascii="Arial" w:cs="Arial" w:eastAsia="Arial" w:hAnsi="Arial"/>
          <w:sz w:val="18"/>
          <w:szCs w:val="18"/>
          <w:color w:val="auto"/>
        </w:rPr>
        <w:t>mRNA-based protein supplementation offers a therapeutic approach to compensate for lack of proteins in monogenetic diseases caused by loss- of-function mutations. It offers a potentially curative treatment option, especially in diseases in which the protein is expressed predominantly in organs that can be reached by intravenous delivery (such as the liver). Despite the success of classical enzyme-replacement therapy in several metabolic disorders, this therapeutic approach is not well suited for treatment of diseases caused by the lack of functional intracellular proteins, especially if the proteins are located in or on intracellular compartments. Additionally, as therapeutic proteins are conventionally manufactured by using human, animal, or even plant cells, the pharmacological and biochemical properties of such recombinant proteins may differ from endogenously expressed enzymes. Cellular localization, folding, and post-translational modifications can especially be critical for the correct function of a therapeutic protein. Delivery of mRNA can overcome these limitations and is likely to result in expression of a functional protein at a physiological cellular location. An example of our rare disease approach is for the potential treatment of hereditary spastic paraplegia, or HSP.</w:t>
      </w:r>
    </w:p>
    <w:p>
      <w:pPr>
        <w:spacing w:after="0" w:line="191"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Hereditary Spastic Paraplegia</w:t>
      </w:r>
    </w:p>
    <w:p>
      <w:pPr>
        <w:spacing w:after="0" w:line="131" w:lineRule="exact"/>
        <w:rPr>
          <w:sz w:val="20"/>
          <w:szCs w:val="20"/>
          <w:color w:val="auto"/>
        </w:rPr>
      </w:pPr>
    </w:p>
    <w:p>
      <w:pPr>
        <w:ind w:left="1260" w:right="499" w:firstLine="648"/>
        <w:spacing w:after="0" w:line="253" w:lineRule="auto"/>
        <w:rPr>
          <w:sz w:val="20"/>
          <w:szCs w:val="20"/>
          <w:color w:val="auto"/>
        </w:rPr>
      </w:pPr>
      <w:r>
        <w:rPr>
          <w:rFonts w:ascii="Arial" w:cs="Arial" w:eastAsia="Arial" w:hAnsi="Arial"/>
          <w:sz w:val="17"/>
          <w:szCs w:val="17"/>
          <w:color w:val="auto"/>
        </w:rPr>
        <w:t>HSP is a group of inherited disorders that are characterized by progressive weakness and spasticity of the legs due to axonal degeneration of the corticospinal tract. Hereditary spastic paraplegia type 5, or SPG5, is caused by autosomal recessive loss-of-function mutations in CYP7B1, a gene encoding for the cytochrome P-450 oxysterol 7- α-hydroxylase, essential for the alternative pathway of bile acid synthesis in liver. Mutations causing SPG5 lead to decreased enzyme activity of CYP7B1 and accumulation of oxysterols in the serum, the liver, and then the central nervous system. The accumulation of hydroxyl cholesterol, or HC, in the brain is what is believed to be the pathologic correlate of this particular disease, which leads to spasms and paraplegia as symptoms. To date, no curative treatment for SPG5 is available. Current clinical treatment strategies for SPG5 are based on the reduction of cholesterol by applying cholesterol-lowering drugs (statins), which consequently lead to a reduction of oxysterols.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2034540</wp:posOffset>
            </wp:positionH>
            <wp:positionV relativeFrom="paragraph">
              <wp:posOffset>97790</wp:posOffset>
            </wp:positionV>
            <wp:extent cx="2743200" cy="13798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743200" cy="137985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01" w:name="page202"/>
    <w:bookmarkEnd w:id="20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59" w:firstLine="648"/>
        <w:spacing w:after="0" w:line="257" w:lineRule="auto"/>
        <w:rPr>
          <w:sz w:val="20"/>
          <w:szCs w:val="20"/>
          <w:color w:val="auto"/>
        </w:rPr>
      </w:pPr>
      <w:r>
        <w:rPr>
          <w:rFonts w:ascii="Arial" w:cs="Arial" w:eastAsia="Arial" w:hAnsi="Arial"/>
          <w:sz w:val="17"/>
          <w:szCs w:val="17"/>
          <w:color w:val="auto"/>
        </w:rPr>
        <w:t xml:space="preserve">Our approach is based on replacement of CYP7B1 by administration of mRNA. We have studied the intravenous application of formulated CYP7B1 mRNA in mice lacking the endogenous </w:t>
      </w:r>
      <w:r>
        <w:rPr>
          <w:rFonts w:ascii="Arial" w:cs="Arial" w:eastAsia="Arial" w:hAnsi="Arial"/>
          <w:sz w:val="17"/>
          <w:szCs w:val="17"/>
          <w:i w:val="1"/>
          <w:iCs w:val="1"/>
          <w:color w:val="auto"/>
        </w:rPr>
        <w:t>Cyp7b1</w:t>
      </w:r>
      <w:r>
        <w:rPr>
          <w:rFonts w:ascii="Arial" w:cs="Arial" w:eastAsia="Arial" w:hAnsi="Arial"/>
          <w:sz w:val="17"/>
          <w:szCs w:val="17"/>
          <w:color w:val="auto"/>
        </w:rPr>
        <w:t xml:space="preserve"> gene. Comparable to the human situation in SPG5 patients, a drastic increase of these oxysterols was detected in all three compartments (serum, liver and brain) of knockout mice. Using this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model, we were able to demonstrate that a therapeutic approach with mRNA can restore human CYP7B1 protein that exhibits physiological function and eliminates abnormal cholesterol metabolites</w:t>
      </w:r>
      <w:r>
        <w:rPr>
          <w:rFonts w:ascii="Arial" w:cs="Arial" w:eastAsia="Arial" w:hAnsi="Arial"/>
          <w:sz w:val="17"/>
          <w:szCs w:val="17"/>
          <w:i w:val="1"/>
          <w:iCs w:val="1"/>
          <w:color w:val="auto"/>
        </w:rPr>
        <w:t>.</w:t>
      </w:r>
    </w:p>
    <w:p>
      <w:pPr>
        <w:spacing w:after="0" w:line="108" w:lineRule="exact"/>
        <w:rPr>
          <w:sz w:val="20"/>
          <w:szCs w:val="20"/>
          <w:color w:val="auto"/>
        </w:rPr>
      </w:pPr>
    </w:p>
    <w:p>
      <w:pPr>
        <w:ind w:left="1260" w:right="439" w:firstLine="648"/>
        <w:spacing w:after="0" w:line="253" w:lineRule="auto"/>
        <w:rPr>
          <w:sz w:val="20"/>
          <w:szCs w:val="20"/>
          <w:color w:val="auto"/>
        </w:rPr>
      </w:pPr>
      <w:r>
        <w:rPr>
          <w:rFonts w:ascii="Arial" w:cs="Arial" w:eastAsia="Arial" w:hAnsi="Arial"/>
          <w:sz w:val="17"/>
          <w:szCs w:val="17"/>
          <w:color w:val="auto"/>
        </w:rPr>
        <w:t>As shown below, we investigated the safety and efficiency of repeated dosing with four consecutive doses of 40 μg LNP-encoded mRNA of CYP7B1 administered intravenously every five days. LNP loaded with a non- translating mRNA were applied as control (vehicle). Prior to the administration, serum samples were taken to determine basal oxysterol levels. Two days after the last injection (17 days of treatment), animals were sacrificed, and serum, liver, and brain samples were analyzed. Oxysterol analysis of these samples demonstrated a significant decrease of 25 hydroxy cholesterol, or 25 HC, in the serum and liver. mRNA expression of the human CYP7B1 in the liver led to a reduction of 25 HC in the liver by 8-fold and in serum by approximately 88%. These effects are accompanied by a reduction of the accumulation of 25 HC in the brain by more than 50%. Additionally, repetitive treatment resulted in a significant decrease of 27-HC and 3β-HCA in livers of treated compared to vehicle animals.</w:t>
      </w:r>
    </w:p>
    <w:p>
      <w:pPr>
        <w:spacing w:after="0" w:line="113" w:lineRule="exact"/>
        <w:rPr>
          <w:sz w:val="20"/>
          <w:szCs w:val="20"/>
          <w:color w:val="auto"/>
        </w:rPr>
      </w:pPr>
    </w:p>
    <w:p>
      <w:pPr>
        <w:ind w:left="1260" w:right="539" w:firstLine="648"/>
        <w:spacing w:after="0" w:line="241" w:lineRule="auto"/>
        <w:rPr>
          <w:sz w:val="20"/>
          <w:szCs w:val="20"/>
          <w:color w:val="auto"/>
        </w:rPr>
      </w:pPr>
      <w:r>
        <w:rPr>
          <w:rFonts w:ascii="Arial" w:cs="Arial" w:eastAsia="Arial" w:hAnsi="Arial"/>
          <w:sz w:val="18"/>
          <w:szCs w:val="18"/>
          <w:color w:val="auto"/>
        </w:rPr>
        <w:t>In addition, repeat intravenous delivery of CYP7B1 mRNA was found to be well tolerated in this study. Neither the CYP7B1 mRNA nor the restored protein nor the LNP induced liver toxicity. None of the treated animals presented signs of toxic or adverse effects. LNP particles encapsulating non-coding mRNA led to a temporary increase oxysterol levels (25-HC and 27-HC) in liver and serum in the vehicle group, which is expected given cholesterol is an essential component of LNPs.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945515</wp:posOffset>
            </wp:positionH>
            <wp:positionV relativeFrom="paragraph">
              <wp:posOffset>95250</wp:posOffset>
            </wp:positionV>
            <wp:extent cx="4928870" cy="11741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928870" cy="117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Lysosomal Storage Disorders</w:t>
      </w:r>
    </w:p>
    <w:p>
      <w:pPr>
        <w:spacing w:after="0" w:line="158" w:lineRule="exact"/>
        <w:rPr>
          <w:sz w:val="20"/>
          <w:szCs w:val="20"/>
          <w:color w:val="auto"/>
        </w:rPr>
      </w:pPr>
    </w:p>
    <w:p>
      <w:pPr>
        <w:ind w:left="1260" w:right="519" w:firstLine="648"/>
        <w:spacing w:after="0" w:line="261" w:lineRule="auto"/>
        <w:rPr>
          <w:sz w:val="20"/>
          <w:szCs w:val="20"/>
          <w:color w:val="auto"/>
        </w:rPr>
      </w:pPr>
      <w:r>
        <w:rPr>
          <w:rFonts w:ascii="Arial" w:cs="Arial" w:eastAsia="Arial" w:hAnsi="Arial"/>
          <w:sz w:val="18"/>
          <w:szCs w:val="18"/>
          <w:color w:val="auto"/>
        </w:rPr>
        <w:t>Lysosomal storage diseases are well-defined, single-gene disorders that are amenable to correction by systemic mRNA therapy.</w:t>
      </w:r>
    </w:p>
    <w:p>
      <w:pPr>
        <w:spacing w:after="0" w:line="90" w:lineRule="exact"/>
        <w:rPr>
          <w:sz w:val="20"/>
          <w:szCs w:val="20"/>
          <w:color w:val="auto"/>
        </w:rPr>
      </w:pPr>
    </w:p>
    <w:p>
      <w:pPr>
        <w:ind w:left="1260" w:right="479" w:firstLine="648"/>
        <w:spacing w:after="0" w:line="253" w:lineRule="auto"/>
        <w:rPr>
          <w:sz w:val="20"/>
          <w:szCs w:val="20"/>
          <w:color w:val="auto"/>
        </w:rPr>
      </w:pPr>
      <w:r>
        <w:rPr>
          <w:rFonts w:ascii="Arial" w:cs="Arial" w:eastAsia="Arial" w:hAnsi="Arial"/>
          <w:sz w:val="17"/>
          <w:szCs w:val="17"/>
          <w:color w:val="auto"/>
        </w:rPr>
        <w:t>We have conducted preclinical studies in an undisclosed lysosomal storage disease, or LSD, to evaluate LNP delivery of mRNA encoding the deficient enzyme to the liver, production of the enzyme by the liver, and subsequent secretion and systemic distribution of the enzyme to the primary organs affected by the disease. In this specific LSD, the enzyme deficiency results in a progressive accumulation of lipid in cellular lysosomes, which ultimately affect the functioning of the heart and kidneys. Enzyme replacement therapy, or ERT, which involves intravenous administration of recombinant enzyme, has been the standard of care for this specific LSD. In contrast to ERTs, our LNP mRNA technology specifically and efficiently targets the liver to naturally produce the missing enzyme, which is subsequently secreted into the bloodstream and distributed to the affected organs. In this specific LSD, the liver is not the target organ, but is used to produce the endogenous native enzyme.</w:t>
      </w:r>
    </w:p>
    <w:p>
      <w:pPr>
        <w:spacing w:after="0" w:line="113" w:lineRule="exact"/>
        <w:rPr>
          <w:sz w:val="20"/>
          <w:szCs w:val="20"/>
          <w:color w:val="auto"/>
        </w:rPr>
      </w:pPr>
    </w:p>
    <w:p>
      <w:pPr>
        <w:ind w:left="1260" w:right="439" w:firstLine="648"/>
        <w:spacing w:after="0" w:line="238" w:lineRule="auto"/>
        <w:rPr>
          <w:sz w:val="20"/>
          <w:szCs w:val="20"/>
          <w:color w:val="auto"/>
        </w:rPr>
      </w:pPr>
      <w:r>
        <w:rPr>
          <w:rFonts w:ascii="Arial" w:cs="Arial" w:eastAsia="Arial" w:hAnsi="Arial"/>
          <w:sz w:val="18"/>
          <w:szCs w:val="18"/>
          <w:color w:val="auto"/>
        </w:rPr>
        <w:t>As shown below, LNP delivered mRNA therapy produces a high and homogenous expression of the missing enzyme in the livers of knockout mice (Figure A, brownish stain). The endogenously produced enzyme is then secreted into the bloodstream with a better pharmacokinetic profile than the injected recombinant protein. The enzyme is then taken up by the target organs to be treated. In this example, the enzyme is taken up by the heart (Figure B) and kidney (Figure C) and localized into the lysosomes. Our mRNA therapy, through prolonged synthesis and secretion by the liver, led to higher enzyme activity in the organs compared to the infused recombinant enzyme (Figures B and C). This higher enzyme activity leads to a significant and prolonged reduction of accumulated lipids in the organs of mRNA-treated animals (Figure D).</w:t>
      </w: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2" w:name="page203"/>
    <w:bookmarkEnd w:id="20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537210</wp:posOffset>
            </wp:positionV>
            <wp:extent cx="5109210" cy="300863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10921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Liver-Specific Metabolic Diseases</w:t>
      </w:r>
    </w:p>
    <w:p>
      <w:pPr>
        <w:spacing w:after="0" w:line="158" w:lineRule="exact"/>
        <w:rPr>
          <w:sz w:val="20"/>
          <w:szCs w:val="20"/>
          <w:color w:val="auto"/>
        </w:rPr>
      </w:pPr>
    </w:p>
    <w:p>
      <w:pPr>
        <w:ind w:left="1260" w:right="419" w:firstLine="648"/>
        <w:spacing w:after="0" w:line="257" w:lineRule="auto"/>
        <w:rPr>
          <w:sz w:val="20"/>
          <w:szCs w:val="20"/>
          <w:color w:val="auto"/>
        </w:rPr>
      </w:pPr>
      <w:r>
        <w:rPr>
          <w:rFonts w:ascii="Arial" w:cs="Arial" w:eastAsia="Arial" w:hAnsi="Arial"/>
          <w:sz w:val="18"/>
          <w:szCs w:val="18"/>
          <w:color w:val="auto"/>
        </w:rPr>
        <w:t>We are applying a similar approach to inherited liver-specific metabolic disorders of amino acids, nitrogen, and essential nutrients. The goal of these studies is to restore the specific enzyme or protein that is deficient in the liver by LNP-mediated delivery of mRNA to the liver. As such, the target organ for correction is the liver, and secretion and systemic distribution of the enzyme or protein to other organs is not required for a therapeutic effect.</w:t>
      </w:r>
    </w:p>
    <w:p>
      <w:pPr>
        <w:spacing w:after="0" w:line="107" w:lineRule="exact"/>
        <w:rPr>
          <w:sz w:val="20"/>
          <w:szCs w:val="20"/>
          <w:color w:val="auto"/>
        </w:rPr>
      </w:pPr>
    </w:p>
    <w:p>
      <w:pPr>
        <w:jc w:val="both"/>
        <w:ind w:left="1260" w:right="739" w:firstLine="648"/>
        <w:spacing w:after="0" w:line="259" w:lineRule="auto"/>
        <w:rPr>
          <w:sz w:val="20"/>
          <w:szCs w:val="20"/>
          <w:color w:val="auto"/>
        </w:rPr>
      </w:pPr>
      <w:r>
        <w:rPr>
          <w:rFonts w:ascii="Arial" w:cs="Arial" w:eastAsia="Arial" w:hAnsi="Arial"/>
          <w:sz w:val="18"/>
          <w:szCs w:val="18"/>
          <w:color w:val="auto"/>
        </w:rPr>
        <w:t>Our ability to optimize mRNA stability and translation, in combination with optimization of the expressed protein, is an important part of our technical expertise. Using a process of mRNA and protein optimization, we believe that we are able to extend the duration of protein expression to meet a defined target product profile.</w:t>
      </w:r>
    </w:p>
    <w:p>
      <w:pPr>
        <w:spacing w:after="0" w:line="119" w:lineRule="exact"/>
        <w:rPr>
          <w:sz w:val="20"/>
          <w:szCs w:val="20"/>
          <w:color w:val="auto"/>
        </w:rPr>
      </w:pPr>
    </w:p>
    <w:p>
      <w:pPr>
        <w:jc w:val="both"/>
        <w:ind w:left="1260" w:right="659" w:firstLine="648"/>
        <w:spacing w:after="0" w:line="259" w:lineRule="auto"/>
        <w:rPr>
          <w:sz w:val="20"/>
          <w:szCs w:val="20"/>
          <w:color w:val="auto"/>
        </w:rPr>
      </w:pPr>
      <w:r>
        <w:rPr>
          <w:rFonts w:ascii="Arial" w:cs="Arial" w:eastAsia="Arial" w:hAnsi="Arial"/>
          <w:sz w:val="18"/>
          <w:szCs w:val="18"/>
          <w:color w:val="auto"/>
        </w:rPr>
        <w:t>One example of this technology is the mRNA that we are developing for a metabolic amino acid disorder. In this inherited disorder, a liver-specific intracellular enzyme is deficient resulting in decreased metabolism of the amino acid. As a result, there is a toxic build-up of the amino acid in the blood, which leads to severe consequences for the central nervous system.</w:t>
      </w:r>
    </w:p>
    <w:p>
      <w:pPr>
        <w:spacing w:after="0" w:line="119" w:lineRule="exact"/>
        <w:rPr>
          <w:sz w:val="20"/>
          <w:szCs w:val="20"/>
          <w:color w:val="auto"/>
        </w:rPr>
      </w:pPr>
    </w:p>
    <w:p>
      <w:pPr>
        <w:ind w:left="1260" w:right="579" w:firstLine="648"/>
        <w:spacing w:after="0" w:line="272" w:lineRule="auto"/>
        <w:rPr>
          <w:sz w:val="20"/>
          <w:szCs w:val="20"/>
          <w:color w:val="auto"/>
        </w:rPr>
      </w:pPr>
      <w:r>
        <w:rPr>
          <w:rFonts w:ascii="Arial" w:cs="Arial" w:eastAsia="Arial" w:hAnsi="Arial"/>
          <w:sz w:val="17"/>
          <w:szCs w:val="17"/>
          <w:color w:val="auto"/>
        </w:rPr>
        <w:t xml:space="preserve">A single intravenous injection of a liver-targeted LNP formulation containing the therapeutic mRNA leads to a marked decrease in the level of the amino acid in the sera of knockdown animals (Figure A), but also in the brain (Figure B). Several rounds of mRNA and protein optimization were subsequently performed. Improving the mRNA molecular structure during the first round of optimization prolonged the protein and its therapeutic effect (Figure A) compared to the reference mRNA. Protein optimization (Figures C and D) of the expressed target enzyme increased its expression/stability and/or activity </w:t>
      </w:r>
      <w:r>
        <w:rPr>
          <w:rFonts w:ascii="Arial" w:cs="Arial" w:eastAsia="Arial" w:hAnsi="Arial"/>
          <w:sz w:val="17"/>
          <w:szCs w:val="17"/>
          <w:i w:val="1"/>
          <w:iCs w:val="1"/>
          <w:color w:val="auto"/>
        </w:rPr>
        <w:t>in vitro</w:t>
      </w:r>
      <w:r>
        <w:rPr>
          <w:rFonts w:ascii="Arial" w:cs="Arial" w:eastAsia="Arial" w:hAnsi="Arial"/>
          <w:sz w:val="17"/>
          <w:szCs w:val="17"/>
          <w:color w:val="auto"/>
        </w:rPr>
        <w:t>. The combination of both optimization programs resulted in a candidate with improved characteristics.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3" w:name="page204"/>
    <w:bookmarkEnd w:id="20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1665605</wp:posOffset>
            </wp:positionH>
            <wp:positionV relativeFrom="paragraph">
              <wp:posOffset>537210</wp:posOffset>
            </wp:positionV>
            <wp:extent cx="3488690" cy="32315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488690" cy="323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Fibrotic Liver Diseases</w:t>
      </w:r>
    </w:p>
    <w:p>
      <w:pPr>
        <w:spacing w:after="0" w:line="144" w:lineRule="exact"/>
        <w:rPr>
          <w:sz w:val="20"/>
          <w:szCs w:val="20"/>
          <w:color w:val="auto"/>
        </w:rPr>
      </w:pPr>
    </w:p>
    <w:p>
      <w:pPr>
        <w:ind w:left="1260" w:right="419" w:firstLine="648"/>
        <w:spacing w:after="0" w:line="273" w:lineRule="auto"/>
        <w:rPr>
          <w:sz w:val="20"/>
          <w:szCs w:val="20"/>
          <w:color w:val="auto"/>
        </w:rPr>
      </w:pPr>
      <w:r>
        <w:rPr>
          <w:rFonts w:ascii="Arial" w:cs="Arial" w:eastAsia="Arial" w:hAnsi="Arial"/>
          <w:sz w:val="17"/>
          <w:szCs w:val="17"/>
          <w:color w:val="auto"/>
        </w:rPr>
        <w:t>According to published literature, chronic liver diseases cause two million deaths a year worldwide. We have shown that the delivery of liver-specific protein factors, which are down regulated in fibrosis, can resolve liver fibrosis, a key pathological feature of NAFLD, NASH, cirrhosis and hepatocellular carcinoma. Protein factor treatment of liver diseases is uniquely suited to mRNA medicines enabling the expression of intracellular proteins. Moreover, we believe that in this particular case, the LNP technology allows us to deliver mRNA almost exclusively to the target cells, hepatocytes.</w:t>
      </w:r>
    </w:p>
    <w:p>
      <w:pPr>
        <w:spacing w:after="0" w:line="110" w:lineRule="exact"/>
        <w:rPr>
          <w:sz w:val="20"/>
          <w:szCs w:val="20"/>
          <w:color w:val="auto"/>
        </w:rPr>
      </w:pPr>
    </w:p>
    <w:p>
      <w:pPr>
        <w:ind w:left="1260" w:right="459" w:firstLine="648"/>
        <w:spacing w:after="0" w:line="272" w:lineRule="auto"/>
        <w:rPr>
          <w:sz w:val="20"/>
          <w:szCs w:val="20"/>
          <w:color w:val="auto"/>
        </w:rPr>
      </w:pPr>
      <w:r>
        <w:rPr>
          <w:rFonts w:ascii="Arial" w:cs="Arial" w:eastAsia="Arial" w:hAnsi="Arial"/>
          <w:sz w:val="17"/>
          <w:szCs w:val="17"/>
          <w:color w:val="auto"/>
        </w:rPr>
        <w:t>In a CCL4 chemically-induced mouse model of liver fibrosis, we delivered eight doses of LNP-mRNA at an interval of five days at 2 mg/kg. The figure below illustrates the ability of an mRNA-delivered protein factor to reduce collagen, the main fibrotic material deposited in fibrosis, and eliminate activated stellate cells, the source of collagen (stained red). To confirm the potential activity of this mRNA therapy, we obtained similar data in two other unrelated murine models: a diet-induced model and a knockout mouse model of liver fibrosis. These findings offer preclinical proof of concept for this therapeutic concept to treat acute and chronic liver diseases, as well as diseases of other organs.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1674495</wp:posOffset>
            </wp:positionH>
            <wp:positionV relativeFrom="paragraph">
              <wp:posOffset>95885</wp:posOffset>
            </wp:positionV>
            <wp:extent cx="3471545" cy="19202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471545" cy="192024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04" w:name="page205"/>
    <w:bookmarkEnd w:id="20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Therapeutic Antibodies</w:t>
      </w:r>
    </w:p>
    <w:p>
      <w:pPr>
        <w:spacing w:after="0" w:line="158" w:lineRule="exact"/>
        <w:rPr>
          <w:sz w:val="20"/>
          <w:szCs w:val="20"/>
          <w:color w:val="auto"/>
        </w:rPr>
      </w:pPr>
    </w:p>
    <w:p>
      <w:pPr>
        <w:jc w:val="both"/>
        <w:ind w:left="1260" w:right="879" w:firstLine="648"/>
        <w:spacing w:after="0" w:line="248" w:lineRule="auto"/>
        <w:rPr>
          <w:sz w:val="20"/>
          <w:szCs w:val="20"/>
          <w:color w:val="auto"/>
        </w:rPr>
      </w:pPr>
      <w:r>
        <w:rPr>
          <w:rFonts w:ascii="Arial" w:cs="Arial" w:eastAsia="Arial" w:hAnsi="Arial"/>
          <w:sz w:val="18"/>
          <w:szCs w:val="18"/>
          <w:color w:val="auto"/>
        </w:rPr>
        <w:t>mRNA has the potential to promote expression without inducing an adverse immune response against the encoded protein. We have tested various antibodies using different designs to evaluate our platform’s potential for prophylactic and therapeutic antibodies.</w:t>
      </w:r>
    </w:p>
    <w:p>
      <w:pPr>
        <w:spacing w:after="0" w:line="114" w:lineRule="exact"/>
        <w:rPr>
          <w:sz w:val="20"/>
          <w:szCs w:val="20"/>
          <w:color w:val="auto"/>
        </w:rPr>
      </w:pPr>
    </w:p>
    <w:p>
      <w:pPr>
        <w:ind w:left="1260" w:right="459" w:firstLine="648"/>
        <w:spacing w:after="0"/>
        <w:rPr>
          <w:sz w:val="20"/>
          <w:szCs w:val="20"/>
          <w:color w:val="auto"/>
        </w:rPr>
      </w:pPr>
      <w:r>
        <w:rPr>
          <w:rFonts w:ascii="Arial" w:cs="Arial" w:eastAsia="Arial" w:hAnsi="Arial"/>
          <w:sz w:val="18"/>
          <w:szCs w:val="18"/>
          <w:color w:val="auto"/>
        </w:rPr>
        <w:t xml:space="preserve">We evaluated the use of mRNA for passive immunization in two indications, rabies and botulism, that can be considered prototypes for anti-pathogen and anti-toxin therapies, respectively. Single injections of mRNA-LNPs were sufficient to establish rapid, strong, and long-lasting serum antibody titers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thereby enabling both prophylactic and therapeutic protection against lethal rabies infection or botulinum intoxication. In both models, the high levels of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serum expression conferred full protection in pre-and post-exposure scenarios.</w:t>
      </w:r>
    </w:p>
    <w:p>
      <w:pPr>
        <w:spacing w:after="0" w:line="108" w:lineRule="exact"/>
        <w:rPr>
          <w:sz w:val="20"/>
          <w:szCs w:val="20"/>
          <w:color w:val="auto"/>
        </w:rPr>
      </w:pPr>
    </w:p>
    <w:p>
      <w:pPr>
        <w:ind w:left="1260" w:right="639" w:firstLine="648"/>
        <w:spacing w:after="0" w:line="243" w:lineRule="auto"/>
        <w:rPr>
          <w:sz w:val="20"/>
          <w:szCs w:val="20"/>
          <w:color w:val="auto"/>
        </w:rPr>
      </w:pPr>
      <w:r>
        <w:rPr>
          <w:rFonts w:ascii="Arial" w:cs="Arial" w:eastAsia="Arial" w:hAnsi="Arial"/>
          <w:sz w:val="18"/>
          <w:szCs w:val="18"/>
          <w:color w:val="auto"/>
        </w:rPr>
        <w:t>The left side of the below graphic shows that mice expressing the anti-rabies mAb survived, whereas the majority of control animals which received anti-influenza mAb mRNA succumbed. The right side of the below graphic shows that mice treated post-intoxication with VNA-BoNTA mRNA or recombinant VNA-BoNTA also survived.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1048385</wp:posOffset>
            </wp:positionH>
            <wp:positionV relativeFrom="paragraph">
              <wp:posOffset>102235</wp:posOffset>
            </wp:positionV>
            <wp:extent cx="4723130" cy="141478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723130"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260" w:right="419" w:firstLine="648"/>
        <w:spacing w:after="0" w:line="253" w:lineRule="auto"/>
        <w:rPr>
          <w:sz w:val="20"/>
          <w:szCs w:val="20"/>
          <w:color w:val="auto"/>
        </w:rPr>
      </w:pPr>
      <w:r>
        <w:rPr>
          <w:rFonts w:ascii="Arial" w:cs="Arial" w:eastAsia="Arial" w:hAnsi="Arial"/>
          <w:sz w:val="17"/>
          <w:szCs w:val="17"/>
          <w:color w:val="auto"/>
        </w:rPr>
        <w:t>We have also demonstrated that mRNA-mediated antibody expression may be effective in the field of cancer immunotherapy, where mAbs are widely used in medical practice. In a preclinical study conducted in mice, we compared the efficacy of rituximab-encoding mRNAs to recombinant rituximab. We inoculated mice intravenously with luciferase expressing Raji lymphoma cells and started treatment with 50 μg of mRNA -LNP encoding rituximab and 200 μg of recombinant rituximab at various time points. mRNA-LNPs coding for an irrelevant antibody were used as further control. Control animals revealed strong tumor cell proliferation and had to be euthanized 17 days after inoculation due to severe symptoms. As shown in the picture below, repeated administration of mRNA-LNP for rituximab strongly decelerated or even abolished tumor cell growth compared to continued tumor growth for recombinant rituximab.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100330</wp:posOffset>
            </wp:positionV>
            <wp:extent cx="1997075" cy="18859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99707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Eye Diseases</w:t>
      </w:r>
    </w:p>
    <w:p>
      <w:pPr>
        <w:spacing w:after="0" w:line="158" w:lineRule="exact"/>
        <w:rPr>
          <w:sz w:val="20"/>
          <w:szCs w:val="20"/>
          <w:color w:val="auto"/>
        </w:rPr>
      </w:pPr>
    </w:p>
    <w:p>
      <w:pPr>
        <w:ind w:left="1260" w:right="439" w:firstLine="648"/>
        <w:spacing w:after="0" w:line="291" w:lineRule="auto"/>
        <w:rPr>
          <w:sz w:val="20"/>
          <w:szCs w:val="20"/>
          <w:color w:val="auto"/>
        </w:rPr>
      </w:pPr>
      <w:r>
        <w:rPr>
          <w:rFonts w:ascii="Arial" w:cs="Arial" w:eastAsia="Arial" w:hAnsi="Arial"/>
          <w:sz w:val="17"/>
          <w:szCs w:val="17"/>
          <w:color w:val="auto"/>
        </w:rPr>
        <w:t>With the development of the CVCM delivery system, we were able to begin exploring the treatment of eye and lung diseases with mRNA therapy. We have strategic collaborations with SERI for the</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05" w:name="page206"/>
    <w:bookmarkEnd w:id="20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579"/>
        <w:spacing w:after="0" w:line="263" w:lineRule="auto"/>
        <w:rPr>
          <w:sz w:val="20"/>
          <w:szCs w:val="20"/>
          <w:color w:val="auto"/>
        </w:rPr>
      </w:pPr>
      <w:r>
        <w:rPr>
          <w:rFonts w:ascii="Arial" w:cs="Arial" w:eastAsia="Arial" w:hAnsi="Arial"/>
          <w:sz w:val="18"/>
          <w:szCs w:val="18"/>
          <w:color w:val="auto"/>
        </w:rPr>
        <w:t>development of mRNA-based treatments for currently undisclosed eye indications. We believe that the treatment of eye diseases with mRNA therapy represents an excellent opportunity for the mRNA approach for the following reasons:</w:t>
      </w:r>
    </w:p>
    <w:p>
      <w:pPr>
        <w:spacing w:after="0" w:line="103" w:lineRule="exact"/>
        <w:rPr>
          <w:sz w:val="20"/>
          <w:szCs w:val="20"/>
          <w:color w:val="auto"/>
        </w:rPr>
      </w:pPr>
    </w:p>
    <w:p>
      <w:pPr>
        <w:ind w:left="2260" w:hanging="352"/>
        <w:spacing w:after="0"/>
        <w:tabs>
          <w:tab w:leader="none" w:pos="22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Therapeutic protein can be produced directly and locally within the target tissue;</w:t>
      </w:r>
    </w:p>
    <w:p>
      <w:pPr>
        <w:spacing w:after="0" w:line="144" w:lineRule="exact"/>
        <w:rPr>
          <w:rFonts w:ascii="Arial" w:cs="Arial" w:eastAsia="Arial" w:hAnsi="Arial"/>
          <w:sz w:val="18"/>
          <w:szCs w:val="18"/>
          <w:color w:val="auto"/>
        </w:rPr>
      </w:pPr>
    </w:p>
    <w:p>
      <w:pPr>
        <w:ind w:left="2260" w:right="1179" w:hanging="352"/>
        <w:spacing w:after="0" w:line="277" w:lineRule="auto"/>
        <w:tabs>
          <w:tab w:leader="none" w:pos="22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Local treatment in the eye requires lower mRNA doses, thereby minimizing systemic exposure;</w:t>
      </w:r>
    </w:p>
    <w:p>
      <w:pPr>
        <w:spacing w:after="0" w:line="75" w:lineRule="exact"/>
        <w:rPr>
          <w:rFonts w:ascii="Arial" w:cs="Arial" w:eastAsia="Arial" w:hAnsi="Arial"/>
          <w:sz w:val="18"/>
          <w:szCs w:val="18"/>
          <w:color w:val="auto"/>
        </w:rPr>
      </w:pPr>
    </w:p>
    <w:p>
      <w:pPr>
        <w:ind w:left="2260" w:right="459" w:hanging="352"/>
        <w:spacing w:after="0" w:line="277" w:lineRule="auto"/>
        <w:tabs>
          <w:tab w:leader="none" w:pos="22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Enables production of endogenous proteins to stop or prevent pathological processes locally in the eye, such as neo-vascularization or apoptosis;</w:t>
      </w:r>
    </w:p>
    <w:p>
      <w:pPr>
        <w:spacing w:after="0" w:line="89" w:lineRule="exact"/>
        <w:rPr>
          <w:rFonts w:ascii="Arial" w:cs="Arial" w:eastAsia="Arial" w:hAnsi="Arial"/>
          <w:sz w:val="18"/>
          <w:szCs w:val="18"/>
          <w:color w:val="auto"/>
        </w:rPr>
      </w:pPr>
    </w:p>
    <w:p>
      <w:pPr>
        <w:ind w:left="2260" w:right="419" w:hanging="352"/>
        <w:spacing w:after="0" w:line="277" w:lineRule="auto"/>
        <w:tabs>
          <w:tab w:leader="none" w:pos="22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Enables expression of multi-domain intracellular or transmembrane proteins in key cells within the eye overcoming limitations of recombinant proteins;</w:t>
      </w:r>
    </w:p>
    <w:p>
      <w:pPr>
        <w:spacing w:after="0" w:line="75" w:lineRule="exact"/>
        <w:rPr>
          <w:rFonts w:ascii="Arial" w:cs="Arial" w:eastAsia="Arial" w:hAnsi="Arial"/>
          <w:sz w:val="18"/>
          <w:szCs w:val="18"/>
          <w:color w:val="auto"/>
        </w:rPr>
      </w:pPr>
    </w:p>
    <w:p>
      <w:pPr>
        <w:ind w:left="2260" w:hanging="352"/>
        <w:spacing w:after="0"/>
        <w:tabs>
          <w:tab w:leader="none" w:pos="22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 concern with potential side-effects typical for viral gene vector;</w:t>
      </w:r>
    </w:p>
    <w:p>
      <w:pPr>
        <w:spacing w:after="0" w:line="144" w:lineRule="exact"/>
        <w:rPr>
          <w:rFonts w:ascii="Arial" w:cs="Arial" w:eastAsia="Arial" w:hAnsi="Arial"/>
          <w:sz w:val="18"/>
          <w:szCs w:val="18"/>
          <w:color w:val="auto"/>
        </w:rPr>
      </w:pPr>
    </w:p>
    <w:p>
      <w:pPr>
        <w:ind w:left="2260" w:hanging="352"/>
        <w:spacing w:after="0"/>
        <w:tabs>
          <w:tab w:leader="none" w:pos="22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 mRNA construct size restrictions as with viral gene vectors; and</w:t>
      </w:r>
    </w:p>
    <w:p>
      <w:pPr>
        <w:spacing w:after="0" w:line="130" w:lineRule="exact"/>
        <w:rPr>
          <w:rFonts w:ascii="Arial" w:cs="Arial" w:eastAsia="Arial" w:hAnsi="Arial"/>
          <w:sz w:val="18"/>
          <w:szCs w:val="18"/>
          <w:color w:val="auto"/>
        </w:rPr>
      </w:pPr>
    </w:p>
    <w:p>
      <w:pPr>
        <w:ind w:left="2260" w:hanging="352"/>
        <w:spacing w:after="0"/>
        <w:tabs>
          <w:tab w:leader="none" w:pos="22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eye is an immune-privileged organ.</w:t>
      </w:r>
    </w:p>
    <w:p>
      <w:pPr>
        <w:spacing w:after="0" w:line="158" w:lineRule="exact"/>
        <w:rPr>
          <w:sz w:val="20"/>
          <w:szCs w:val="20"/>
          <w:color w:val="auto"/>
        </w:rPr>
      </w:pPr>
    </w:p>
    <w:p>
      <w:pPr>
        <w:ind w:left="1260" w:right="419" w:firstLine="648"/>
        <w:spacing w:after="0" w:line="257" w:lineRule="auto"/>
        <w:rPr>
          <w:sz w:val="20"/>
          <w:szCs w:val="20"/>
          <w:color w:val="auto"/>
        </w:rPr>
      </w:pPr>
      <w:r>
        <w:rPr>
          <w:rFonts w:ascii="Arial" w:cs="Arial" w:eastAsia="Arial" w:hAnsi="Arial"/>
          <w:sz w:val="18"/>
          <w:szCs w:val="18"/>
          <w:color w:val="auto"/>
        </w:rPr>
        <w:t>Our proprietary CVCM delivery system allows for different routes of delivery, include subretinal and intravitreal injections, of our mRNA-based medicines for the treatment of different eye diseases. The subretinal route provides access to specific cell subpopulations such as photoreceptors, while the intravitreal route allows access to larger cell populations which can be used as a local bioreactor to produce therapeutic proteins in the eye.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1871345</wp:posOffset>
            </wp:positionH>
            <wp:positionV relativeFrom="paragraph">
              <wp:posOffset>120015</wp:posOffset>
            </wp:positionV>
            <wp:extent cx="3077210" cy="18859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077210"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60" w:right="539" w:firstLine="648"/>
        <w:spacing w:after="0" w:line="279" w:lineRule="auto"/>
        <w:rPr>
          <w:sz w:val="20"/>
          <w:szCs w:val="20"/>
          <w:color w:val="auto"/>
        </w:rPr>
      </w:pPr>
      <w:r>
        <w:rPr>
          <w:rFonts w:ascii="Arial" w:cs="Arial" w:eastAsia="Arial" w:hAnsi="Arial"/>
          <w:sz w:val="17"/>
          <w:szCs w:val="17"/>
          <w:i w:val="1"/>
          <w:iCs w:val="1"/>
          <w:color w:val="auto"/>
        </w:rPr>
        <w:t xml:space="preserve">In vivo </w:t>
      </w:r>
      <w:r>
        <w:rPr>
          <w:rFonts w:ascii="Arial" w:cs="Arial" w:eastAsia="Arial" w:hAnsi="Arial"/>
          <w:sz w:val="17"/>
          <w:szCs w:val="17"/>
          <w:color w:val="auto"/>
        </w:rPr>
        <w:t>studies showed that intravitreal injection of CVCM-based mRNA formulations expressed</w:t>
      </w:r>
      <w:r>
        <w:rPr>
          <w:rFonts w:ascii="Arial" w:cs="Arial" w:eastAsia="Arial" w:hAnsi="Arial"/>
          <w:sz w:val="17"/>
          <w:szCs w:val="17"/>
          <w:i w:val="1"/>
          <w:iCs w:val="1"/>
          <w:color w:val="auto"/>
        </w:rPr>
        <w:t xml:space="preserve"> </w:t>
      </w:r>
      <w:r>
        <w:rPr>
          <w:rFonts w:ascii="Arial" w:cs="Arial" w:eastAsia="Arial" w:hAnsi="Arial"/>
          <w:sz w:val="17"/>
          <w:szCs w:val="17"/>
          <w:color w:val="auto"/>
        </w:rPr>
        <w:t>high levels of fluorescent protein in both rat and rabbit eyes. This route of administration might potentially allow the expression of secreted therapeutic proteins within the eye. Similar expression of fluorescent protein was achieved following intraretinal injection of CVCM-formulated mRNA in rats.</w:t>
      </w:r>
    </w:p>
    <w:p>
      <w:pPr>
        <w:spacing w:after="0" w:line="90" w:lineRule="exact"/>
        <w:rPr>
          <w:sz w:val="20"/>
          <w:szCs w:val="20"/>
          <w:color w:val="auto"/>
        </w:rPr>
      </w:pPr>
    </w:p>
    <w:p>
      <w:pPr>
        <w:ind w:left="1260" w:right="579" w:firstLine="648"/>
        <w:spacing w:after="0" w:line="255" w:lineRule="auto"/>
        <w:rPr>
          <w:sz w:val="20"/>
          <w:szCs w:val="20"/>
          <w:color w:val="auto"/>
        </w:rPr>
      </w:pPr>
      <w:r>
        <w:rPr>
          <w:rFonts w:ascii="Arial" w:cs="Arial" w:eastAsia="Arial" w:hAnsi="Arial"/>
          <w:sz w:val="18"/>
          <w:szCs w:val="18"/>
          <w:color w:val="auto"/>
        </w:rPr>
        <w:t>To further optimize the CVCM delivery system for ocular administration, formulations containing mRNA encoding product candidates were tested in a rat model. The animal model has been used in the development of therapeutics to treat retinal diseases. Multiple intravitreal injections of the CVCM-based mRNA formulations were well-tolerated. As shown below, administration of CVCM formulated with mRNA encoding for product candidates at a 5 μg dose showed comparable inhibitory activity to currently marketed products at the applicable labeled dose.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6" w:name="page207"/>
    <w:bookmarkEnd w:id="20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1983105</wp:posOffset>
            </wp:positionH>
            <wp:positionV relativeFrom="paragraph">
              <wp:posOffset>537210</wp:posOffset>
            </wp:positionV>
            <wp:extent cx="2854325" cy="25457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85432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619" w:firstLine="648"/>
        <w:spacing w:after="0" w:line="239" w:lineRule="auto"/>
        <w:rPr>
          <w:sz w:val="20"/>
          <w:szCs w:val="20"/>
          <w:color w:val="auto"/>
        </w:rPr>
      </w:pPr>
      <w:r>
        <w:rPr>
          <w:rFonts w:ascii="Arial" w:cs="Arial" w:eastAsia="Arial" w:hAnsi="Arial"/>
          <w:sz w:val="18"/>
          <w:szCs w:val="18"/>
          <w:color w:val="auto"/>
        </w:rPr>
        <w:t>Based on the positive preclinical data demonstrating efficient delivery of mRNA to the eye using the CVCM delivery system, the agreement and collaboration with SERI moved ahead. We believe that the clinical and research expertise in eye diseases at SERI would allow us to fully leverage our mRNA and CVCM delivery technology in the discovery and validation of eye disease targets amenable to mRNA treatment. In collaboration with SERI, a high priority rare eye condition has been identified for development. Multiple therapeutic targets have been identified for this condition and mRNAs have been generated and are currently being tested in preclinical studies.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Lung Diseases</w:t>
      </w:r>
    </w:p>
    <w:p>
      <w:pPr>
        <w:spacing w:after="0" w:line="144" w:lineRule="exact"/>
        <w:rPr>
          <w:sz w:val="20"/>
          <w:szCs w:val="20"/>
          <w:color w:val="auto"/>
        </w:rPr>
      </w:pPr>
    </w:p>
    <w:p>
      <w:pPr>
        <w:ind w:left="1260" w:right="579" w:firstLine="648"/>
        <w:spacing w:after="0" w:line="238" w:lineRule="auto"/>
        <w:rPr>
          <w:sz w:val="20"/>
          <w:szCs w:val="20"/>
          <w:color w:val="auto"/>
        </w:rPr>
      </w:pPr>
      <w:r>
        <w:rPr>
          <w:rFonts w:ascii="Arial" w:cs="Arial" w:eastAsia="Arial" w:hAnsi="Arial"/>
          <w:sz w:val="18"/>
          <w:szCs w:val="18"/>
          <w:color w:val="auto"/>
        </w:rPr>
        <w:t xml:space="preserve">The CVCM delivery system is also well suited for the delivery of mRNA to the lung administered as either an aerosol or a dry powder formulation. Proof-of-concept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animal studies showed that CVCM mRNA formulations, administrated using the intrapulmonary route, were able to transfect airway epithelial cells and produce functional therapeutic proteins in the lung. Levels of product candidate were determined in broncho-alveolar lavage fluid, or BALF, collected 12 hours after instilling different CVCM-based mRNA formulations encoding for the target protein. As shown in the below graphic, Compounds A through E showed increased levels of expressed product candidates in the murine lung compared to a control (NaCl).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1983105</wp:posOffset>
            </wp:positionH>
            <wp:positionV relativeFrom="paragraph">
              <wp:posOffset>114935</wp:posOffset>
            </wp:positionV>
            <wp:extent cx="2854325" cy="236601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85432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7" w:name="page208"/>
    <w:bookmarkEnd w:id="20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19" w:firstLine="648"/>
        <w:spacing w:after="0"/>
        <w:rPr>
          <w:sz w:val="20"/>
          <w:szCs w:val="20"/>
          <w:color w:val="auto"/>
        </w:rPr>
      </w:pPr>
      <w:r>
        <w:rPr>
          <w:rFonts w:ascii="Arial" w:cs="Arial" w:eastAsia="Arial" w:hAnsi="Arial"/>
          <w:sz w:val="18"/>
          <w:szCs w:val="18"/>
          <w:color w:val="auto"/>
        </w:rPr>
        <w:t>Our agreement with Yale University leverages Yale’s leadership in lung discovery research with our technical capability to deliver mRNA to the lung, where it would express therapeutic proteins. The goal is to discover novel molecular targets in pulmonary diseases that could potentially be treated with mRNA therapy. With the Yale investigators, we have identified a high priority pulmonary disease indication to pursue together with a novel therapeutic target for the treatment of the disease. Additional studies will explore new mRNA therapeutic targets to treat the disease.</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Competition</w:t>
      </w:r>
    </w:p>
    <w:p>
      <w:pPr>
        <w:spacing w:after="0" w:line="148" w:lineRule="exact"/>
        <w:rPr>
          <w:sz w:val="20"/>
          <w:szCs w:val="20"/>
          <w:color w:val="auto"/>
        </w:rPr>
      </w:pPr>
    </w:p>
    <w:p>
      <w:pPr>
        <w:ind w:left="1260" w:right="699" w:firstLine="648"/>
        <w:spacing w:after="0" w:line="262" w:lineRule="auto"/>
        <w:rPr>
          <w:sz w:val="20"/>
          <w:szCs w:val="20"/>
          <w:color w:val="auto"/>
        </w:rPr>
      </w:pPr>
      <w:r>
        <w:rPr>
          <w:rFonts w:ascii="Arial" w:cs="Arial" w:eastAsia="Arial" w:hAnsi="Arial"/>
          <w:sz w:val="17"/>
          <w:szCs w:val="17"/>
          <w:color w:val="auto"/>
        </w:rPr>
        <w:t>We participate in an industry that is characterized by a rapidly growing understanding of disease biology, quickly changing technologies, strong emphasis on proprietary products, and a multitude of companies involved in the creation, development and commercialization of novel therapeutics. These companies are highly sophisticated and often collaborate strategically with each other.</w:t>
      </w:r>
    </w:p>
    <w:p>
      <w:pPr>
        <w:spacing w:after="0" w:line="91" w:lineRule="exact"/>
        <w:rPr>
          <w:sz w:val="20"/>
          <w:szCs w:val="20"/>
          <w:color w:val="auto"/>
        </w:rPr>
      </w:pPr>
    </w:p>
    <w:p>
      <w:pPr>
        <w:ind w:left="1260" w:right="419" w:firstLine="648"/>
        <w:spacing w:after="0" w:line="251" w:lineRule="auto"/>
        <w:rPr>
          <w:sz w:val="20"/>
          <w:szCs w:val="20"/>
          <w:color w:val="auto"/>
        </w:rPr>
      </w:pPr>
      <w:r>
        <w:rPr>
          <w:rFonts w:ascii="Arial" w:cs="Arial" w:eastAsia="Arial" w:hAnsi="Arial"/>
          <w:sz w:val="17"/>
          <w:szCs w:val="17"/>
          <w:color w:val="auto"/>
        </w:rPr>
        <w:t>We are developing a broad portfolio of product candidates that, coupled with our capabilities across mRNA technology, development and manufacturing, we believe position us at the forefront of targeted immune active and immune silent mRNA- based medicines. However, we compete with a wide range of pharmaceutical companies, biotechnology companies, academic institutions and other research organizations for novel therapeutic targets, new technologies, talent, financial resources, intellectual property rights and collaboration opportunities. As such, many of our competitors and potential competitors have substantially greater scientific, research and product development capabilities as well as greater financial, manufacturing, marketing and human resources than we do. In addition, there is intense competition to establish clinical trial sites and register patients for clinical trials. Many specialized biotechnology firms have formed collaborations with large, established companies to support the research, development and commercialization of products that may be competitive with ours. Accordingly, our competitors may be more successful than we may be in developing, commercializing and achieving widespread market acceptance. In addition, our competitors’ products may be more effective or more effectively marketed and sold than any treatment we or our development partners may commercialize and may render our product candidates obsolete or noncompetitive before we can recover the expenses related to developing and commercializing any of our product candidates.</w:t>
      </w:r>
    </w:p>
    <w:p>
      <w:pPr>
        <w:spacing w:after="0" w:line="118" w:lineRule="exact"/>
        <w:rPr>
          <w:sz w:val="20"/>
          <w:szCs w:val="20"/>
          <w:color w:val="auto"/>
        </w:rPr>
      </w:pPr>
    </w:p>
    <w:p>
      <w:pPr>
        <w:ind w:left="1260" w:right="439" w:firstLine="648"/>
        <w:spacing w:after="0" w:line="251" w:lineRule="auto"/>
        <w:rPr>
          <w:sz w:val="20"/>
          <w:szCs w:val="20"/>
          <w:color w:val="auto"/>
        </w:rPr>
      </w:pPr>
      <w:r>
        <w:rPr>
          <w:rFonts w:ascii="Arial" w:cs="Arial" w:eastAsia="Arial" w:hAnsi="Arial"/>
          <w:sz w:val="17"/>
          <w:szCs w:val="17"/>
          <w:color w:val="auto"/>
        </w:rPr>
        <w:t>There are additional companies that are working on potential mRNA medicines. Companies with clinical programs with mRNA include BioNTech/Pfizer, Moderna, eTheRNA Immunotherapies, Translate Bio, GlaxoSmithKline Sanofi, AstraZeneca, Merck &amp; Co. and Arcturus Therapeutics and those programs include, Ethris and Genevant Sciences. Specifically, our vaccine candidate, CVnCoV, against COVID-19 is currently the main focus of other pharmaceutical companies, some with more considerable capital resources than ours. For example, a limited number of products that utilize mRNA as a prophylactic vaccine against COVID-19 have been approved by the FDA, EMA and other regulatory agencies, such as BioNTech SE and Pfizer Inc.’s mRNA immunotherapy, BNT162b2, which was granted emergency approval by the the FDA on December 11, 2020 and granted conditional marketing authorization by the EMA on December 21, 2020. Thus, we expect intense competition for our vaccine candidate from other pharmaceutical companies not limited to the field of mRNA medicines. In addition, the oncology therapeutics landscape in general is highly competitive and includes large and specialty pharmaceutical and biotechnology companies, academic research institutions and governmental agencies and public and private research institutions. It includes both competition from marketed therapies as well as potential new therapeutics in development. We may compete with products with different mechanisms of action as well as against established standards of care. We expect our intratumoral immunotherapy candidates for the treatment of solid tumors to face direct competition from companies such as Moderna and BioNTech in collaboration with Sanofi in addition to several non-mRNA based approaches.</w:t>
      </w:r>
    </w:p>
    <w:p>
      <w:pPr>
        <w:spacing w:after="0" w:line="1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Collaborations</w:t>
      </w:r>
    </w:p>
    <w:p>
      <w:pPr>
        <w:spacing w:after="0" w:line="148" w:lineRule="exact"/>
        <w:rPr>
          <w:sz w:val="20"/>
          <w:szCs w:val="20"/>
          <w:color w:val="auto"/>
        </w:rPr>
      </w:pPr>
    </w:p>
    <w:p>
      <w:pPr>
        <w:ind w:left="1260" w:right="499" w:firstLine="648"/>
        <w:spacing w:after="0" w:line="261" w:lineRule="auto"/>
        <w:rPr>
          <w:sz w:val="20"/>
          <w:szCs w:val="20"/>
          <w:color w:val="auto"/>
        </w:rPr>
      </w:pPr>
      <w:r>
        <w:rPr>
          <w:rFonts w:ascii="Arial" w:cs="Arial" w:eastAsia="Arial" w:hAnsi="Arial"/>
          <w:sz w:val="18"/>
          <w:szCs w:val="18"/>
          <w:color w:val="auto"/>
        </w:rPr>
        <w:t>We have entered into various licensing and commercialization agreements, including the following agreements with respect to product candidates:</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Collaboration and License Agreements</w:t>
      </w:r>
    </w:p>
    <w:p>
      <w:pPr>
        <w:spacing w:after="0" w:line="171"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GlaxoSmithKline Collaboration and License Agreement</w:t>
      </w:r>
    </w:p>
    <w:p>
      <w:pPr>
        <w:spacing w:after="0" w:line="144" w:lineRule="exact"/>
        <w:rPr>
          <w:sz w:val="20"/>
          <w:szCs w:val="20"/>
          <w:color w:val="auto"/>
        </w:rPr>
      </w:pPr>
    </w:p>
    <w:p>
      <w:pPr>
        <w:ind w:left="1260" w:right="739" w:firstLine="648"/>
        <w:spacing w:after="0" w:line="291" w:lineRule="auto"/>
        <w:rPr>
          <w:sz w:val="20"/>
          <w:szCs w:val="20"/>
          <w:color w:val="auto"/>
        </w:rPr>
      </w:pPr>
      <w:r>
        <w:rPr>
          <w:rFonts w:ascii="Arial" w:cs="Arial" w:eastAsia="Arial" w:hAnsi="Arial"/>
          <w:sz w:val="17"/>
          <w:szCs w:val="17"/>
          <w:color w:val="auto"/>
        </w:rPr>
        <w:t>In July 2020, we entered into the GSK Agreement, pursuant to which we are collaborating with GSK to research, develop and commercialize prophylactic and therapeutic non-replicating mRNA-based</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08" w:name="page209"/>
    <w:bookmarkEnd w:id="20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39"/>
        <w:spacing w:after="0" w:line="251" w:lineRule="auto"/>
        <w:rPr>
          <w:sz w:val="20"/>
          <w:szCs w:val="20"/>
          <w:color w:val="auto"/>
        </w:rPr>
      </w:pPr>
      <w:r>
        <w:rPr>
          <w:rFonts w:ascii="Arial" w:cs="Arial" w:eastAsia="Arial" w:hAnsi="Arial"/>
          <w:sz w:val="17"/>
          <w:szCs w:val="17"/>
          <w:color w:val="auto"/>
        </w:rPr>
        <w:t>vaccines and antibodies targeting infectious disease pathogens. Under the terms of the GSK Agreement, we granted GSK a worldwide exclusive, sublicensable (subject to certain conditions) license under certain of our intellectual property relating to vaccines and antibodies encoded by our proprietary mRNA targeting certain selected pathogens, or GSK Program Products, and a non -exclusive license under certain LNP technology to develop, manufacture and commercialize a certain number of such GSK Program Products for use in connection with the infectious diseases targeted under the GSK Agreement. We additionally granted GSK an exclusive option for a certain period to add additional products in the field of infectious diseases as GSK Program Products. GSK is permitted for a certain period to replace any of the GSK Program Products with an alternative product, up to a certain number of times, and to exchange any antigen or antibody for which we have granted GSK a license under LNP technology for an alternative antigen or antibody, up to a certain number of times. In the event we obtain rights to any intellectual property controlled by a third party that is useful but not necessary for the development, manufacture or commercialization of the GSK Program Products, we must, at GSK’s election, use commercially reasonable efforts to obtain a sublicense to such rights on behalf of GSK. Under the terms of the GSK Agreement, GSK granted us a royalty -free, non-exclusive license under certain GSK-controlled technology to perform certain development and manufacturing activities under the GSK Agreement.</w:t>
      </w:r>
    </w:p>
    <w:p>
      <w:pPr>
        <w:spacing w:after="0" w:line="118" w:lineRule="exact"/>
        <w:rPr>
          <w:sz w:val="20"/>
          <w:szCs w:val="20"/>
          <w:color w:val="auto"/>
        </w:rPr>
      </w:pPr>
    </w:p>
    <w:p>
      <w:pPr>
        <w:ind w:left="1260" w:right="439" w:firstLine="648"/>
        <w:spacing w:after="0" w:line="236" w:lineRule="auto"/>
        <w:rPr>
          <w:sz w:val="20"/>
          <w:szCs w:val="20"/>
          <w:color w:val="auto"/>
        </w:rPr>
      </w:pPr>
      <w:r>
        <w:rPr>
          <w:rFonts w:ascii="Arial" w:cs="Arial" w:eastAsia="Arial" w:hAnsi="Arial"/>
          <w:sz w:val="18"/>
          <w:szCs w:val="18"/>
          <w:color w:val="auto"/>
        </w:rPr>
        <w:t>For a certain period after the effective date, GSK has the right to reserve up to a certain number of antigens and we and our affiliates will be prohibited from granting any rights to a third party with respect to any such antigen for use in connection with infectious diseases. Under the terms of the GSK Agreement, GSK and its affiliates and sublicensees and we and our affiliates are additionally prohibited from developing, manufacturing or commercializing, directly or indirectly, any prophylactic or therapeutic mRNA-based vaccine or mRNA-based antibody targeting a pathogen targeted by a GSK Program Product, other than as contemplated under the GSK Agreement. Such exclusivity obligation will continue on a pathogen-by-pathogen basis for the duration of the GSK Agreement, so long as such pathogen is targeted by a GSK Program Product. We are additionally prohibited from granting any third party any license under the licensed LNP technology, or using such LNP technology ourselves, in connection with any GSK Program Product for so long as such GSK Program Product is being developed or commercialized under the GSK Agreement, except as contemplated under the GSK Agreement. We are additionally prohibited, for the period during which GSK’s option to license additional GSK Program Products remains outstanding, from commercializing or granting any third party the right to develop or commercialize any prophylactic or therapeutic mRNA-based vaccine or mRNA-based antibody targeting certain pathogens for use in connection with infectious diseases.</w:t>
      </w:r>
    </w:p>
    <w:p>
      <w:pPr>
        <w:spacing w:after="0" w:line="132" w:lineRule="exact"/>
        <w:rPr>
          <w:sz w:val="20"/>
          <w:szCs w:val="20"/>
          <w:color w:val="auto"/>
        </w:rPr>
      </w:pPr>
    </w:p>
    <w:p>
      <w:pPr>
        <w:ind w:left="1260" w:right="439" w:firstLine="648"/>
        <w:spacing w:after="0" w:line="251" w:lineRule="auto"/>
        <w:rPr>
          <w:sz w:val="20"/>
          <w:szCs w:val="20"/>
          <w:color w:val="auto"/>
        </w:rPr>
      </w:pPr>
      <w:r>
        <w:rPr>
          <w:rFonts w:ascii="Arial" w:cs="Arial" w:eastAsia="Arial" w:hAnsi="Arial"/>
          <w:sz w:val="17"/>
          <w:szCs w:val="17"/>
          <w:color w:val="auto"/>
        </w:rPr>
        <w:t>We and GSK are required to complete certain development activities with respect to the GSK Program Products set forth in various development plans. Among other development responsibilities, we are required to provide clinical supply and will in principle be responsible for sponsoring Phase 1 clinical trials for the GSK Program Products. We will be required to make certain manufacturing facility enhancements and, at the request of GSK, we must negotiate and agree in good faith on a commercial supply agreement pursuant to which we will reserve certain manufacturing capacity for GSK. At GSK’s request, we are required to transfer to GSK all know-how necessary for GSK’s development activities under the GSK Agreement and all know- how necessary for the manufacture of the GSK Program Products. GSK is generally responsible for development activities following completion of Phase 1 clinical trials and is required to use diligent efforts to secure marketing authorization following completion of all necessary clinical trials. GSK is responsible for the commercialization of approved GSK Program Products in all countries other than Austria, Germany and Switzerland and is required to use diligent efforts to commercialize approved GSK Program Products in certain major market countries. At our request, we and GSK will negotiate and agree in good faith to a distribution agreement pursuant to which we will have the exclusive right to commercialize GSK Program Products in Austria, Germany and Switzerland, and we will pay GSK royalties at the rate set out below. We and GSK are required to provide development data to the other party thorough a joint steering committee.</w:t>
      </w:r>
    </w:p>
    <w:p>
      <w:pPr>
        <w:spacing w:after="0" w:line="307" w:lineRule="exact"/>
        <w:rPr>
          <w:sz w:val="20"/>
          <w:szCs w:val="20"/>
          <w:color w:val="auto"/>
        </w:rPr>
      </w:pPr>
    </w:p>
    <w:p>
      <w:pPr>
        <w:ind w:left="1260" w:right="419" w:firstLine="648"/>
        <w:spacing w:after="0"/>
        <w:rPr>
          <w:sz w:val="20"/>
          <w:szCs w:val="20"/>
          <w:color w:val="auto"/>
        </w:rPr>
      </w:pPr>
      <w:r>
        <w:rPr>
          <w:rFonts w:ascii="Arial" w:cs="Arial" w:eastAsia="Arial" w:hAnsi="Arial"/>
          <w:sz w:val="18"/>
          <w:szCs w:val="18"/>
          <w:color w:val="auto"/>
        </w:rPr>
        <w:t>GSK paid us an upfront payment of €120 million and is required to pay us a manufacturing capacity reservation fee of €30 million following a certain regulatory milestone event, which is creditable against future milestone payments. We are eligible to receive up to between €28 million to €45 million in development milestone payments, €32 million to €35 million in regulatory milestone payments and €70 to €100 million in commercial milestone payments, depending on the GSK Program Product. Upon each exercise</w:t>
      </w:r>
    </w:p>
    <w:p>
      <w:pPr>
        <w:spacing w:after="0" w:line="37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9" w:name="page210"/>
    <w:bookmarkEnd w:id="20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59"/>
        <w:spacing w:after="0" w:line="267" w:lineRule="auto"/>
        <w:rPr>
          <w:sz w:val="20"/>
          <w:szCs w:val="20"/>
          <w:color w:val="auto"/>
        </w:rPr>
      </w:pPr>
      <w:r>
        <w:rPr>
          <w:rFonts w:ascii="Arial" w:cs="Arial" w:eastAsia="Arial" w:hAnsi="Arial"/>
          <w:sz w:val="17"/>
          <w:szCs w:val="17"/>
          <w:color w:val="auto"/>
        </w:rPr>
        <w:t>of its option to add additional products as GSK Program Products, GSK is required to compensate us for certain development costs and pay any accrued milestone payments. If GSK exercises its right to replace a GSK Program Product and if the replacement product was already under development by us, GSK must compensate us for certain development costs and pay any accrued milestone payments. We are eligible to receive tiered royalty payments ranging from a single-digit percentage to a low teens percentage on net sales, subject to certain customary reductions. GSK’s royalty obligations continue on a product-by-product and country-by-country basis until the later of (i) the expiration of the last to expire valid claim covering such product in such country, (ii) the earlier of expiration of regulatory exclusivity for such product in such country or 12 years following the first commercial sale of such product in such country, or (iii) ten years following the first commercial sale of such product in such country provided our proprietary know-how is required for such product. In any event, GSK’s royalty obligations with respect to a product will expire in all countries no later than 20 years following the first commercial sale of such product in any country in which GSK is responsible for the commercialization of approved GSK Program Products. GSK is required to compensate us for certain development and regulatory costs we may incur in connection with our performance of our obligations under the GSK Agreement and we are eligible to receive up to €20,000 in reimbursements for expenses incurred recording or registering the licenses granted under the GSK Agreement. Under any distribution agreement entered into between us and GSK in connection with our distribution of a GSK Program Product in Austria, Germany and Switzerland, we will be required to purchase supply from GSK and pay GSK a low thirties percentage royalty on net sales. As of September 30, 2020, we have received the upfront payment amounting to €120 million.</w:t>
      </w:r>
    </w:p>
    <w:p>
      <w:pPr>
        <w:spacing w:after="0" w:line="119" w:lineRule="exact"/>
        <w:rPr>
          <w:sz w:val="20"/>
          <w:szCs w:val="20"/>
          <w:color w:val="auto"/>
        </w:rPr>
      </w:pPr>
    </w:p>
    <w:p>
      <w:pPr>
        <w:ind w:left="1260" w:right="439" w:firstLine="648"/>
        <w:spacing w:after="0" w:line="268" w:lineRule="auto"/>
        <w:rPr>
          <w:sz w:val="20"/>
          <w:szCs w:val="20"/>
          <w:color w:val="auto"/>
        </w:rPr>
      </w:pPr>
      <w:r>
        <w:rPr>
          <w:rFonts w:ascii="Arial" w:cs="Arial" w:eastAsia="Arial" w:hAnsi="Arial"/>
          <w:sz w:val="17"/>
          <w:szCs w:val="17"/>
          <w:color w:val="auto"/>
        </w:rPr>
        <w:t>The commencement of the GSK Agreement is conditioned on completion of GSK’s equity investment in us, unless such condition is waived by either party. The term of the GSK Agreement will continue until the expiration of the last-to-expire royalty term, unless terminated earlier by either party. GSK has the right to terminate the GSK Agreement in its entirety or on a program-by-program basis for convenience following a certain notice period. We and GSK both have the right to terminate the GSK Agreement on a program-by-program basis before the first commercial sale of a GSK Program Product under such program in the event of the other party’s material breach following a cure period or after the first commercial sale of a GSK Program Product under such program if the other party fails to make any payments due, commits any willful and material breach of the restrictions on any license granted to such party, commits a material breach of its non-compete obligations or commits a persistent and material breach of its confidentiality obligations following a cure period. We additionally have the right to terminate on a program-by-program basis after the first commercial sale of a GSK Program Product under such program if GSK commits a material breach of its commercialization diligence obligations following a cure period.</w:t>
      </w:r>
    </w:p>
    <w:p>
      <w:pPr>
        <w:spacing w:after="0" w:line="119" w:lineRule="exact"/>
        <w:rPr>
          <w:sz w:val="20"/>
          <w:szCs w:val="20"/>
          <w:color w:val="auto"/>
        </w:rPr>
      </w:pPr>
    </w:p>
    <w:p>
      <w:pPr>
        <w:ind w:left="1260" w:right="439" w:firstLine="648"/>
        <w:spacing w:after="0" w:line="267" w:lineRule="auto"/>
        <w:rPr>
          <w:sz w:val="20"/>
          <w:szCs w:val="20"/>
          <w:color w:val="auto"/>
        </w:rPr>
      </w:pPr>
      <w:r>
        <w:rPr>
          <w:rFonts w:ascii="Arial" w:cs="Arial" w:eastAsia="Arial" w:hAnsi="Arial"/>
          <w:sz w:val="17"/>
          <w:szCs w:val="17"/>
          <w:color w:val="auto"/>
        </w:rPr>
        <w:t>Upon expiration, the licenses granted to GSK under the GSK Agreement will become fully paid-up, perpetual and non-exclusive. In the event GSK terminates the GSK Agreement or a program under the GSK Agreement for convenience or we terminate a program under the GSK Agreement for cause, we will have the right to elect to continue with the development and commercialization of such program ourselves. If we decline to continue with the development and commercialization of a terminated program, all licenses granted under the GSK Agreement will terminate. If we elect to continue with the development and commercialization of a terminated program, all licenses granted by us to GSK will terminate and GSK must grant us an exclusive license under any intellectual property developed under the GSK Agreement and, at our election, a non-exclusive license under technology which was used by GSK for the development, manufacture or commercialization of such terminated product. In the case of termination for GSK’s convenience and if we elect to obtain such non-exclusive license, we will be required to pay GSK a single-digit percentage royalty on net sales. In the case of our termination for cause, the grant of rights and transition of the assets from GSK will be subject to a payment to GSK to be mutually agreed by the parties. In the event GSK terminates a program under the GSK Agreement for cause, GSK will have the right to elect to continue the development and commercialization of such program. If GSK declines to continue with the development and commercialization of a terminated program, all licenses granted under the GSK Agreement will terminate. If GSK elects to continue development and commercialization, all licenses granted to GSK under the GSK Agreement will survive termination and all payment obligations will remain in effect except that GSK will have the right to suspend payments until the amount of damages suffered by GSK has been agreed and set off against such payments.</w:t>
      </w: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0" w:name="page211"/>
    <w:bookmarkEnd w:id="2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Genmab Collaboration and License Agreement</w:t>
      </w:r>
    </w:p>
    <w:p>
      <w:pPr>
        <w:spacing w:after="0" w:line="158" w:lineRule="exact"/>
        <w:rPr>
          <w:sz w:val="20"/>
          <w:szCs w:val="20"/>
          <w:color w:val="auto"/>
        </w:rPr>
      </w:pPr>
    </w:p>
    <w:p>
      <w:pPr>
        <w:ind w:left="1260" w:right="439" w:firstLine="648"/>
        <w:spacing w:after="0" w:line="236" w:lineRule="auto"/>
        <w:rPr>
          <w:sz w:val="20"/>
          <w:szCs w:val="20"/>
          <w:color w:val="auto"/>
        </w:rPr>
      </w:pPr>
      <w:r>
        <w:rPr>
          <w:rFonts w:ascii="Arial" w:cs="Arial" w:eastAsia="Arial" w:hAnsi="Arial"/>
          <w:sz w:val="18"/>
          <w:szCs w:val="18"/>
          <w:color w:val="auto"/>
        </w:rPr>
        <w:t>In December 2019, we entered into the Genmab Agreement to research and develop up to four potential differentiated mRNA- based antibody products, to be selected by Genmab, based on the combination of our proprietary RNAntibody technology with Genmab’s proprietary antibody technology for the treatment of human diseases. Pursuant to the Genmab Agreement we granted Genmab an exclusive, worldwide, sublicensable (subject to certain conditions) license under our mRNA technology for the development, manufacture and commercialization of an mRNA antibody product designed to express a certain Genmab proprietary antibody, which we refer to as the Genmab First Program. The parties will collaborate on research to identify an initial product candidate under the Genmab First Program. We additionally granted Genmab an exclusive, worldwide, sublicensable license under our mRNA technology for the research and preclinical development of up to four additional mRNA antibody product concepts and an option to obtain an exclusive, worldwide, sublicensable (subject to certain conditions) license to develop, manufacture and commercialize product candidates for up to three of such product concepts. We have the option to share in the costs and profits in connection with the development, manufacture and commercialization of one of the additional mRNA antibody product concepts under predefined terms and conditions.</w:t>
      </w:r>
    </w:p>
    <w:p>
      <w:pPr>
        <w:spacing w:after="0" w:line="133" w:lineRule="exact"/>
        <w:rPr>
          <w:sz w:val="20"/>
          <w:szCs w:val="20"/>
          <w:color w:val="auto"/>
        </w:rPr>
      </w:pPr>
    </w:p>
    <w:p>
      <w:pPr>
        <w:ind w:left="1260" w:right="419" w:firstLine="648"/>
        <w:spacing w:after="0" w:line="238" w:lineRule="auto"/>
        <w:rPr>
          <w:sz w:val="20"/>
          <w:szCs w:val="20"/>
          <w:color w:val="auto"/>
        </w:rPr>
      </w:pPr>
      <w:r>
        <w:rPr>
          <w:rFonts w:ascii="Arial" w:cs="Arial" w:eastAsia="Arial" w:hAnsi="Arial"/>
          <w:sz w:val="18"/>
          <w:szCs w:val="18"/>
          <w:color w:val="auto"/>
        </w:rPr>
        <w:t>We may not, directly or indirectly, offer any rights to a third party under the technology we license to Genmab for the product concepts and targets being developed under the Genmab Agreement or conduct or participate in the development, manufacture or commercialization of any antibody product that is directed at a target being developed under the Genmab Agreement. For the Genmab First Program, these obligations will last for the duration of the Genmab Agreement. For the additional product concepts, certain time limitations apply to the above obligations. Genmab may not develop or commercialize any mRNA-based single antibody product or monoclonal recombinant antibody that is based on the Genmab First Program outside of the scope of the Genmab Agreement.</w:t>
      </w:r>
    </w:p>
    <w:p>
      <w:pPr>
        <w:spacing w:after="0" w:line="113" w:lineRule="exact"/>
        <w:rPr>
          <w:sz w:val="20"/>
          <w:szCs w:val="20"/>
          <w:color w:val="auto"/>
        </w:rPr>
      </w:pPr>
    </w:p>
    <w:p>
      <w:pPr>
        <w:ind w:left="1260" w:right="479" w:firstLine="648"/>
        <w:spacing w:after="0" w:line="271" w:lineRule="auto"/>
        <w:rPr>
          <w:sz w:val="20"/>
          <w:szCs w:val="20"/>
          <w:color w:val="auto"/>
        </w:rPr>
      </w:pPr>
      <w:r>
        <w:rPr>
          <w:rFonts w:ascii="Arial" w:cs="Arial" w:eastAsia="Arial" w:hAnsi="Arial"/>
          <w:sz w:val="17"/>
          <w:szCs w:val="17"/>
          <w:color w:val="auto"/>
        </w:rPr>
        <w:t>In partial consideration for entering into the Genmab Agreement, Genmab paid us an upfront fee of $10 million and made a €20 million equity investment. Genmab additionally will be obligated to pay us a $0.5 million reservation fee upon the selection of each additional product concept for development and</w:t>
      </w:r>
    </w:p>
    <w:p>
      <w:pPr>
        <w:ind w:left="1260" w:right="499"/>
        <w:spacing w:after="0" w:line="266" w:lineRule="auto"/>
        <w:rPr>
          <w:sz w:val="20"/>
          <w:szCs w:val="20"/>
          <w:color w:val="auto"/>
        </w:rPr>
      </w:pPr>
      <w:r>
        <w:rPr>
          <w:rFonts w:ascii="Arial" w:cs="Arial" w:eastAsia="Arial" w:hAnsi="Arial"/>
          <w:sz w:val="17"/>
          <w:szCs w:val="17"/>
          <w:color w:val="auto"/>
        </w:rPr>
        <w:t>$5 million upon selection of a product from the Genmab First Program for further development and commercialization. Genmab is additionally required to pay us up to $30 million in option exercise fees. If Genmab exercises any of its options to obtain commercial licenses for the additional mRNA antibody concepts, Genmab would fund all research and would develop and commercialize any resulting product candidates. We are additionally eligible to receive up to between $25 million and $43 million in development milestone payments, $100 million and $125 million in regulatory milestone payments and $150 million and $200 million in commercial milestone payments for each product, depending on the specific product concept. In addition, we are eligible to receive a mid single-digit to low teens percentage tiered royalty on aggregate net sales of licensed products, on a per product basis and subject to certain customary reductions. Genmab’s royalty obligation continues on a country-by-country and product-by-product basis until the later of the expiration of the last-to-expire valid claim in the licensed patents in such country covering such licensed product, expiration of regulatory exclusivity for such product in such country or ten years from the date of the first commercial sale of such product. If Genmab grants a sublicense to the Genmab First Program product before a certain milestone event, Genmab must pay us a one-time $10 million payment. We are responsible for a portion of the overall costs for development with respect to the Genmab First Program product until submission of an IND within an agreed budget, and Genmab will otherwise reimburse us for costs incurred in performing certain development activities in connection with the Genmab Agreement. We are responsible for any payments to third parties related to the LNP technology we license to Genmab for use in relation to the Genmab First Program and a portion of such payments with respect to LNP technology used in the additional product concepts. In the event we exercise our right to share in the development, manufacture and commercialization of a product, we must pay Genmab a one-time payment of $3 million and refund any option fee paid by Genmab with respect to such product. As of September 30, 2020, we have received approximately $0.6 million in development cost reimbursements and we have not received any reservation, product selection, option exercise or sublicense fees or milestone or royalty payments.</w:t>
      </w:r>
    </w:p>
    <w:p>
      <w:pPr>
        <w:spacing w:after="0" w:line="118" w:lineRule="exact"/>
        <w:rPr>
          <w:sz w:val="20"/>
          <w:szCs w:val="20"/>
          <w:color w:val="auto"/>
        </w:rPr>
      </w:pPr>
    </w:p>
    <w:p>
      <w:pPr>
        <w:ind w:left="1260" w:right="1019" w:firstLine="648"/>
        <w:spacing w:after="0" w:line="308" w:lineRule="auto"/>
        <w:rPr>
          <w:sz w:val="20"/>
          <w:szCs w:val="20"/>
          <w:color w:val="auto"/>
        </w:rPr>
      </w:pPr>
      <w:r>
        <w:rPr>
          <w:rFonts w:ascii="Arial" w:cs="Arial" w:eastAsia="Arial" w:hAnsi="Arial"/>
          <w:sz w:val="17"/>
          <w:szCs w:val="17"/>
          <w:color w:val="auto"/>
        </w:rPr>
        <w:t>We are required to use commercially reasonable efforts to perform our obligations under the research and development plans established in connection with the Genmab Agreement. Genmab is</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11" w:name="page212"/>
    <w:bookmarkEnd w:id="2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39"/>
        <w:spacing w:after="0" w:line="254" w:lineRule="auto"/>
        <w:rPr>
          <w:sz w:val="20"/>
          <w:szCs w:val="20"/>
          <w:color w:val="auto"/>
        </w:rPr>
      </w:pPr>
      <w:r>
        <w:rPr>
          <w:rFonts w:ascii="Arial" w:cs="Arial" w:eastAsia="Arial" w:hAnsi="Arial"/>
          <w:sz w:val="17"/>
          <w:szCs w:val="17"/>
          <w:color w:val="auto"/>
        </w:rPr>
        <w:t>required to use commercially reasonable efforts to identify and develop the Genmab First Program product and each additional product Genmab adds to the development program under the Genmab Agreement, and to further develop the Genmab First Program product and each optioned product to marketing authorization and to commercialize each product for which it obtains regulatory approval. We and Genmab are required to make available to the other party all preclinical development data for each program under development under the Genmab Agreement until filing of an IND for such program. Following IND filing for a product, we and Genmab will establish a collaboration committee where Genmab will share the status, progress and results of the development of the respective product.</w:t>
      </w:r>
    </w:p>
    <w:p>
      <w:pPr>
        <w:spacing w:after="0" w:line="113" w:lineRule="exact"/>
        <w:rPr>
          <w:sz w:val="20"/>
          <w:szCs w:val="20"/>
          <w:color w:val="auto"/>
        </w:rPr>
      </w:pPr>
    </w:p>
    <w:p>
      <w:pPr>
        <w:ind w:left="1260" w:right="519" w:firstLine="648"/>
        <w:spacing w:after="0" w:line="251" w:lineRule="auto"/>
        <w:rPr>
          <w:sz w:val="20"/>
          <w:szCs w:val="20"/>
          <w:color w:val="auto"/>
        </w:rPr>
      </w:pPr>
      <w:r>
        <w:rPr>
          <w:rFonts w:ascii="Arial" w:cs="Arial" w:eastAsia="Arial" w:hAnsi="Arial"/>
          <w:sz w:val="17"/>
          <w:szCs w:val="17"/>
          <w:color w:val="auto"/>
        </w:rPr>
        <w:t>The term of the Genmab Agreement will continue until the expiration of the royalty term, unless terminated earlier by either party. The Genmab Agreement may be terminated upon written notice by either party upon the other party’s material breach or default of any of its obligations following a cure period. Genmab may terminate the Genmab Agreement for convenience after a certain notice period. Upon expiration of the Genmab Agreement, the license rights we granted to Genmab under the Genmab Agreement will become fully paid-up, perpetual and non-exclusive. In the event of termination for our material breach, we will grant Genmab an exclusive (even to us), worldwide and sublicensable license to exploit any product identified prior to termination, subject to Genmab’s continued milestone and royalty obligations. In the event of termination by us for Genmab’s material breach, or Genmab’s termination for convenience, the licenses granted to Genmab will automatically terminate. Additionally, at our request, Genmab will grant us a non -exclusive, royalty-free, sublicensable, perpetual and worldwide license under certain Genmab intellectual property that is created under the Genmab Agreement and that is required to develop, manufacture and commercialize our own mRNA antibody products targeting the collaboration targets under the Genmab Agreement prior to termination. Such license would not include any license to Genmab background intellectual property or the specific products or antibodies developed by Genmab.</w:t>
      </w:r>
    </w:p>
    <w:p>
      <w:pPr>
        <w:spacing w:after="0" w:line="187"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Arcturus Development and Option Agreement</w:t>
      </w:r>
    </w:p>
    <w:p>
      <w:pPr>
        <w:spacing w:after="0" w:line="158" w:lineRule="exact"/>
        <w:rPr>
          <w:sz w:val="20"/>
          <w:szCs w:val="20"/>
          <w:color w:val="auto"/>
        </w:rPr>
      </w:pPr>
    </w:p>
    <w:p>
      <w:pPr>
        <w:ind w:left="1260" w:right="499" w:firstLine="648"/>
        <w:spacing w:after="0"/>
        <w:rPr>
          <w:sz w:val="20"/>
          <w:szCs w:val="20"/>
          <w:color w:val="auto"/>
        </w:rPr>
      </w:pPr>
      <w:r>
        <w:rPr>
          <w:rFonts w:ascii="Arial" w:cs="Arial" w:eastAsia="Arial" w:hAnsi="Arial"/>
          <w:sz w:val="18"/>
          <w:szCs w:val="18"/>
          <w:color w:val="auto"/>
        </w:rPr>
        <w:t>In January 2018, we entered into the Arcturus Agreement, pursuant to which Arcturus granted us the right to reserve a certain number of targets and an irrevocable offer to obtain a license to a certain number of such reserved targets to develop, manufacture and commercialize products containing Arcturus’s LNP technology (LMD technology) and mRNA constructs intended to express such targets. The Arcturus Agreement was amended in May 2018, September 2018 and July 2019. As of September 30, 2020, we have not accepted the offer with respect to any targets.</w:t>
      </w:r>
    </w:p>
    <w:p>
      <w:pPr>
        <w:spacing w:after="0" w:line="108" w:lineRule="exact"/>
        <w:rPr>
          <w:sz w:val="20"/>
          <w:szCs w:val="20"/>
          <w:color w:val="auto"/>
        </w:rPr>
      </w:pPr>
    </w:p>
    <w:p>
      <w:pPr>
        <w:ind w:left="1260" w:right="479" w:firstLine="648"/>
        <w:spacing w:after="0" w:line="261" w:lineRule="auto"/>
        <w:rPr>
          <w:sz w:val="20"/>
          <w:szCs w:val="20"/>
          <w:color w:val="auto"/>
        </w:rPr>
      </w:pPr>
      <w:r>
        <w:rPr>
          <w:rFonts w:ascii="Arial" w:cs="Arial" w:eastAsia="Arial" w:hAnsi="Arial"/>
          <w:sz w:val="18"/>
          <w:szCs w:val="18"/>
          <w:color w:val="auto"/>
        </w:rPr>
        <w:t>Under the Arcturus Agreement, Arcturus is responsible for the LNP chemistry and formulation and characterization work and we are responsible for mRNA construct development.</w:t>
      </w:r>
    </w:p>
    <w:p>
      <w:pPr>
        <w:spacing w:after="0" w:line="103" w:lineRule="exact"/>
        <w:rPr>
          <w:sz w:val="20"/>
          <w:szCs w:val="20"/>
          <w:color w:val="auto"/>
        </w:rPr>
      </w:pPr>
    </w:p>
    <w:p>
      <w:pPr>
        <w:ind w:left="1260" w:right="579" w:firstLine="648"/>
        <w:spacing w:after="0" w:line="241" w:lineRule="auto"/>
        <w:rPr>
          <w:sz w:val="20"/>
          <w:szCs w:val="20"/>
          <w:color w:val="auto"/>
        </w:rPr>
      </w:pPr>
      <w:r>
        <w:rPr>
          <w:rFonts w:ascii="Arial" w:cs="Arial" w:eastAsia="Arial" w:hAnsi="Arial"/>
          <w:sz w:val="18"/>
          <w:szCs w:val="18"/>
          <w:color w:val="auto"/>
        </w:rPr>
        <w:t>Both parties will undertake certain allocated preclinical studies. Each party is required to use diligent efforts to perform its obligations under the work plans established in connection with the Arcturus Agreement and Arcturus is required to use diligent efforts to manufacture and supply us with certain formulated products. The Arcturus Agreement provides for the establishment of a joint development committee for the discussion of development efforts under the Arcturus Agreement.</w:t>
      </w:r>
    </w:p>
    <w:p>
      <w:pPr>
        <w:spacing w:after="0" w:line="122" w:lineRule="exact"/>
        <w:rPr>
          <w:sz w:val="20"/>
          <w:szCs w:val="20"/>
          <w:color w:val="auto"/>
        </w:rPr>
      </w:pPr>
    </w:p>
    <w:p>
      <w:pPr>
        <w:ind w:left="1260" w:right="439" w:firstLine="648"/>
        <w:spacing w:after="0" w:line="236" w:lineRule="auto"/>
        <w:rPr>
          <w:sz w:val="20"/>
          <w:szCs w:val="20"/>
          <w:color w:val="auto"/>
        </w:rPr>
      </w:pPr>
      <w:r>
        <w:rPr>
          <w:rFonts w:ascii="Arial" w:cs="Arial" w:eastAsia="Arial" w:hAnsi="Arial"/>
          <w:sz w:val="18"/>
          <w:szCs w:val="18"/>
          <w:color w:val="auto"/>
        </w:rPr>
        <w:t>We paid Arcturus an upfront fee of $5 million in connection with the Arcturus Agreement and must pay an extension fee of $1 million if we exercise our option to extend the initial term of the Arcturus Agreement beyond July 2023. We are further required to reimburse Arcturus for certain costs incurred in connection with development activities and provide certain FTE funding. We are additionally required to pay up to an aggregate of $5 million in connection with our acceptance of the irrevocable offer to obtain licenses for further development and commercialization of selected targets. Under each license agreement to be entered into in connection with our selection of targets, we will additionally be required to make certain royalty payments, which are not in excess of 10%, subject to certain customary reductions, on a country -by-country and a product- by-product basis until the later of the expiration of the last-to- expire valid patent in such country covering such licensed product, expiration of regulatory exclusivity for such product in such country or ten years from the date of the first commercial sale of such product in such country. We additionally must pay Arcturus up to $ 6 million in development milestone payments, $9 million in regulatory milestone payments and $8 million in commercial milestone payments in connection with each license agreement we enter into under the Arcturus Agreement. As of September 30, 2020, we have made payments totaling approximately $5.3 million to Arcturus reimbursing Arcturus for development costs and in</w:t>
      </w:r>
    </w:p>
    <w:p>
      <w:pPr>
        <w:spacing w:after="0" w:line="37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2" w:name="page213"/>
    <w:bookmarkEnd w:id="2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79"/>
        <w:spacing w:after="0" w:line="248" w:lineRule="auto"/>
        <w:rPr>
          <w:sz w:val="20"/>
          <w:szCs w:val="20"/>
          <w:color w:val="auto"/>
        </w:rPr>
      </w:pPr>
      <w:r>
        <w:rPr>
          <w:rFonts w:ascii="Arial" w:cs="Arial" w:eastAsia="Arial" w:hAnsi="Arial"/>
          <w:sz w:val="18"/>
          <w:szCs w:val="18"/>
          <w:color w:val="auto"/>
        </w:rPr>
        <w:t>connection with our FTE funding obligations and we have not accepted the irrevocable offer with respect to any target and therefore have not paid any acceptance fees or made any milestone or royalty payments to Arcturus.</w:t>
      </w:r>
    </w:p>
    <w:p>
      <w:pPr>
        <w:spacing w:after="0" w:line="114" w:lineRule="exact"/>
        <w:rPr>
          <w:sz w:val="20"/>
          <w:szCs w:val="20"/>
          <w:color w:val="auto"/>
        </w:rPr>
      </w:pPr>
    </w:p>
    <w:p>
      <w:pPr>
        <w:ind w:left="1260" w:right="459" w:firstLine="648"/>
        <w:spacing w:after="0" w:line="243" w:lineRule="auto"/>
        <w:rPr>
          <w:sz w:val="20"/>
          <w:szCs w:val="20"/>
          <w:color w:val="auto"/>
        </w:rPr>
      </w:pPr>
      <w:r>
        <w:rPr>
          <w:rFonts w:ascii="Arial" w:cs="Arial" w:eastAsia="Arial" w:hAnsi="Arial"/>
          <w:sz w:val="18"/>
          <w:szCs w:val="18"/>
          <w:color w:val="auto"/>
        </w:rPr>
        <w:t>Under the Arcturus Agreement, Arcturus granted us a worldwide, non-exclusive license under its LNP technology for research and preclinical development. We granted Arcturus a worldwide, non-exclusive license under our mRNA technology solely to enable Arcturus to perform development activities in connection with the Arcturus Agreement.</w:t>
      </w:r>
    </w:p>
    <w:p>
      <w:pPr>
        <w:spacing w:after="0" w:line="120" w:lineRule="exact"/>
        <w:rPr>
          <w:sz w:val="20"/>
          <w:szCs w:val="20"/>
          <w:color w:val="auto"/>
        </w:rPr>
      </w:pPr>
    </w:p>
    <w:p>
      <w:pPr>
        <w:ind w:left="1260" w:right="459" w:firstLine="648"/>
        <w:spacing w:after="0" w:line="237" w:lineRule="auto"/>
        <w:rPr>
          <w:sz w:val="20"/>
          <w:szCs w:val="20"/>
          <w:color w:val="auto"/>
        </w:rPr>
      </w:pPr>
      <w:r>
        <w:rPr>
          <w:rFonts w:ascii="Arial" w:cs="Arial" w:eastAsia="Arial" w:hAnsi="Arial"/>
          <w:sz w:val="18"/>
          <w:szCs w:val="18"/>
          <w:color w:val="auto"/>
        </w:rPr>
        <w:t>The Arcturus Agreement will expire in July 2023 unless earlier terminated or extended for an additional 18- month term. We have the right to terminate the Arcturus Agreement in full or on a target- by-target basis in the event of a material breach by Arcturus following a cure period. We additionally have the right to terminate the Arcturus Agreement for convenience following a certain notice period and for change of control of Arcturus. In the event we terminate for Arcturus’s breach, for convenience or for Arcturus’s change of control, Arcturus will transfer all deliverables created under the Arcturus Agreement to us and all licenses granted under the Arcturus Agreement will terminate. In the event we terminate for Arcturus’s breach, Arcturus will transfer any technology and provide licenses as reasonably necessary for us to complete work contemplated under any work plan relating to the terminated target and the acceptance fee relating to such target and payments due under any associated license agreement will be reduced by a certain percentage. Arcturus has the right to terminate the Arcturus Agreement in the event of a material breach by us following a cure period, in which event all licenses granted under the Arcturus Agreement will terminate. Termination of the Arcturus Agreement shall not affect any then existing license agreements between us and Arcturus.</w:t>
      </w:r>
    </w:p>
    <w:p>
      <w:pPr>
        <w:spacing w:after="0" w:line="189"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Acuitas Development and Option Agreement</w:t>
      </w:r>
    </w:p>
    <w:p>
      <w:pPr>
        <w:spacing w:after="0" w:line="144" w:lineRule="exact"/>
        <w:rPr>
          <w:sz w:val="20"/>
          <w:szCs w:val="20"/>
          <w:color w:val="auto"/>
        </w:rPr>
      </w:pPr>
    </w:p>
    <w:p>
      <w:pPr>
        <w:ind w:left="1260" w:right="459" w:firstLine="648"/>
        <w:spacing w:after="0" w:line="253" w:lineRule="auto"/>
        <w:rPr>
          <w:sz w:val="20"/>
          <w:szCs w:val="20"/>
          <w:color w:val="auto"/>
        </w:rPr>
      </w:pPr>
      <w:r>
        <w:rPr>
          <w:rFonts w:ascii="Arial" w:cs="Arial" w:eastAsia="Arial" w:hAnsi="Arial"/>
          <w:sz w:val="17"/>
          <w:szCs w:val="17"/>
          <w:color w:val="auto"/>
        </w:rPr>
        <w:t>In April 2016, we entered into the Acuitas Agreement pursuant to which Acuitas granted us the right to reserve a certain number of vaccine and other targets and an option to obtain a license to a certain number of such reserved targets to develop, manufacture and commercialize products containing Acuitas’s LNP technology and mRNA constructs intended to express such targets. With respect to a certain number of non-exclusive licenses to vaccine targets that we obtain under the Acuitas Agreement, Acuitas additionally granted us an option to exchange each vaccine target licensed under such non-exclusive license for an alternate vaccine target for a certain period. As of September 30, 2020, we have exercised our option to obtain a non-exclusive license to thirteen targets, and have not exercised our option to exchange a vaccine target licensed under any non-exclusive license.</w:t>
      </w:r>
    </w:p>
    <w:p>
      <w:pPr>
        <w:spacing w:after="0" w:line="116" w:lineRule="exact"/>
        <w:rPr>
          <w:sz w:val="20"/>
          <w:szCs w:val="20"/>
          <w:color w:val="auto"/>
        </w:rPr>
      </w:pPr>
    </w:p>
    <w:p>
      <w:pPr>
        <w:ind w:left="1260" w:right="539" w:firstLine="648"/>
        <w:spacing w:after="0" w:line="238" w:lineRule="auto"/>
        <w:rPr>
          <w:sz w:val="20"/>
          <w:szCs w:val="20"/>
          <w:color w:val="auto"/>
        </w:rPr>
      </w:pPr>
      <w:r>
        <w:rPr>
          <w:rFonts w:ascii="Arial" w:cs="Arial" w:eastAsia="Arial" w:hAnsi="Arial"/>
          <w:sz w:val="18"/>
          <w:szCs w:val="18"/>
          <w:color w:val="auto"/>
        </w:rPr>
        <w:t>Under the Acuitas Agreement, Acuitas is responsible for the LNP chemistry and formulation and characterization work, and we are responsible for mRNA construct development. Both parties will undertake certain allocated preclinical studies. Each party is required to use diligent efforts to perform its obligations under the work plans established in connection with the Acuitas Agreement. Acuitas is further required to use diligent efforts to manufacture and supply us with certain formulated products. The Acuitas Agreement provides for the establishment of a joint development committee for the discussion of development efforts under the Acuitas Agreement. We are required to reimburse Acuitas for certain costs incurred in connection with development activities and certain FTE costs.</w:t>
      </w:r>
    </w:p>
    <w:p>
      <w:pPr>
        <w:spacing w:after="0" w:line="126" w:lineRule="exact"/>
        <w:rPr>
          <w:sz w:val="20"/>
          <w:szCs w:val="20"/>
          <w:color w:val="auto"/>
        </w:rPr>
      </w:pPr>
    </w:p>
    <w:p>
      <w:pPr>
        <w:ind w:left="1260" w:right="499" w:firstLine="648"/>
        <w:spacing w:after="0" w:line="252" w:lineRule="auto"/>
        <w:rPr>
          <w:sz w:val="20"/>
          <w:szCs w:val="20"/>
          <w:color w:val="auto"/>
        </w:rPr>
      </w:pPr>
      <w:r>
        <w:rPr>
          <w:rFonts w:ascii="Arial" w:cs="Arial" w:eastAsia="Arial" w:hAnsi="Arial"/>
          <w:sz w:val="17"/>
          <w:szCs w:val="17"/>
          <w:color w:val="auto"/>
        </w:rPr>
        <w:t>We are further required to pay Acuitas annual target reservation and maintenance fees of up to approximately $1.4 million if we reserve the maximum number of targets permitted under the Acuitas Agreement. We are additionally required to pay an option exercise fee ranging from $50,000 to $2 million upon each exercise of our option under the Acuitas Agreement, subject to certain additional fees ranging from $10,000 to $200,000 for the exercise of our option for certain other vaccine targets. We paid Acuitas a $5 million upfront fee in connection with an amendment to the Acuitas Agreement dated July 2020 and, upon each exercise of our option to exchange a vaccine target licensed under any non- exclusive license, we are required to pay an exchange fee of $3 million. We additionally are required to pay Acuitas a $3 million upfront fee in connection with an amendment to the Acuitas Agreement dated December 2020 and are required to pay an additional $250,000 in April 2022 and April 2023 for each of certain options not yet exercised. Under each license agreement we enter into in connection with our exercise of our option, we will additionally be required to make low single-digit percentage tiered royalty payments, subject to certain customary reductions, on a country-by-country and a product-by-product basis until the later of the</w:t>
      </w:r>
    </w:p>
    <w:p>
      <w:pPr>
        <w:spacing w:after="0" w:line="35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3" w:name="page214"/>
    <w:bookmarkEnd w:id="2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59"/>
        <w:spacing w:after="0" w:line="237" w:lineRule="auto"/>
        <w:rPr>
          <w:sz w:val="20"/>
          <w:szCs w:val="20"/>
          <w:color w:val="auto"/>
        </w:rPr>
      </w:pPr>
      <w:r>
        <w:rPr>
          <w:rFonts w:ascii="Arial" w:cs="Arial" w:eastAsia="Arial" w:hAnsi="Arial"/>
          <w:sz w:val="18"/>
          <w:szCs w:val="18"/>
          <w:color w:val="auto"/>
        </w:rPr>
        <w:t>expiration of the last-to-expire licensed patent in such country covering such licensed product, expiration of regulatory exclusivity for such product in such country or ten years from the date of the first commercial sale of such product in such country. Under each such license we additionally must pay up to between approximately $1.1 million and $ 9 million in development milestone payments, $1.3 million and $7 million in regulatory milestone payments and $1.3 million and $7 million in commercial milestone payments, depending on whether the license is exclusive or non-exclusive and the number of options exercised to date. As of September 30, 2020, we have exercised our option to obtain a non -exclusive license to thirteen targets. As of September 30, 2020, we have paid Acuitas approximately $3.3 million in reservation and option exercise fees and have made payments totaling approximately $5.9 million reimbursing Acuitas for development costs and LNP batches and in connection with our FTE funding obligations. Payments made under the license agreements entered into in connection with our exercise of our option under the Acuitas Agreement are described below.</w:t>
      </w:r>
    </w:p>
    <w:p>
      <w:pPr>
        <w:spacing w:after="0" w:line="126" w:lineRule="exact"/>
        <w:rPr>
          <w:sz w:val="20"/>
          <w:szCs w:val="20"/>
          <w:color w:val="auto"/>
        </w:rPr>
      </w:pPr>
    </w:p>
    <w:p>
      <w:pPr>
        <w:ind w:left="1260" w:right="439" w:firstLine="648"/>
        <w:spacing w:after="0" w:line="243" w:lineRule="auto"/>
        <w:rPr>
          <w:sz w:val="20"/>
          <w:szCs w:val="20"/>
          <w:color w:val="auto"/>
        </w:rPr>
      </w:pPr>
      <w:r>
        <w:rPr>
          <w:rFonts w:ascii="Arial" w:cs="Arial" w:eastAsia="Arial" w:hAnsi="Arial"/>
          <w:sz w:val="18"/>
          <w:szCs w:val="18"/>
          <w:color w:val="auto"/>
        </w:rPr>
        <w:t>Under the Acuitas Agreement, Acuitas granted us a worldwide, non-exclusive license under its LNP technology for us to perform development activities and we granted Acuitas a worldwide, non-exclusive license under our mRNA technology solely to enable Acuitas to perform development activities in connection with the Acuitas Agreement.</w:t>
      </w:r>
    </w:p>
    <w:p>
      <w:pPr>
        <w:spacing w:after="0" w:line="120" w:lineRule="exact"/>
        <w:rPr>
          <w:sz w:val="20"/>
          <w:szCs w:val="20"/>
          <w:color w:val="auto"/>
        </w:rPr>
      </w:pPr>
    </w:p>
    <w:p>
      <w:pPr>
        <w:ind w:left="1260" w:right="459" w:firstLine="648"/>
        <w:spacing w:after="0" w:line="237" w:lineRule="auto"/>
        <w:rPr>
          <w:sz w:val="20"/>
          <w:szCs w:val="20"/>
          <w:color w:val="auto"/>
        </w:rPr>
      </w:pPr>
      <w:r>
        <w:rPr>
          <w:rFonts w:ascii="Arial" w:cs="Arial" w:eastAsia="Arial" w:hAnsi="Arial"/>
          <w:sz w:val="18"/>
          <w:szCs w:val="18"/>
          <w:color w:val="auto"/>
        </w:rPr>
        <w:t>The Acuitas Agreement will expire in April 2025 unless earlier terminated or extended. Both parties have the right to terminate the Acuitas Agreement in whole or on a program-by-program basis in the event of a material breach by the other party following a cure period. We additionally have the right to terminate the Acuitas Agreement for convenience following a certain notice period or for Acuitas’s change of control. In the event of termination for any reason, Acuitas will transfer all deliverables created under the Acuitas Agreement to us and in the event we terminate for reasons other than for Acuitas’s material breach, we must make any payments owed to Acuitas up to the time of termination. In the event we terminate for Acuitas’s material breach or for Acuitas’s change of control, Acuitas will transfer any technology and provide licenses as reasonably necessary for us to complete work contemplated under the Acuitas Agreement and, in the case of termination for Acuitas’s material breach, Acuitas must refund to us any target reservation and maintenance fees for the remainder of the contract year in which such termination is effective.</w:t>
      </w:r>
    </w:p>
    <w:p>
      <w:pPr>
        <w:spacing w:after="0" w:line="193"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Acuitas Non-exclusive License Agreements</w:t>
      </w:r>
    </w:p>
    <w:p>
      <w:pPr>
        <w:spacing w:after="0" w:line="144" w:lineRule="exact"/>
        <w:rPr>
          <w:sz w:val="20"/>
          <w:szCs w:val="20"/>
          <w:color w:val="auto"/>
        </w:rPr>
      </w:pPr>
    </w:p>
    <w:p>
      <w:pPr>
        <w:ind w:left="1260" w:right="499" w:firstLine="648"/>
        <w:spacing w:after="0" w:line="239" w:lineRule="auto"/>
        <w:rPr>
          <w:sz w:val="20"/>
          <w:szCs w:val="20"/>
          <w:color w:val="auto"/>
        </w:rPr>
      </w:pPr>
      <w:r>
        <w:rPr>
          <w:rFonts w:ascii="Arial" w:cs="Arial" w:eastAsia="Arial" w:hAnsi="Arial"/>
          <w:sz w:val="18"/>
          <w:szCs w:val="18"/>
          <w:color w:val="auto"/>
        </w:rPr>
        <w:t>For each option we have exercised under the Acuitas Agreement, we have entered into a non-exclusive license agreement with Acuitas with respect to such optioned product, all based on the same form agreement, which we collectively refer to as the Acuitas License Agreements. Under the Acuitas License Agreements, Acuitas grants us a non -exclusive, non -transferable, sublicensable (subject to certain conditions) worldwide license under Acuitas’s LNP technology to develop, manufacture and commercialize licensed products directed to the optioned targets. We may convert the non-exclusive licenses to exclusive licenses subject to certain additional financial obligations.</w:t>
      </w:r>
    </w:p>
    <w:p>
      <w:pPr>
        <w:spacing w:after="0" w:line="123" w:lineRule="exact"/>
        <w:rPr>
          <w:sz w:val="20"/>
          <w:szCs w:val="20"/>
          <w:color w:val="auto"/>
        </w:rPr>
      </w:pPr>
    </w:p>
    <w:p>
      <w:pPr>
        <w:ind w:left="1260" w:right="439" w:firstLine="648"/>
        <w:spacing w:after="0" w:line="251" w:lineRule="auto"/>
        <w:rPr>
          <w:sz w:val="20"/>
          <w:szCs w:val="20"/>
          <w:color w:val="auto"/>
        </w:rPr>
      </w:pPr>
      <w:r>
        <w:rPr>
          <w:rFonts w:ascii="Arial" w:cs="Arial" w:eastAsia="Arial" w:hAnsi="Arial"/>
          <w:sz w:val="17"/>
          <w:szCs w:val="17"/>
          <w:color w:val="auto"/>
        </w:rPr>
        <w:t>We must pay Acuitas up to between approximately $1.1 million and $1.6 million in development milestone payments, $1.3 million and $1.8 million in regulatory milestone payments and $1.3 million and $1.8 million in commercial milestone payments under each Acuitas License Agreement upon the occurrence of certain milestone events. We additionally are obligated to pay Acuitas annual fees ranging from $5,000 to $10,000 for any additional protein targeted by a vaccine product licensed under an Acuitas License Agreement after a certain milestone event. We are further required to pay Acuitas a low single-digit</w:t>
      </w:r>
    </w:p>
    <w:p>
      <w:pPr>
        <w:spacing w:after="0" w:line="4" w:lineRule="exact"/>
        <w:rPr>
          <w:sz w:val="20"/>
          <w:szCs w:val="20"/>
          <w:color w:val="auto"/>
        </w:rPr>
      </w:pPr>
    </w:p>
    <w:p>
      <w:pPr>
        <w:ind w:left="1260" w:right="419"/>
        <w:spacing w:after="0" w:line="251" w:lineRule="auto"/>
        <w:rPr>
          <w:sz w:val="20"/>
          <w:szCs w:val="20"/>
          <w:color w:val="auto"/>
        </w:rPr>
      </w:pPr>
      <w:r>
        <w:rPr>
          <w:rFonts w:ascii="Arial" w:cs="Arial" w:eastAsia="Arial" w:hAnsi="Arial"/>
          <w:sz w:val="17"/>
          <w:szCs w:val="17"/>
          <w:color w:val="auto"/>
        </w:rPr>
        <w:t>tiered percentage royalty on net sales of licensed products, subject to certain potential customary reductions. Our royalty obligations continue under each Acuitas License Agreement on a country-by-country and product-by-product basis until the later of the expiration of the last -to-expire licensed patent claim covering such licensed product in such country, expiration of any regulatory exclusivity period for such product in such country and ten years following the first commercial sale of such product in such country. As of September 30, 2020, we have made $100,000 in development milestone payments to Acuitas with respect to the license agreement relating to Rabies RAV-G and we have made $ 0.6 million in development milestone payments (Phase I and Phase II milestone payments) to Acuitas with respect to the license agreement relating to the SARS-CoV-2 Spike protein S and have not made any royalty payments.</w:t>
      </w:r>
    </w:p>
    <w:p>
      <w:pPr>
        <w:spacing w:after="0" w:line="115" w:lineRule="exact"/>
        <w:rPr>
          <w:sz w:val="20"/>
          <w:szCs w:val="20"/>
          <w:color w:val="auto"/>
        </w:rPr>
      </w:pPr>
    </w:p>
    <w:p>
      <w:pPr>
        <w:ind w:left="1260" w:right="579" w:firstLine="648"/>
        <w:spacing w:after="0" w:line="291" w:lineRule="auto"/>
        <w:rPr>
          <w:sz w:val="20"/>
          <w:szCs w:val="20"/>
          <w:color w:val="auto"/>
        </w:rPr>
      </w:pPr>
      <w:r>
        <w:rPr>
          <w:rFonts w:ascii="Arial" w:cs="Arial" w:eastAsia="Arial" w:hAnsi="Arial"/>
          <w:sz w:val="17"/>
          <w:szCs w:val="17"/>
          <w:color w:val="auto"/>
        </w:rPr>
        <w:t>Each Acuitas License Agreement will continue on a product-by- product and a country-by-country basis until there are no more payments owed to Acuitas for such product in such country. Either party may</w:t>
      </w: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4" w:name="page215"/>
    <w:bookmarkEnd w:id="2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39"/>
        <w:spacing w:after="0" w:line="252" w:lineRule="auto"/>
        <w:rPr>
          <w:sz w:val="20"/>
          <w:szCs w:val="20"/>
          <w:color w:val="auto"/>
        </w:rPr>
      </w:pPr>
      <w:r>
        <w:rPr>
          <w:rFonts w:ascii="Arial" w:cs="Arial" w:eastAsia="Arial" w:hAnsi="Arial"/>
          <w:sz w:val="17"/>
          <w:szCs w:val="17"/>
          <w:color w:val="auto"/>
        </w:rPr>
        <w:t>terminate an Acuitas License Agreement in the event of a material breach by the other party following a cure period. We additionally have the right to terminate the Acuitas License Agreements for convenience following a certain notice period. Upon expiration of an Acuitas License Agreement, the licenses granted to us under such Acuitas License Agreement will become fully paid- up and will remain in effect. In the event of our termination of an Acuitas License Agreement for Acuitas’s material breach, the rights and licenses granted to us under such agreement will become perpetual and irrevocable. Alternatively, instead of exercising our right to terminate in the event of Acuitas’s material breach, we may elect to instead continue the license but reduce our milestone and royalty payment obligations to Acuitas by a certain percentage. In the event of termination of an Acuitas License Agreement by us for convenience or by Acuitas for our material breach, the licenses granted under such agreement will terminate, except that we will have the right to sell off any remaining inventories of licensed products for a certain period of time.</w:t>
      </w:r>
    </w:p>
    <w:p>
      <w:pPr>
        <w:spacing w:after="0" w:line="186"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CRISPR Therapeutics Development and License Agreement</w:t>
      </w:r>
    </w:p>
    <w:p>
      <w:pPr>
        <w:spacing w:after="0" w:line="158" w:lineRule="exact"/>
        <w:rPr>
          <w:sz w:val="20"/>
          <w:szCs w:val="20"/>
          <w:color w:val="auto"/>
        </w:rPr>
      </w:pPr>
    </w:p>
    <w:p>
      <w:pPr>
        <w:ind w:left="1260" w:right="459" w:firstLine="648"/>
        <w:spacing w:after="0" w:line="238" w:lineRule="auto"/>
        <w:rPr>
          <w:sz w:val="20"/>
          <w:szCs w:val="20"/>
          <w:color w:val="auto"/>
        </w:rPr>
      </w:pPr>
      <w:r>
        <w:rPr>
          <w:rFonts w:ascii="Arial" w:cs="Arial" w:eastAsia="Arial" w:hAnsi="Arial"/>
          <w:sz w:val="18"/>
          <w:szCs w:val="18"/>
          <w:color w:val="auto"/>
        </w:rPr>
        <w:t xml:space="preserve">In November 2017, we entered into the CRISPR Therapeutics Agreement, pursuant to which we will develop novel Cas9 mRNA constructs for use in gene editing therapeutics. Under the terms of the CRISPR Therapeutics Agreement, we granted CRISPR Therapeutics a worldwide, exclusive (even to us), sublicensable (subject to certain conditions) license under certain intellectual property rights that are reasonably necessary or useful to develop, manufacture or commercialize products comprising Cas9 mRNA constructs, and under any patents controlled by us that arise from inventions discovered under the CRISPR Therapeutics Agreement to develop, manufacture and commercialize three of CRISPR Therapeutics’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gene-editing programs for certain diseases. CRISPR Therapeutics granted us an exclusive (even as to CRISPR Therapeutics), worldwide, cost-free sublicense to manufacture products comprising Cas9 mRNA constructs for CRISPR Therapeutics.</w:t>
      </w:r>
    </w:p>
    <w:p>
      <w:pPr>
        <w:spacing w:after="0" w:line="121"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CRISPR Therapeutics was required to pay us an upfront one-time technology access fee of</w:t>
      </w:r>
    </w:p>
    <w:p>
      <w:pPr>
        <w:spacing w:after="0" w:line="12" w:lineRule="exact"/>
        <w:rPr>
          <w:sz w:val="20"/>
          <w:szCs w:val="20"/>
          <w:color w:val="auto"/>
        </w:rPr>
      </w:pPr>
    </w:p>
    <w:p>
      <w:pPr>
        <w:ind w:left="1260" w:right="439"/>
        <w:spacing w:after="0" w:line="235" w:lineRule="auto"/>
        <w:rPr>
          <w:sz w:val="20"/>
          <w:szCs w:val="20"/>
          <w:color w:val="auto"/>
        </w:rPr>
      </w:pPr>
      <w:r>
        <w:rPr>
          <w:rFonts w:ascii="Arial" w:cs="Arial" w:eastAsia="Arial" w:hAnsi="Arial"/>
          <w:sz w:val="18"/>
          <w:szCs w:val="18"/>
          <w:color w:val="auto"/>
        </w:rPr>
        <w:t>$3 million and we are eligible to receive up to $13 million in development milestone payments, $33 million in regulatory milestone payments and $133 million in commercial milestone payments, as well as mid single-digit percentage royalties from CRISPR Therapeutics on the net sales of licensed products on a product-by-product and country-by-country basis, subject to certain potential customary reductions. CRISPR Therapeutics’ royalty obligations continue on a product-by-product and country- by-country basis until the later of the date when there are no valid patent claims under our licensed patents covering such licensed product in such country, the date when regulatory exclusivity for such licensed product in such country expires and ten years following the date of first commercial sale of such licensed product in such country. CRISPR Therapeutics is additionally required to reimburse us for our FTE costs and reasonable out-of-pocket expenses incurred performing development activities under the CRISPR Therapeutics Agreement. In the event CRISPR Therapeutics exercises its right to sublicense under the agreement, CRISPR Therapeutics must pay us a low teens to mid-twenties percentage of any non-royalty sublicense income, depending on the timing of the sublicense and whether the sublicense is granted through an affiliate of CRISPR Therapeutics. As of September 30, 2020, we have received approximately €0.9 million in payments for the supply of materials and FTE cost and development reimbursements and no milestone, royalty or sublicense fee payments.</w:t>
      </w:r>
    </w:p>
    <w:p>
      <w:pPr>
        <w:spacing w:after="0" w:line="116" w:lineRule="exact"/>
        <w:rPr>
          <w:sz w:val="20"/>
          <w:szCs w:val="20"/>
          <w:color w:val="auto"/>
        </w:rPr>
      </w:pPr>
    </w:p>
    <w:p>
      <w:pPr>
        <w:ind w:left="1260" w:right="419" w:firstLine="648"/>
        <w:spacing w:after="0"/>
        <w:rPr>
          <w:sz w:val="20"/>
          <w:szCs w:val="20"/>
          <w:color w:val="auto"/>
        </w:rPr>
      </w:pPr>
      <w:r>
        <w:rPr>
          <w:rFonts w:ascii="Arial" w:cs="Arial" w:eastAsia="Arial" w:hAnsi="Arial"/>
          <w:sz w:val="18"/>
          <w:szCs w:val="18"/>
          <w:color w:val="auto"/>
        </w:rPr>
        <w:t>We are required to use commercially reasonable efforts to perform our development obligations under the CRISPR Therapeutics Agreement and to supply certain materials to CRISPR Therapeutics. CRISPR Therapeutics is required to use commercially reasonable efforts to perform its obligations under the development plan and to develop and commercialize licensed products. We and CRISPR are required to keep the other party informed regarding the progress and results of performance of all development activities under the CRISPR Therapeutics Agreement.</w:t>
      </w:r>
    </w:p>
    <w:p>
      <w:pPr>
        <w:spacing w:after="0" w:line="122" w:lineRule="exact"/>
        <w:rPr>
          <w:sz w:val="20"/>
          <w:szCs w:val="20"/>
          <w:color w:val="auto"/>
        </w:rPr>
      </w:pPr>
    </w:p>
    <w:p>
      <w:pPr>
        <w:ind w:left="1260" w:right="519" w:firstLine="648"/>
        <w:spacing w:after="0" w:line="238" w:lineRule="auto"/>
        <w:rPr>
          <w:sz w:val="20"/>
          <w:szCs w:val="20"/>
          <w:color w:val="auto"/>
        </w:rPr>
      </w:pPr>
      <w:r>
        <w:rPr>
          <w:rFonts w:ascii="Arial" w:cs="Arial" w:eastAsia="Arial" w:hAnsi="Arial"/>
          <w:sz w:val="18"/>
          <w:szCs w:val="18"/>
          <w:color w:val="auto"/>
        </w:rPr>
        <w:t>The term of the CRISPR Therapeutics Agreement will continue on a product- by- product and country-by-country basis, until the last-to-expire royalty term expires in such country for such product, unless terminated earlier by either party. The CRISPR Therapeutics Agreement may be terminated (i) by CRISPR Therapeutics for convenience following a certain notice period, (ii) by us if CRISPR Therapeutics or any of its affiliates, either directly or indirectly, challenges or assists a third party to challenge the licensed patent rights or in the event CRISPR Therapeutics undergoes a change of control, or (iii) by either party in the event of the other party’s material breach following a cure period (including on a program-by-program basis) or in the event of the other party’s insolvency. Upon expiration, the license granted to CRISPR</w:t>
      </w: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5" w:name="page216"/>
    <w:bookmarkEnd w:id="2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59"/>
        <w:spacing w:after="0" w:line="243" w:lineRule="auto"/>
        <w:rPr>
          <w:sz w:val="20"/>
          <w:szCs w:val="20"/>
          <w:color w:val="auto"/>
        </w:rPr>
      </w:pPr>
      <w:r>
        <w:rPr>
          <w:rFonts w:ascii="Arial" w:cs="Arial" w:eastAsia="Arial" w:hAnsi="Arial"/>
          <w:sz w:val="18"/>
          <w:szCs w:val="18"/>
          <w:color w:val="auto"/>
        </w:rPr>
        <w:t>Therapeutics converts into a fully paid-up, royalty-free, perpetual and irrevocable license. Upon termination, the licenses granted to CRISPR Therapeutics will terminate and, in the case of termination for CRISPR Therapeutics’ material breach or insolvency or for convenience by CRISPR Therapeutics, CRISPR Therapeutics must transfer all Cas9 mRNA constructs and related data to us.</w:t>
      </w:r>
    </w:p>
    <w:p>
      <w:pPr>
        <w:spacing w:after="0" w:line="188"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Boehringer Ingelheim Exclusive Collaboration and License Agreement</w:t>
      </w:r>
    </w:p>
    <w:p>
      <w:pPr>
        <w:spacing w:after="0" w:line="158" w:lineRule="exact"/>
        <w:rPr>
          <w:sz w:val="20"/>
          <w:szCs w:val="20"/>
          <w:color w:val="auto"/>
        </w:rPr>
      </w:pPr>
    </w:p>
    <w:p>
      <w:pPr>
        <w:ind w:left="1260" w:right="439" w:firstLine="648"/>
        <w:spacing w:after="0" w:line="253" w:lineRule="auto"/>
        <w:rPr>
          <w:sz w:val="20"/>
          <w:szCs w:val="20"/>
          <w:color w:val="auto"/>
        </w:rPr>
      </w:pPr>
      <w:r>
        <w:rPr>
          <w:rFonts w:ascii="Arial" w:cs="Arial" w:eastAsia="Arial" w:hAnsi="Arial"/>
          <w:sz w:val="17"/>
          <w:szCs w:val="17"/>
          <w:color w:val="auto"/>
        </w:rPr>
        <w:t>In August 2014, we entered into the Boehringer Agreement with Boehringer Ingelheim whereby we granted Boehringer Ingelheim an exclusive, worldwide, sublicensable (subject to certain conditions) license under certain of our intellectual property for the development and commercialization of our investigational therapeutic mRNA vaccine BI 1361849 (formerly CV9202) and products containing such vaccine for all uses for cancer in humans. We additionally granted Boehringer Ingelheim an option to obtain an additional exclusive license for no additional fee to develop and commercialize an additional vaccine derived from BI 1361849 (formerly CV9202) for all uses for cancer in humans, which option right expires in August 2024. As of September 30, 2020, Boehringer Ingelheim has not exercised its option right. The Boehringer Agreement was amended in June 2015, August 2016 and August 2019.</w:t>
      </w:r>
    </w:p>
    <w:p>
      <w:pPr>
        <w:spacing w:after="0" w:line="116" w:lineRule="exact"/>
        <w:rPr>
          <w:sz w:val="20"/>
          <w:szCs w:val="20"/>
          <w:color w:val="auto"/>
        </w:rPr>
      </w:pPr>
    </w:p>
    <w:p>
      <w:pPr>
        <w:ind w:left="1260" w:right="419" w:firstLine="648"/>
        <w:spacing w:after="0" w:line="253" w:lineRule="auto"/>
        <w:rPr>
          <w:sz w:val="20"/>
          <w:szCs w:val="20"/>
          <w:color w:val="auto"/>
        </w:rPr>
      </w:pPr>
      <w:r>
        <w:rPr>
          <w:rFonts w:ascii="Arial" w:cs="Arial" w:eastAsia="Arial" w:hAnsi="Arial"/>
          <w:sz w:val="17"/>
          <w:szCs w:val="17"/>
          <w:color w:val="auto"/>
        </w:rPr>
        <w:t>Under the collaboration, Boehringer Ingelheim agreed to start clinical investigation of BI 1361849 (formerly CV9202) in at least two different lung cancer settings: in combination with afatinib in patients with advanced or metastatic epidermal growth factor mutated non-small cell lung cancer, or NSCLC, and in combination with chemo-radiation therapy in patients with unresectable stage III NSCLC. This clinical development plan was later revised due to the establishment of checkpoint blocking antibody treatments as a new standard-of -care option for the treatment of advanced NSCLC and due to demonstrated synergy between mRNA vaccines and checkpoint blocking antibodies in preclinical models. BI 1361849 (formerly CV9202) is currently in Phase 1/2 of clinical investigation in combination with two checkpoint blocking antibodies, Durvalumab, a PD-L1 antibody, and Tremelimumab, a CTLA4 antibody, both by Medimmune, in a trial sponsored by the Ludwig Institute for Cancer Research.</w:t>
      </w:r>
    </w:p>
    <w:p>
      <w:pPr>
        <w:spacing w:after="0" w:line="99" w:lineRule="exact"/>
        <w:rPr>
          <w:sz w:val="20"/>
          <w:szCs w:val="20"/>
          <w:color w:val="auto"/>
        </w:rPr>
      </w:pPr>
    </w:p>
    <w:p>
      <w:pPr>
        <w:ind w:left="1260" w:right="459" w:firstLine="648"/>
        <w:spacing w:after="0" w:line="267" w:lineRule="auto"/>
        <w:rPr>
          <w:sz w:val="20"/>
          <w:szCs w:val="20"/>
          <w:color w:val="auto"/>
        </w:rPr>
      </w:pPr>
      <w:r>
        <w:rPr>
          <w:rFonts w:ascii="Arial" w:cs="Arial" w:eastAsia="Arial" w:hAnsi="Arial"/>
          <w:sz w:val="17"/>
          <w:szCs w:val="17"/>
          <w:color w:val="auto"/>
        </w:rPr>
        <w:t>Boehringer Ingelheim is obligated to use commercially reasonable efforts to progress the development and commercialization of BI 1361849 (formerly CV9202). We are required to use commercially reasonable efforts to progress certain research and development activities in respect of the manufacturing of BI 1361849 (formerly CV9202). We are required to provide all BI 1361849 (formerly CV9202) required for nonclinical and clinical development and for commercialization. In the event we fail to meet certain manufacturing benchmarks, Boehringer Ingelheim will have the right to assume the manufacture of BI 1361849 (formerly CV9202). The Boehringer Agreement provides for the creation of a joint steering committee which is responsible for the review of development plans, the monitoring of development activities and the exchange of development data and other technical information. With certain limited exceptions, Boehringer Ingelheim is responsible for all regulatory matters provided that we have the right and obligation to review and comment on all regulatory filings to the extent such filings relate to BI 1361849 (formerly CV9202). In the event Boehringer Ingelheim or its affiliates or sublicensees commence clinical trials or commercialization of any mRNA-based protamine-complex vaccine targeting any of the indications for which Boehringer Ingelheim is developing BI 1361849 (formerly CV9202), we have the right to convert the exclusive license granted to Boehringer Ingelheim under the Boehringer Agreement to a non-exclusive license and Boehringer Ingelheim will be required to grant us a non-exclusive license to any intellectual property developed under the Boehringer Agreement, subject to certain exceptions, for the development, manufacture and commercialization of BI 1361849 (formerly CV9202).</w:t>
      </w:r>
    </w:p>
    <w:p>
      <w:pPr>
        <w:spacing w:after="0" w:line="122" w:lineRule="exact"/>
        <w:rPr>
          <w:sz w:val="20"/>
          <w:szCs w:val="20"/>
          <w:color w:val="auto"/>
        </w:rPr>
      </w:pPr>
    </w:p>
    <w:p>
      <w:pPr>
        <w:ind w:left="1260" w:right="559" w:firstLine="648"/>
        <w:spacing w:after="0" w:line="253" w:lineRule="auto"/>
        <w:rPr>
          <w:sz w:val="20"/>
          <w:szCs w:val="20"/>
          <w:color w:val="auto"/>
        </w:rPr>
      </w:pPr>
      <w:r>
        <w:rPr>
          <w:rFonts w:ascii="Arial" w:cs="Arial" w:eastAsia="Arial" w:hAnsi="Arial"/>
          <w:sz w:val="18"/>
          <w:szCs w:val="18"/>
          <w:color w:val="auto"/>
        </w:rPr>
        <w:t>Under the terms of the Boehringer Agreement, Boehringer Ingelheim was required to pay us an upfront payment of €30 million and an additional upfront option fee of €5 million. As of September 30, 2020, we have received €7 million in development milestone payments and can further achieve up to an additional €73 million in development milestone payments, €250 million in regulatory milestone payments and €100 million in commercial milestone payments. In addition, Boehringer Ingelheim agreed to pay us royalties in the low teens on net sales, subject to certain potential customary reductions. Boehringer Ingelheim’s royalty obligations continue on a product-by-product and country-by-country basis in certain major markets until the latest of the date when there are no valid patent claims under our licensed patents covering such licensed product in such country, the date when regulatory exclusivity for such licensed product in the applicable country expires and 12 years following the date of the first commercial sale of such</w:t>
      </w:r>
    </w:p>
    <w:p>
      <w:pPr>
        <w:sectPr>
          <w:pgSz w:w="11900" w:h="16838" w:orient="portrait"/>
          <w:cols w:equalWidth="0" w:num="1">
            <w:col w:w="9879"/>
          </w:cols>
          <w:pgMar w:left="580" w:top="132" w:right="1440" w:bottom="1440" w:gutter="0" w:footer="0" w:header="0"/>
        </w:sectPr>
      </w:pP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16" w:name="page217"/>
    <w:bookmarkEnd w:id="2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579"/>
        <w:spacing w:after="0" w:line="253" w:lineRule="auto"/>
        <w:rPr>
          <w:sz w:val="20"/>
          <w:szCs w:val="20"/>
          <w:color w:val="auto"/>
        </w:rPr>
      </w:pPr>
      <w:r>
        <w:rPr>
          <w:rFonts w:ascii="Arial" w:cs="Arial" w:eastAsia="Arial" w:hAnsi="Arial"/>
          <w:sz w:val="17"/>
          <w:szCs w:val="17"/>
          <w:color w:val="auto"/>
        </w:rPr>
        <w:t>licensed product in such country if such country is designated as a major market or 15 years following the date of the first commercial sale of such licensed product in any non-major market country if such country is not designated as a major-market country. We are responsible for any payment obligations arising under certain existing third-party license agreements and costs we incur in relation to the research and development of BI 1361849 (formerly CV9202) manufacturing technology. Boehringer Ingelheim is responsible for all other development and commercialization costs and is required to reimburse us for any such costs we may incur. As of September 30, 2020, Boehringer Ingelheim has made payments to us for a net amount of approximately €7.4 million for the supply of materials and reimbursing us for development costs. We have received no royalty payments.</w:t>
      </w:r>
    </w:p>
    <w:p>
      <w:pPr>
        <w:spacing w:after="0" w:line="116" w:lineRule="exact"/>
        <w:rPr>
          <w:sz w:val="20"/>
          <w:szCs w:val="20"/>
          <w:color w:val="auto"/>
        </w:rPr>
      </w:pPr>
    </w:p>
    <w:p>
      <w:pPr>
        <w:ind w:left="1260" w:right="419" w:firstLine="648"/>
        <w:spacing w:after="0" w:line="250" w:lineRule="auto"/>
        <w:rPr>
          <w:sz w:val="20"/>
          <w:szCs w:val="20"/>
          <w:color w:val="auto"/>
        </w:rPr>
      </w:pPr>
      <w:r>
        <w:rPr>
          <w:rFonts w:ascii="Arial" w:cs="Arial" w:eastAsia="Arial" w:hAnsi="Arial"/>
          <w:sz w:val="17"/>
          <w:szCs w:val="17"/>
          <w:color w:val="auto"/>
        </w:rPr>
        <w:t>Boehringer Ingelheim solely owns any intellectual property arising out of the collaboration that is both only dependent upon or covered by Boehringer Ingelheim’s preexisting intellectual property and does not relate to the development or manufacture of BI 1361849 (formerly CV9202) or other RNA -based products owned or in-licensed by us, as well as any intellectual property that is solely directed to the composition of matter, the formulation or use of BI 1361849 (formerly CV9202) and not applicable to any other vaccine. We own any intellectual property arising out of the collaboration that is dependent upon or covered by our preexisting intellectual property and not Boehringer Ingelheim’s preexisting intellectual property, and is not solely directed to the composition of matter, the formulation or use of BI 1361849 (formerly CV9202), as well as any intellectual property that is directed to the development or manufacture of BI 1361849 (formerly CV9202) or other RNA-based products owned or in-licensed by us. All other intellectual property developed under the Boehringer Agreement is jointly owned by us and Boehringer Ingelheim. Boehringer Ingelheim grants us a fully paid-up, irrevocable, perpetual, sublicensable and transferable license under any intellectual property developed under the Boehringer Agreement and owned by Boehringer Ingelheim for the manufacture of BI 1361849 (formerly CV9202), the exploitation of any product other than BI 1361849 (formerly CV9202) and for any use other than uses for cancer in humans. We grant Boehringer Ingelheim a cost-free, fully paid-up, non-exclusive, irrevocable, perpetual, sublicensable and transferable license under intellectual property developed under the Boehringer Agreement and assigned to us by Boehringer Ingelheim for exploitation outside of the scope of the Boehringer Agreement. Upon the occurrence of a certain milestone event, we must assign to Boehringer Ingelheim certain patent rights that relate specifically to BI 1361849 (formerly CV9202) and Boehringer Ingelheim will grant us an exclusive, irrevocable, perpetual, cost- free, sublicensable and transferable license to use such patent rights for the manufacture of BI 1361849 (formerly CV9202), the exploitation of any product other than BI 1361849 (formerly CV9202) and for any use other than uses for cancer in humans.</w:t>
      </w:r>
    </w:p>
    <w:p>
      <w:pPr>
        <w:spacing w:after="0" w:line="123" w:lineRule="exact"/>
        <w:rPr>
          <w:sz w:val="20"/>
          <w:szCs w:val="20"/>
          <w:color w:val="auto"/>
        </w:rPr>
      </w:pPr>
    </w:p>
    <w:p>
      <w:pPr>
        <w:ind w:left="1260" w:right="419" w:firstLine="648"/>
        <w:spacing w:after="0" w:line="250" w:lineRule="auto"/>
        <w:rPr>
          <w:sz w:val="20"/>
          <w:szCs w:val="20"/>
          <w:color w:val="auto"/>
        </w:rPr>
      </w:pPr>
      <w:r>
        <w:rPr>
          <w:rFonts w:ascii="Arial" w:cs="Arial" w:eastAsia="Arial" w:hAnsi="Arial"/>
          <w:sz w:val="17"/>
          <w:szCs w:val="17"/>
          <w:color w:val="auto"/>
        </w:rPr>
        <w:t>The term of the Boehringer Agreement will continue on a country-by-country and product-by-product basis until the expiration of the last to expire royalty term, unless terminated earlier by either party. Boehringer Ingelheim may terminate the Boehringer Agreement for convenience following a certain notice period. Either party may terminate the Boehringer Agreement upon the other’s material breach, following a cure period. In addition, we may terminate the Boehringer Agreement if Boehringer Ingelheim or any of its affiliates, directly or indirectly, challenges or assists a third party to challenge the validity of licensed patent rights. Upon expiration of the Boehringer Agreement, Boehringer Ingelheim will retain the license granted to it under the Boehringer Agreement on an exclusive, irrevocable, perpetual, fully paid and royalty-free basis, with such license converting to a non-exclusive license after the later of a certain period following expiration of the Boehringer Agreement or such time as we no longer supply to Boehringer Ingelheim a certain percentage of its demand for BI 1361849 (formerly CV9202). Following expiration we are required to reasonably consider continuing to supply Boehringer Ingelheim with BI 1361849 (formerly CV9202) but in the event we cannot agree on the terms of such supply, we will be required to grant Boehringer Ingelheim a license to manufacture BI 1361849 (formerly CV9202) and provide technology transfer assistance in exchange for a € 5 million fee. Upon termination of the Boehringer Agreement, the rights and licenses granted by us to Boehringer Ingelheim will revert back to us, provided that Boehringer Ingelheim has the right to sell off existing inventory of BI 1361849 (formerly CV9202) for a certain period. In the event of our material breach, Boehringer Ingelheim may elect to terminate the Boehringer Agreement, in which case we must reimburse Boehringer Ingelheim for all wind down expenses of ongoing clinical trials, or continue to exercise its rights and obligations under the Boehringer Agreement, receive damages from us determined in a dispute resolution proceeding and continue paying us milestone and royalty payments. In the event of termination by Boehringer Ingelheim for convenience or by us for Boehringer Ingelheim’s patent challenge or material breach, Boehringer Ingelheim must assign to us all regulatory approvals or applications and grant us a</w:t>
      </w:r>
    </w:p>
    <w:p>
      <w:pPr>
        <w:spacing w:after="0" w:line="200" w:lineRule="exact"/>
        <w:rPr>
          <w:sz w:val="20"/>
          <w:szCs w:val="20"/>
          <w:color w:val="auto"/>
        </w:rPr>
      </w:pPr>
    </w:p>
    <w:p>
      <w:pPr>
        <w:spacing w:after="0" w:line="36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7" w:name="page218"/>
    <w:bookmarkEnd w:id="2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99"/>
        <w:spacing w:after="0" w:line="286" w:lineRule="auto"/>
        <w:rPr>
          <w:sz w:val="20"/>
          <w:szCs w:val="20"/>
          <w:color w:val="auto"/>
        </w:rPr>
      </w:pPr>
      <w:r>
        <w:rPr>
          <w:rFonts w:ascii="Arial" w:cs="Arial" w:eastAsia="Arial" w:hAnsi="Arial"/>
          <w:sz w:val="17"/>
          <w:szCs w:val="17"/>
          <w:color w:val="auto"/>
        </w:rPr>
        <w:t>non-exclusive, cost-free, perpetual and worldwide license to intellectual property held by Boehringer Ingeheim that has been used in the development, manufacture or commercialization of BI 1361849 (formerly CV9202) or any other product developed under the Boehringer Agreement.</w:t>
      </w:r>
    </w:p>
    <w:p>
      <w:pPr>
        <w:spacing w:after="0" w:line="165"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Bill &amp; Melinda Gates Foundation Partnership</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In May 2014, we entered into a grant agreement with the Bill &amp; Melinda Gates Foundation for the</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development of a vaccine for rotaviruses. Under the terms of the grant, as amended by an amendment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entered into November 2020, the Bill &amp; Melinda Gates Foundation will provide up to approximately</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$2.8 million in funding and we are required to perform certain activities specified in a project collaboration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plan. As of Septemeber 30, 2020, we have received approximately $2.0 million in funding under the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agreement. We own all intellectual property created using grant funding; however, we must make any Bill &amp;</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Melinda Gates Foundation-funded products available at an affordable price in a list of clearly defined low</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and lower middle-income countries. The term of the rotavirus agreement continues until October 2021. Both</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parties have the right to terminate the agreement for convenience following a notice period or in the event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 the other party’s material breach following a cure period. Our global access commitments survive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termination or expiration of the agreement.</w:t>
      </w:r>
    </w:p>
    <w:p>
      <w:pPr>
        <w:spacing w:after="0" w:line="143" w:lineRule="exact"/>
        <w:rPr>
          <w:sz w:val="20"/>
          <w:szCs w:val="20"/>
          <w:color w:val="auto"/>
        </w:rPr>
      </w:pPr>
    </w:p>
    <w:p>
      <w:pPr>
        <w:ind w:left="1260" w:right="419" w:firstLine="648"/>
        <w:spacing w:after="0" w:line="253" w:lineRule="auto"/>
        <w:rPr>
          <w:sz w:val="20"/>
          <w:szCs w:val="20"/>
          <w:color w:val="auto"/>
        </w:rPr>
      </w:pPr>
      <w:r>
        <w:rPr>
          <w:rFonts w:ascii="Arial" w:cs="Arial" w:eastAsia="Arial" w:hAnsi="Arial"/>
          <w:sz w:val="18"/>
          <w:szCs w:val="18"/>
          <w:color w:val="auto"/>
        </w:rPr>
        <w:t>In March 2015, the Bill &amp; Melinda Gates Foundation made an equity investment of $40 million to support continued development of our RNA technology platform and the construction of an industrial scale cGMP production facility, and we entered into the Global Access Commitments Agreement with the Bill &amp; Melinda Gates Foundation in February 2015 pursuant to which we are required to take certain actions to support the Bill &amp; Melinda Gates Foundation’s mission. In particular, we are required to conduct development activities for up to three concurrent projects to be proposed by the Bill &amp; Melinda Gates Foundation, subject to our right to reject proposed projects where we believe there is a reasonable likelihood of a material adverse effect on us. The costs of such projects will be allocated on a project-by-project basis in proportion to the allocation of the expected benefits. All intellectual property developed in connection with such projects will be owned by us.</w:t>
      </w:r>
    </w:p>
    <w:p>
      <w:pPr>
        <w:spacing w:after="0" w:line="113" w:lineRule="exact"/>
        <w:rPr>
          <w:sz w:val="20"/>
          <w:szCs w:val="20"/>
          <w:color w:val="auto"/>
        </w:rPr>
      </w:pPr>
    </w:p>
    <w:p>
      <w:pPr>
        <w:ind w:left="1260" w:right="599" w:firstLine="648"/>
        <w:spacing w:after="0" w:line="255" w:lineRule="auto"/>
        <w:rPr>
          <w:sz w:val="20"/>
          <w:szCs w:val="20"/>
          <w:color w:val="auto"/>
        </w:rPr>
      </w:pPr>
      <w:r>
        <w:rPr>
          <w:rFonts w:ascii="Arial" w:cs="Arial" w:eastAsia="Arial" w:hAnsi="Arial"/>
          <w:sz w:val="18"/>
          <w:szCs w:val="18"/>
          <w:color w:val="auto"/>
        </w:rPr>
        <w:t>Under the terms of the Global Access Commitments Agreement, any Bill &amp; Melinda Gates Foundation-funded products will be made available by us at an affordable price in a list of clearly defined low and lower middle-income countries, while we will be able to market such products in developed countries on our own or through licensees. In addition, the new manufacturing facility will have dedicated capacity to focus on products resulting from Bill &amp; Melinda Gates Foundation-related projects for distribution in such low and lower middle-income countries.</w:t>
      </w:r>
    </w:p>
    <w:p>
      <w:pPr>
        <w:spacing w:after="0" w:line="125" w:lineRule="exact"/>
        <w:rPr>
          <w:sz w:val="20"/>
          <w:szCs w:val="20"/>
          <w:color w:val="auto"/>
        </w:rPr>
      </w:pPr>
    </w:p>
    <w:p>
      <w:pPr>
        <w:ind w:left="1260" w:right="539" w:firstLine="648"/>
        <w:spacing w:after="0" w:line="253" w:lineRule="auto"/>
        <w:rPr>
          <w:sz w:val="20"/>
          <w:szCs w:val="20"/>
          <w:color w:val="auto"/>
        </w:rPr>
      </w:pPr>
      <w:r>
        <w:rPr>
          <w:rFonts w:ascii="Arial" w:cs="Arial" w:eastAsia="Arial" w:hAnsi="Arial"/>
          <w:sz w:val="18"/>
          <w:szCs w:val="18"/>
          <w:color w:val="auto"/>
        </w:rPr>
        <w:t>Our global access commitments are perpetual, however, our obligation to commence new development programs expires in February 2025. In the event that we commit a material breach of the Global Access Agreement, following a cure period, we must grant the Bill &amp; Melinda Gates Foundation a non-exclusive, perpetual, irrevocable, fully paid-up, royalty-free license under any intellectual property controlled by us covering any Bill &amp; Melinda Gates Foundation-funded products to develop, manufacture and commercialize such products in low and lower middle-income countries, and the Bill &amp; Melinda Gates Foundation will have certain withdrawal rights with respect to its equity investment in us. For more information on the Bill &amp; Melinda Gates Foundation’s withdrawal rights, see “Related Party Transactions — Investment and Shareholders’ Agreement.”</w:t>
      </w:r>
    </w:p>
    <w:p>
      <w:pPr>
        <w:spacing w:after="0" w:line="129" w:lineRule="exact"/>
        <w:rPr>
          <w:sz w:val="20"/>
          <w:szCs w:val="20"/>
          <w:color w:val="auto"/>
        </w:rPr>
      </w:pPr>
    </w:p>
    <w:p>
      <w:pPr>
        <w:ind w:left="1260" w:right="439" w:firstLine="648"/>
        <w:spacing w:after="0" w:line="269" w:lineRule="auto"/>
        <w:rPr>
          <w:sz w:val="20"/>
          <w:szCs w:val="20"/>
          <w:color w:val="auto"/>
        </w:rPr>
      </w:pPr>
      <w:r>
        <w:rPr>
          <w:rFonts w:ascii="Arial" w:cs="Arial" w:eastAsia="Arial" w:hAnsi="Arial"/>
          <w:sz w:val="17"/>
          <w:szCs w:val="17"/>
          <w:color w:val="auto"/>
        </w:rPr>
        <w:t>In November 2016 in connection with and subject to the terms of the Global Access Agreement, we were awarded a grant for up to approximately $0.9 million in funding from the Bill &amp; Melinda Gates Foundation for the development of a vaccine for picornaviruses. As of September 30, 2020, we have received approximately $0.7 million in funding under the grant agreement. We granted the Bill &amp; Melinda Gates Foundation a non-exclusive, perpetual, irrevocable, worldwide, royalty-free, fully paid-up, sub-licensable license to make, use, sell, offer to sell, import, distribute, copy, modify, create derivative works, publicly perform and display any products developed using grant funding; however, in the event we demonstrate to the satisfaction of the Bill &amp; Melinda Gates Foundation that we are able to meet its global access requirements, such license will be modified or terminated. The term of the picornavirus grant continues until January 2021; however, our global access commitments survive.</w:t>
      </w:r>
    </w:p>
    <w:p>
      <w:pPr>
        <w:spacing w:after="0" w:line="36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8" w:name="page219"/>
    <w:bookmarkEnd w:id="2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19" w:firstLine="648"/>
        <w:spacing w:after="0" w:line="253" w:lineRule="auto"/>
        <w:rPr>
          <w:sz w:val="20"/>
          <w:szCs w:val="20"/>
          <w:color w:val="auto"/>
        </w:rPr>
      </w:pPr>
      <w:r>
        <w:rPr>
          <w:rFonts w:ascii="Arial" w:cs="Arial" w:eastAsia="Arial" w:hAnsi="Arial"/>
          <w:sz w:val="17"/>
          <w:szCs w:val="17"/>
          <w:color w:val="auto"/>
        </w:rPr>
        <w:t>In November 2017, also in connection with and subject to the terms of the Global Access Agreement, we were awarded two additional grants for up to approximately $1.9 million and $1.5 million from the Bill &amp; Melinda Gates Foundation for the development of a universal influenza vaccine and a malaria vaccine, respectively. By an amendment entered into November 2020, our grant for the development of a malaria vaccine was increased by an additional approximately $0.8 million. As of September 30, 2020, we have received approximately $1.5 million and $0.8 million, respectively, in funding under each grant agreement. The programs will leverage our advanced RNActive® prophylactic vaccine technology to develop mRNA -based universal influenza and malaria vaccines. The malaria grant agreement continues until December 2021 and the universal influenza grant agreement continues until June 2021, unless terminated earlier by the Bill &amp; Melinda Gates Foundation.</w:t>
      </w:r>
    </w:p>
    <w:p>
      <w:pPr>
        <w:spacing w:after="0" w:line="113" w:lineRule="exact"/>
        <w:rPr>
          <w:sz w:val="20"/>
          <w:szCs w:val="20"/>
          <w:color w:val="auto"/>
        </w:rPr>
      </w:pPr>
    </w:p>
    <w:p>
      <w:pPr>
        <w:ind w:left="1260" w:right="419" w:firstLine="648"/>
        <w:spacing w:after="0" w:line="239" w:lineRule="auto"/>
        <w:rPr>
          <w:sz w:val="20"/>
          <w:szCs w:val="20"/>
          <w:color w:val="auto"/>
        </w:rPr>
      </w:pPr>
      <w:r>
        <w:rPr>
          <w:rFonts w:ascii="Arial" w:cs="Arial" w:eastAsia="Arial" w:hAnsi="Arial"/>
          <w:sz w:val="18"/>
          <w:szCs w:val="18"/>
          <w:color w:val="auto"/>
        </w:rPr>
        <w:t>The Bill &amp; Melinda Gates Foundation can terminate any of the three grant agreements entered into in connection with the Global Access Agreement early if it is not reasonably satisfied with our progress on a specific project, there are significant changes to our leadership, another issue arises which threatens a specific project’s success, there is a change in our control or tax status, or we fail to comply with the grant agreement. Our global access commitments survive termination or expiration. Any grant funds that have not been used for, or committed to, the underlying project upon expiration or termination of a grant agreement must be returned to the Bill &amp; Melinda Gates Foundation.</w:t>
      </w:r>
    </w:p>
    <w:p>
      <w:pPr>
        <w:spacing w:after="0" w:line="123" w:lineRule="exact"/>
        <w:rPr>
          <w:sz w:val="20"/>
          <w:szCs w:val="20"/>
          <w:color w:val="auto"/>
        </w:rPr>
      </w:pPr>
    </w:p>
    <w:p>
      <w:pPr>
        <w:ind w:left="1260" w:right="499" w:firstLine="648"/>
        <w:spacing w:after="0" w:line="237" w:lineRule="auto"/>
        <w:rPr>
          <w:sz w:val="20"/>
          <w:szCs w:val="20"/>
          <w:color w:val="auto"/>
        </w:rPr>
      </w:pPr>
      <w:r>
        <w:rPr>
          <w:rFonts w:ascii="Arial" w:cs="Arial" w:eastAsia="Arial" w:hAnsi="Arial"/>
          <w:sz w:val="18"/>
          <w:szCs w:val="18"/>
          <w:color w:val="auto"/>
        </w:rPr>
        <w:t>In July 2020, we amended the Global Access Agreement and entered into a Letter Agreement with GSK and the Bill &amp; Melinda Gates Foundation. Pursuant to this letter agreement, the Bill &amp; Melinda Gates Foundation released us of our global access commitments with respect to certain prophylactic and therapeutic vaccines based on our mRNA technology platform to be developed under the GSK Agreement. This release will remain in effect for a vaccine or medicine only for so long as it is in development or being commercialized under the GSK Agreement. The letter agreement does not release us from any of our obligations to initiate or continue projects under the Global Access Agreement or related grant agreements and GSK granted to us and the Bill &amp; Melinda Gates Foundation a non -exclusive, royalty-free, perpetual license under intellectual property arising from certain activities under the GSK Agreement to make vaccines arising from those projects available in low and lower middle-income countries as set forth in the Global Access Agreement.</w:t>
      </w:r>
    </w:p>
    <w:p>
      <w:pPr>
        <w:spacing w:after="0" w:line="195"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Coalition for Epidemic Preparedness Innovations Framework Partnering Agreement</w:t>
      </w:r>
    </w:p>
    <w:p>
      <w:pPr>
        <w:spacing w:after="0" w:line="144" w:lineRule="exact"/>
        <w:rPr>
          <w:sz w:val="20"/>
          <w:szCs w:val="20"/>
          <w:color w:val="auto"/>
        </w:rPr>
      </w:pPr>
    </w:p>
    <w:p>
      <w:pPr>
        <w:ind w:left="1260" w:right="459" w:firstLine="648"/>
        <w:spacing w:after="0"/>
        <w:rPr>
          <w:sz w:val="20"/>
          <w:szCs w:val="20"/>
          <w:color w:val="auto"/>
        </w:rPr>
      </w:pPr>
      <w:r>
        <w:rPr>
          <w:rFonts w:ascii="Arial" w:cs="Arial" w:eastAsia="Arial" w:hAnsi="Arial"/>
          <w:sz w:val="18"/>
          <w:szCs w:val="18"/>
          <w:color w:val="auto"/>
        </w:rPr>
        <w:t>In February 2019, we entered into the CEPI Agreement to develop our RNA Printer using certain intellectual property controlled by us covering the development and manufacture of mRNA products as well as certain additional intellectual property licensed to us. In connection with the CEPI Agreement we have entered into work orders for the preclinical development of a Lassa virus vaccine, a yellow fever vaccine and our rabies virus vaccine. In addition, we entered into a work package for the preclinical development and a Phase 1 clinical trial for our SARS-CoV-2 vaccine, CVnCoV.</w:t>
      </w:r>
    </w:p>
    <w:p>
      <w:pPr>
        <w:spacing w:after="0" w:line="122" w:lineRule="exact"/>
        <w:rPr>
          <w:sz w:val="20"/>
          <w:szCs w:val="20"/>
          <w:color w:val="auto"/>
        </w:rPr>
      </w:pPr>
    </w:p>
    <w:p>
      <w:pPr>
        <w:ind w:left="1260" w:right="419" w:firstLine="648"/>
        <w:spacing w:after="0" w:line="251" w:lineRule="auto"/>
        <w:rPr>
          <w:sz w:val="20"/>
          <w:szCs w:val="20"/>
          <w:color w:val="auto"/>
        </w:rPr>
      </w:pPr>
      <w:r>
        <w:rPr>
          <w:rFonts w:ascii="Arial" w:cs="Arial" w:eastAsia="Arial" w:hAnsi="Arial"/>
          <w:sz w:val="17"/>
          <w:szCs w:val="17"/>
          <w:color w:val="auto"/>
        </w:rPr>
        <w:t>We are required to use reasonable efforts to achieve certain development milestones and are responsible for conducting certain clinical trials. We are required to share clinical trial data with CEPI, subject to the terms of specific work packages entered into in connection with the CEPI Agreement. In the event of an infectious disease outbreak, where such outbreak can be addressed by a Lassa virus, SARS-CoV-2 or future vaccine developed under the CEPI Agreement, we must manufacture such vaccine for use in the area affected by the outbreak on economic terms that satisfy CEPI’s equitable access guidelines or otherwise allow CEPI or a third party to supply such vaccine in the affected area. For the initial term of the CEPI Agreement and for a certain period thereafter, in the event of an outbreak that cannot be addressed by a vaccine already developed under the CEPI Agreement, CEPI may request, and we may agree, that we will develop a product targeted against such outbreak or we will assist CEPI to develop a candidate product against such outbreak. In the event we decline to enter into such a development agreement, we will grant CEPI the right to develop and stockpile such vaccines under certain of our background intellectual property and intellectual property developed under the CEPI Agreement. We are additionally required to use reasonable efforts, at CEPI’s request, to submit certain optimized antigen nucleotide sequences for up to three specified pathogens in order for CEPI to start its own product development program. We have a right of first refusal to manufacture any pharmaceutical products developed by CEPI using the antigen nucleotide sequences we provide. In certain scenarios, including if we fail to provide Lassa virus, SARS-CoV-2 or future vaccines developed under the CEPI Agreement at prices that comply with CEPI’s equitable</w:t>
      </w:r>
    </w:p>
    <w:p>
      <w:pPr>
        <w:spacing w:after="0" w:line="35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9" w:name="page220"/>
    <w:bookmarkEnd w:id="2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559"/>
        <w:spacing w:after="0" w:line="262" w:lineRule="auto"/>
        <w:rPr>
          <w:sz w:val="20"/>
          <w:szCs w:val="20"/>
          <w:color w:val="auto"/>
        </w:rPr>
      </w:pPr>
      <w:r>
        <w:rPr>
          <w:rFonts w:ascii="Arial" w:cs="Arial" w:eastAsia="Arial" w:hAnsi="Arial"/>
          <w:sz w:val="17"/>
          <w:szCs w:val="17"/>
          <w:color w:val="auto"/>
        </w:rPr>
        <w:t>access guidelines, we must grant CEPI a license under certain of our background intellectual property and intellectual property developed under the CEPI Agreement to, among other things, develop our automation solution for use in treating such infectious diseases and to develop, manufacture and market such pharmaceutical products for use in geographic areas where there is a disease outbreak.</w:t>
      </w:r>
    </w:p>
    <w:p>
      <w:pPr>
        <w:spacing w:after="0" w:line="105" w:lineRule="exact"/>
        <w:rPr>
          <w:sz w:val="20"/>
          <w:szCs w:val="20"/>
          <w:color w:val="auto"/>
        </w:rPr>
      </w:pPr>
    </w:p>
    <w:p>
      <w:pPr>
        <w:ind w:left="1260" w:right="679" w:firstLine="648"/>
        <w:spacing w:after="0" w:line="241" w:lineRule="auto"/>
        <w:rPr>
          <w:sz w:val="20"/>
          <w:szCs w:val="20"/>
          <w:color w:val="auto"/>
        </w:rPr>
      </w:pPr>
      <w:r>
        <w:rPr>
          <w:rFonts w:ascii="Arial" w:cs="Arial" w:eastAsia="Arial" w:hAnsi="Arial"/>
          <w:sz w:val="18"/>
          <w:szCs w:val="18"/>
          <w:color w:val="auto"/>
        </w:rPr>
        <w:t>In connection with a December 2020 amendment to the CEPI Agreement, we agreed to provide CVnCoV to organizations operating under the COVAX Facility, a global collaboration to accelerate the development, production and equitable access to SARS-CoV-2 tests, treatments and vaccines. Under this amendment, we agreed to supply a certain percentage of our total capacity for distribution of CVnCoV to organizations participating in the COVAX Facility.</w:t>
      </w:r>
    </w:p>
    <w:p>
      <w:pPr>
        <w:spacing w:after="0" w:line="122" w:lineRule="exact"/>
        <w:rPr>
          <w:sz w:val="20"/>
          <w:szCs w:val="20"/>
          <w:color w:val="auto"/>
        </w:rPr>
      </w:pPr>
    </w:p>
    <w:p>
      <w:pPr>
        <w:ind w:left="1260" w:right="439" w:firstLine="648"/>
        <w:spacing w:after="0"/>
        <w:rPr>
          <w:sz w:val="20"/>
          <w:szCs w:val="20"/>
          <w:color w:val="auto"/>
        </w:rPr>
      </w:pPr>
      <w:r>
        <w:rPr>
          <w:rFonts w:ascii="Arial" w:cs="Arial" w:eastAsia="Arial" w:hAnsi="Arial"/>
          <w:sz w:val="18"/>
          <w:szCs w:val="18"/>
          <w:color w:val="auto"/>
        </w:rPr>
        <w:t>We are required to grant certain approved manufacturers all necessary rights to use certain of our preexisting intellectual property and intellectual property developed under the CEPI Agreement to further develop our automation solution and manufacture products for the treatment of certain diseases in geographic areas where there is an outbreak on economic terms that satisfy CEPI’s equitable access guidelines. We must provide all necessary commercially reasonable support to such approved manufacturers to facilitate such efforts.</w:t>
      </w:r>
    </w:p>
    <w:p>
      <w:pPr>
        <w:spacing w:after="0" w:line="108" w:lineRule="exact"/>
        <w:rPr>
          <w:sz w:val="20"/>
          <w:szCs w:val="20"/>
          <w:color w:val="auto"/>
        </w:rPr>
      </w:pPr>
    </w:p>
    <w:p>
      <w:pPr>
        <w:ind w:left="1260" w:right="419" w:firstLine="648"/>
        <w:spacing w:after="0" w:line="252" w:lineRule="auto"/>
        <w:rPr>
          <w:sz w:val="20"/>
          <w:szCs w:val="20"/>
          <w:color w:val="auto"/>
        </w:rPr>
      </w:pPr>
      <w:r>
        <w:rPr>
          <w:rFonts w:ascii="Arial" w:cs="Arial" w:eastAsia="Arial" w:hAnsi="Arial"/>
          <w:sz w:val="17"/>
          <w:szCs w:val="17"/>
          <w:color w:val="auto"/>
        </w:rPr>
        <w:t>CEPI agreed to contribute up to approximately $34 million in funding for projects undertaken under the CEPI Agreement and an additional $15.3 million in connection with development of CVnCoV. In the event of our commercial use of the pharmaceutical products developed under the CEPI Agreement, other than CVnCoV, we must notify CEPI and agree in good faith how such commercial benefits are to be equitably managed between the parties. As of September 30, 2020, we have received approximately</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€26.4 million in funding for projects undertaken under the CEPI Agreement.</w:t>
      </w:r>
    </w:p>
    <w:p>
      <w:pPr>
        <w:spacing w:after="0" w:line="128" w:lineRule="exact"/>
        <w:rPr>
          <w:sz w:val="20"/>
          <w:szCs w:val="20"/>
          <w:color w:val="auto"/>
        </w:rPr>
      </w:pPr>
    </w:p>
    <w:p>
      <w:pPr>
        <w:ind w:left="1260" w:right="559" w:firstLine="648"/>
        <w:spacing w:after="0" w:line="248" w:lineRule="auto"/>
        <w:rPr>
          <w:sz w:val="20"/>
          <w:szCs w:val="20"/>
          <w:color w:val="auto"/>
        </w:rPr>
      </w:pPr>
      <w:r>
        <w:rPr>
          <w:rFonts w:ascii="Arial" w:cs="Arial" w:eastAsia="Arial" w:hAnsi="Arial"/>
          <w:sz w:val="18"/>
          <w:szCs w:val="18"/>
          <w:color w:val="auto"/>
        </w:rPr>
        <w:t>We solely own all intellectual property developed under the CEPI Agreement but are required to obtain CEPI’s consent prior to exploiting any intellectual property developed under the CEPI Agreement if such exploitation is in conflict with or goes against CEPI’s mission or policies.</w:t>
      </w:r>
    </w:p>
    <w:p>
      <w:pPr>
        <w:spacing w:after="0" w:line="114" w:lineRule="exact"/>
        <w:rPr>
          <w:sz w:val="20"/>
          <w:szCs w:val="20"/>
          <w:color w:val="auto"/>
        </w:rPr>
      </w:pPr>
    </w:p>
    <w:p>
      <w:pPr>
        <w:ind w:left="1260" w:right="459" w:firstLine="648"/>
        <w:spacing w:after="0" w:line="251" w:lineRule="auto"/>
        <w:rPr>
          <w:sz w:val="20"/>
          <w:szCs w:val="20"/>
          <w:color w:val="auto"/>
        </w:rPr>
      </w:pPr>
      <w:r>
        <w:rPr>
          <w:rFonts w:ascii="Arial" w:cs="Arial" w:eastAsia="Arial" w:hAnsi="Arial"/>
          <w:sz w:val="17"/>
          <w:szCs w:val="17"/>
          <w:color w:val="auto"/>
        </w:rPr>
        <w:t>The CEPI Agreement will continue until February 2022 unless earlier terminated. Either party may terminate the CEPI Agreement if the other party commits a material breach or in the event of the other party’s insolvency following a cure period. CEPI has the right to terminate the CEPI Agreement immediately upon written notice in the event we take any action incompatible with CEPI’s mission, we and CEPI are unable to reach agreement on a development or marketing plan or on a project lead, we undergo a change of control, we are unable to achieve certain milestones or certain material safety or quality issues arise. In the event that CEPI terminates the CEPI Agreement, we will grant CEPI a license under our background intellectual property and intellectual property developed under the CEPI Agreement to, among other things, develop and use our RNA Printer for use in treating certain infectious diseases and to manufacture products developed under the CEPI Agreement. In the event we terminate the CEPI Agreement for CEPI’s material breach, CEPI must make all outstanding payments due to us under any work package relating to expenditures that we have already committed. Regardless of the cause of termination, our obligations in the event of an infectious disease outbreak will terminate and we must transfer any vaccines developed under the CEPI Agreement as well as all regulatory applications and regulatory approvals relating to such vaccines to CEPI and we retain the right to continue using intellectual property developed under the CEPI Agreement for any purpose. In certain situations, we may be required to return funding provided by CEPI. See note 3 to our financial statements contained elsewhere in this prospectus for further information on the terms of the funding provided by CEPI.</w:t>
      </w:r>
    </w:p>
    <w:p>
      <w:pPr>
        <w:spacing w:after="0" w:line="181"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Tesla Grohmann Development and Intellectual Property Agreement</w:t>
      </w:r>
    </w:p>
    <w:p>
      <w:pPr>
        <w:spacing w:after="0" w:line="144" w:lineRule="exact"/>
        <w:rPr>
          <w:sz w:val="20"/>
          <w:szCs w:val="20"/>
          <w:color w:val="auto"/>
        </w:rPr>
      </w:pPr>
    </w:p>
    <w:p>
      <w:pPr>
        <w:ind w:left="1260" w:right="479" w:firstLine="648"/>
        <w:spacing w:after="0" w:line="238" w:lineRule="auto"/>
        <w:rPr>
          <w:sz w:val="20"/>
          <w:szCs w:val="20"/>
          <w:color w:val="auto"/>
        </w:rPr>
      </w:pPr>
      <w:r>
        <w:rPr>
          <w:rFonts w:ascii="Arial" w:cs="Arial" w:eastAsia="Arial" w:hAnsi="Arial"/>
          <w:sz w:val="18"/>
          <w:szCs w:val="18"/>
          <w:color w:val="auto"/>
        </w:rPr>
        <w:t>In November 2015, we entered into the Tesla Grohmann Agreement with Tesla Grohmann pursuant to which Tesla Grohmann agreed to design, develop and manufacture certain automated manufacturing machines on our behalf. We are obligated to pay Tesla Grohmann a fee for each machine delivered by Tesla Grohmann and up to $50 million to $60 million in commercial milestone payments as well as certain development costs under each associated work order. As of September 30, 2020, we have paid Tesla Grohmann approximately €5 million to €6 million in development costs under various work orders and we have not paid any fees for machines provided under the Tesla Grohmann Agreement or made any milestone payments.</w:t>
      </w:r>
    </w:p>
    <w:p>
      <w:pPr>
        <w:spacing w:after="0" w:line="38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0" w:name="page221"/>
    <w:bookmarkEnd w:id="2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39" w:firstLine="648"/>
        <w:spacing w:after="0" w:line="252" w:lineRule="auto"/>
        <w:rPr>
          <w:sz w:val="20"/>
          <w:szCs w:val="20"/>
          <w:color w:val="auto"/>
        </w:rPr>
      </w:pPr>
      <w:r>
        <w:rPr>
          <w:rFonts w:ascii="Arial" w:cs="Arial" w:eastAsia="Arial" w:hAnsi="Arial"/>
          <w:sz w:val="17"/>
          <w:szCs w:val="17"/>
          <w:color w:val="auto"/>
        </w:rPr>
        <w:t>The parties jointly own any intellectual property developed under the Tesla Grohmann Agreement and Tesla Grohmann granted us a non-exclusive, royalty-free, perpetual, irrevocable as to existing machines, worldwide license to use, sublicense and distribute Tesla Grohmann background intellectual property that is incorporated into any machine developed under the Tesla Grohmann Agreement and an exclusive (only with respect to the machines, and until a certain period after the first commercial use of a machine, after which the license shall be non-exclusive), royalty-free, perpetual, irrevocable as to existing machines, worldwide license under Tesla Grohmann’s interest in any jointly owned intellectual property. We granted Tesla Grohmann a non-exclusive, non-transferable, no-charge license during the term of the Tesla Grohmann Agreement under our background intellectual property for Tesla Grohmann’s performance of its obligations under the Tesla Grohmann Agreement and a non-exclusive, royalty-free, perpetual, irrevocable as to existing machines, worldwide license under our interest in any jointly owned intellectual property to perform its obligations under the Tesla Grohmann Agreement and for applications and uses unrelated to the machines developed under the Tesla Grohmann Agreement.</w:t>
      </w:r>
    </w:p>
    <w:p>
      <w:pPr>
        <w:spacing w:after="0" w:line="113" w:lineRule="exact"/>
        <w:rPr>
          <w:sz w:val="20"/>
          <w:szCs w:val="20"/>
          <w:color w:val="auto"/>
        </w:rPr>
      </w:pPr>
    </w:p>
    <w:p>
      <w:pPr>
        <w:ind w:left="1260" w:right="459" w:firstLine="648"/>
        <w:spacing w:after="0" w:line="251" w:lineRule="auto"/>
        <w:rPr>
          <w:sz w:val="20"/>
          <w:szCs w:val="20"/>
          <w:color w:val="auto"/>
        </w:rPr>
      </w:pPr>
      <w:r>
        <w:rPr>
          <w:rFonts w:ascii="Arial" w:cs="Arial" w:eastAsia="Arial" w:hAnsi="Arial"/>
          <w:sz w:val="17"/>
          <w:szCs w:val="17"/>
          <w:color w:val="auto"/>
        </w:rPr>
        <w:t>The Tesla Grohmann Agreement continues on a machine- by-machine basis until ten years after the first commercial use of such machine. Either party may terminate any work order entered into in connection with the Tesla Grohmann Agreement for convenience upon written notice to the other party and either party may terminate a work order for the other party’s material breach following a cure period, or for the other party’s insolvency. In the event Tesla Grohmann terminates a work order for convenience or we terminate for Tesla Grohmann’s material breach or insolvency, Tesla Grohmann must grant us a non-exclusive, fully paid-up, worldwide, irrevocable, perpetual, transferable and sublicensable license under Tesla Grohmann background intellectual property and Tesla Grohmann’s interest in intellectual property developed under the Tesla Grohmann Agreement for us to complete, either on our own or with another supplier, the work under such terminated work order. In the event we terminate for convenience, we must pay Tesla Grohmann a termination fee. In the event Tesla Grohmann terminates for our material breach or insolvency, we must pay Tesla Grohmann a termination fee and grant Tesla Grohmann a non -exclusive, fully paid-up, sublicensable, worldwide irrevocable and perpetual license under our background intellectual property and our interest in the intellectual property developed under the Tesla Grohmann Agreement to manufacture machines relevant to the applicable work order.</w:t>
      </w:r>
    </w:p>
    <w:p>
      <w:pPr>
        <w:spacing w:after="0" w:line="187"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Eli Lilly License and Collaboration Agreement</w:t>
      </w:r>
    </w:p>
    <w:p>
      <w:pPr>
        <w:spacing w:after="0" w:line="158" w:lineRule="exact"/>
        <w:rPr>
          <w:sz w:val="20"/>
          <w:szCs w:val="20"/>
          <w:color w:val="auto"/>
        </w:rPr>
      </w:pPr>
    </w:p>
    <w:p>
      <w:pPr>
        <w:ind w:left="1260" w:right="459" w:firstLine="648"/>
        <w:spacing w:after="0" w:line="257" w:lineRule="auto"/>
        <w:rPr>
          <w:sz w:val="20"/>
          <w:szCs w:val="20"/>
          <w:color w:val="auto"/>
        </w:rPr>
      </w:pPr>
      <w:r>
        <w:rPr>
          <w:rFonts w:ascii="Arial" w:cs="Arial" w:eastAsia="Arial" w:hAnsi="Arial"/>
          <w:sz w:val="18"/>
          <w:szCs w:val="18"/>
          <w:color w:val="auto"/>
        </w:rPr>
        <w:t>In November 2017, we entered into the Eli Lilly Agreement with Eli Lilly focused on the development and commercialization of cancer vaccine products that can work as pre-manufactured vaccines for a well-defined patient subpopulation, to be selected by Eli Lilly, based on our proprietary RNActive® technology. In June 2020, we entered into a termination agreement with Eli Lilly, which we refer to as the Eli Lilly Termination Agreement.</w:t>
      </w:r>
    </w:p>
    <w:p>
      <w:pPr>
        <w:spacing w:after="0" w:line="107" w:lineRule="exact"/>
        <w:rPr>
          <w:sz w:val="20"/>
          <w:szCs w:val="20"/>
          <w:color w:val="auto"/>
        </w:rPr>
      </w:pPr>
    </w:p>
    <w:p>
      <w:pPr>
        <w:ind w:left="1260" w:right="439" w:firstLine="648"/>
        <w:spacing w:after="0" w:line="268" w:lineRule="auto"/>
        <w:rPr>
          <w:sz w:val="20"/>
          <w:szCs w:val="20"/>
          <w:color w:val="auto"/>
        </w:rPr>
      </w:pPr>
      <w:r>
        <w:rPr>
          <w:rFonts w:ascii="Arial" w:cs="Arial" w:eastAsia="Arial" w:hAnsi="Arial"/>
          <w:sz w:val="17"/>
          <w:szCs w:val="17"/>
          <w:color w:val="auto"/>
        </w:rPr>
        <w:t>Under the terms of the Eli Lilly Agreement, we granted Eli Lilly a worldwide, exclusive (even as to us), sublicensable (subject to certain conditions) license to develop, manufacture and commercialize licensed products comprised of mRNA constructs that express certain selected neoantigens for human use. We also granted Eli Lilly a worldwide, non-exclusive, sublicensable (subject to certain conditions) license to perform development activities under the Eli Lilly Agreement, including work required to select targets and related neoantigens. Eli Lilly granted us a worldwide, exclusive, non-sublicensable (except to our affiliates), royalty-free license under our licensed intellectual property solely to manufacture and supply Eli Lilly with vaccines for early clinical use. Eli Lilly also granted us a worldwide, non-exclusive, non-royalty bearing, non-sublicensable (except to our affiliates), fully paid-up license to perform development activities under the Eli Lilly Agreement. In 2017, we received an upfront payment of $50 million and an equity investment of €45 million and as of September 30, 2020, we have received approximately €14.6 million in payments for the supply of materials and reimbursements for development costs.Pursuant to the Eli Lilly Termination Agreement, all licenses granted under the Eli Lilly Agreement terminated and Eli Lilly has no further payment obligations to us under the Eli Lilly Agreement.</w:t>
      </w:r>
    </w:p>
    <w:p>
      <w:pPr>
        <w:spacing w:after="0" w:line="117" w:lineRule="exact"/>
        <w:rPr>
          <w:sz w:val="20"/>
          <w:szCs w:val="20"/>
          <w:color w:val="auto"/>
        </w:rPr>
      </w:pPr>
    </w:p>
    <w:p>
      <w:pPr>
        <w:ind w:left="1260" w:right="539" w:firstLine="648"/>
        <w:spacing w:after="0" w:line="279" w:lineRule="auto"/>
        <w:rPr>
          <w:sz w:val="20"/>
          <w:szCs w:val="20"/>
          <w:color w:val="auto"/>
        </w:rPr>
      </w:pPr>
      <w:r>
        <w:rPr>
          <w:rFonts w:ascii="Arial" w:cs="Arial" w:eastAsia="Arial" w:hAnsi="Arial"/>
          <w:sz w:val="17"/>
          <w:szCs w:val="17"/>
          <w:color w:val="auto"/>
        </w:rPr>
        <w:t>Under the terms of the Eli Lilly Termination Agreement, Eli Lilly is required to provide us access to certain analyses and data developed under the Eli Lilly Agreement and to transfer to us certain materials produced under the Eli Lilly Agreement. Eli Lilly additionally reassigned to us a certain composition of matter patent, which had been assigned from us to Eli Lilly under the Eli Lilly Agreement. We additionally</w:t>
      </w:r>
    </w:p>
    <w:p>
      <w:pPr>
        <w:spacing w:after="0" w:line="34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1" w:name="page222"/>
    <w:bookmarkEnd w:id="2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19"/>
        <w:spacing w:after="0" w:line="239" w:lineRule="auto"/>
        <w:rPr>
          <w:sz w:val="20"/>
          <w:szCs w:val="20"/>
          <w:color w:val="auto"/>
        </w:rPr>
      </w:pPr>
      <w:r>
        <w:rPr>
          <w:rFonts w:ascii="Arial" w:cs="Arial" w:eastAsia="Arial" w:hAnsi="Arial"/>
          <w:sz w:val="18"/>
          <w:szCs w:val="18"/>
          <w:color w:val="auto"/>
        </w:rPr>
        <w:t>have the option, for a certain period following the effective date of termination, to obtain a non -exclusive, royalty-bearing license under certain Eli Lilly intellectual property used in connection with the initial shared neoantigen product developed under the Eli Lilly Agreement to develop and commercialize such product and pay Eli Lilly a single-digit percentage royalty on net sales. Pursuant to the terms of the Eli Lilly Termination Agreement, we also granted Eli Lilly a right of first negotiation with respect to the initial shared neoantigen product developed under the Eli Lilly Agreement for a certain period following a certain milestone event.</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Sponsored Collaboration Agreements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Yale Collaborative Research Agreement</w:t>
      </w:r>
    </w:p>
    <w:p>
      <w:pPr>
        <w:spacing w:after="0" w:line="158" w:lineRule="exact"/>
        <w:rPr>
          <w:sz w:val="20"/>
          <w:szCs w:val="20"/>
          <w:color w:val="auto"/>
        </w:rPr>
      </w:pPr>
    </w:p>
    <w:p>
      <w:pPr>
        <w:ind w:left="1260" w:right="459" w:firstLine="648"/>
        <w:spacing w:after="0" w:line="238" w:lineRule="auto"/>
        <w:rPr>
          <w:sz w:val="20"/>
          <w:szCs w:val="20"/>
          <w:color w:val="auto"/>
        </w:rPr>
      </w:pPr>
      <w:r>
        <w:rPr>
          <w:rFonts w:ascii="Arial" w:cs="Arial" w:eastAsia="Arial" w:hAnsi="Arial"/>
          <w:sz w:val="18"/>
          <w:szCs w:val="18"/>
          <w:color w:val="auto"/>
        </w:rPr>
        <w:t>In July 2019, we entered into a Collaborative Research Agreement, which we refer to as the Yale Agreement, for research in mRNA-based pulmonary therapeutic candidates with Yale University, or Yale. Under the Yale Agreement, Yale will perform discovery research on targets related to pulmonary diseases and present therapeutic candidates to us for preclinical and subsequent clinical development. We are required to reimburse Yale for approximately $ 0.8 million in costs incurred in connection with research activities conducted under the Yale Agreement and for certain patent prosecution and maintenance costs. As of September 30, 2020, we have provided approximately $0.4 million in funding to Yale under the Yale Agreement.</w:t>
      </w:r>
    </w:p>
    <w:p>
      <w:pPr>
        <w:spacing w:after="0" w:line="126" w:lineRule="exact"/>
        <w:rPr>
          <w:sz w:val="20"/>
          <w:szCs w:val="20"/>
          <w:color w:val="auto"/>
        </w:rPr>
      </w:pPr>
    </w:p>
    <w:p>
      <w:pPr>
        <w:ind w:left="1260" w:right="459" w:firstLine="648"/>
        <w:spacing w:after="0" w:line="237" w:lineRule="auto"/>
        <w:rPr>
          <w:sz w:val="20"/>
          <w:szCs w:val="20"/>
          <w:color w:val="auto"/>
        </w:rPr>
      </w:pPr>
      <w:r>
        <w:rPr>
          <w:rFonts w:ascii="Arial" w:cs="Arial" w:eastAsia="Arial" w:hAnsi="Arial"/>
          <w:sz w:val="18"/>
          <w:szCs w:val="18"/>
          <w:color w:val="auto"/>
        </w:rPr>
        <w:t>Each party will solely own inventions it solely develops and will jointly own jointly developed inventions. Yale is required to grant us an exclusive license under Yale’s interest in any intellectual property developed under the Yale Agreement, subject to Yale’s retained right to use such intellectual property for academic purposes. Under any such license agreement, we will be required to pay Yale up to approximately $1.2 million in development milestone payments and $1.5 million in commercial milestone payments, an annual maintenance fee of between $10,000 and $60,000 until the first commercial sale of a licensed product and a low single-digit percentage royalty on net sales on a product-by-product and country-by-country basis until the later of the expiration of the last to expire claim covering such product in such country or ten years after the first commercial sale of such product in such country. Yale additionally granted us an exclusive option to negotiate an exclusive or non-exclusive license to certain background intellectual property.</w:t>
      </w:r>
    </w:p>
    <w:p>
      <w:pPr>
        <w:spacing w:after="0" w:line="114" w:lineRule="exact"/>
        <w:rPr>
          <w:sz w:val="20"/>
          <w:szCs w:val="20"/>
          <w:color w:val="auto"/>
        </w:rPr>
      </w:pPr>
    </w:p>
    <w:p>
      <w:pPr>
        <w:ind w:left="1260" w:right="439" w:firstLine="648"/>
        <w:spacing w:after="0"/>
        <w:rPr>
          <w:sz w:val="20"/>
          <w:szCs w:val="20"/>
          <w:color w:val="auto"/>
        </w:rPr>
      </w:pPr>
      <w:r>
        <w:rPr>
          <w:rFonts w:ascii="Arial" w:cs="Arial" w:eastAsia="Arial" w:hAnsi="Arial"/>
          <w:sz w:val="18"/>
          <w:szCs w:val="18"/>
          <w:color w:val="auto"/>
        </w:rPr>
        <w:t>The Yale Agreement will continue until June 2021, unless extended by mutual agreement or earlier terminated. We have the right to terminate the Yale Agreement for convenience following a certain notice period. Both parties have the right to terminate the Yale Agreement for the other party’s material breach following a cure period. If we terminate the Yale Agreement without reimbursing Yale for its research costs, Yale will have no obligation to grant us a license to intellectual property developed under the Yale Agreement.</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Schepens Institute Research Agreement</w:t>
      </w:r>
    </w:p>
    <w:p>
      <w:pPr>
        <w:spacing w:after="0" w:line="158" w:lineRule="exact"/>
        <w:rPr>
          <w:sz w:val="20"/>
          <w:szCs w:val="20"/>
          <w:color w:val="auto"/>
        </w:rPr>
      </w:pPr>
    </w:p>
    <w:p>
      <w:pPr>
        <w:ind w:left="1260" w:right="499" w:firstLine="648"/>
        <w:spacing w:after="0" w:line="251" w:lineRule="auto"/>
        <w:rPr>
          <w:sz w:val="20"/>
          <w:szCs w:val="20"/>
          <w:color w:val="auto"/>
        </w:rPr>
      </w:pPr>
      <w:r>
        <w:rPr>
          <w:rFonts w:ascii="Arial" w:cs="Arial" w:eastAsia="Arial" w:hAnsi="Arial"/>
          <w:sz w:val="17"/>
          <w:szCs w:val="17"/>
          <w:color w:val="auto"/>
        </w:rPr>
        <w:t>In March 2019, we entered into a Sponsored Research Agreement, which we refer to as the Schepens Agreement, with SERI, pursuant to which SERI agreed to perform certain research activities for mRNA-based eye therapy candidates. Under the Schepens Agreement, SERI granted us an exclusive option to initiate negotiations for an exclusive or non-exclusive license to SERI’s interest in any inventions developed under the Schepens Agreement. SERI additionally granted us an exclusive option to negotiate an exclusive license to certain background intellectual property. Under any such background intellectual property license, we will be required to pay SERI a $30,000 upfront payment, up to approximately</w:t>
      </w:r>
    </w:p>
    <w:p>
      <w:pPr>
        <w:spacing w:after="0" w:line="2" w:lineRule="exact"/>
        <w:rPr>
          <w:sz w:val="20"/>
          <w:szCs w:val="20"/>
          <w:color w:val="auto"/>
        </w:rPr>
      </w:pPr>
    </w:p>
    <w:p>
      <w:pPr>
        <w:ind w:left="1260" w:right="579"/>
        <w:spacing w:after="0" w:line="237" w:lineRule="auto"/>
        <w:rPr>
          <w:sz w:val="20"/>
          <w:szCs w:val="20"/>
          <w:color w:val="auto"/>
        </w:rPr>
      </w:pPr>
      <w:r>
        <w:rPr>
          <w:rFonts w:ascii="Arial" w:cs="Arial" w:eastAsia="Arial" w:hAnsi="Arial"/>
          <w:sz w:val="18"/>
          <w:szCs w:val="18"/>
          <w:color w:val="auto"/>
        </w:rPr>
        <w:t>$0.8 million in development milestone payments and $1.8 million in regulatory milestone payments, and a low single- digit percentage royalty on net sales subject to certain minimum annual payments. We are required to provide $1 million in funding to SERI in multiple payments during the term of the Schepens Agreement. As of September 30, 2020, we have provided approximately $0.8 million in funding to SERI under the Schepens Agreement.</w:t>
      </w:r>
    </w:p>
    <w:p>
      <w:pPr>
        <w:spacing w:after="0" w:line="123" w:lineRule="exact"/>
        <w:rPr>
          <w:sz w:val="20"/>
          <w:szCs w:val="20"/>
          <w:color w:val="auto"/>
        </w:rPr>
      </w:pPr>
    </w:p>
    <w:p>
      <w:pPr>
        <w:ind w:left="1260" w:right="559" w:firstLine="648"/>
        <w:spacing w:after="0" w:line="262" w:lineRule="auto"/>
        <w:rPr>
          <w:sz w:val="20"/>
          <w:szCs w:val="20"/>
          <w:color w:val="auto"/>
        </w:rPr>
      </w:pPr>
      <w:r>
        <w:rPr>
          <w:rFonts w:ascii="Arial" w:cs="Arial" w:eastAsia="Arial" w:hAnsi="Arial"/>
          <w:sz w:val="17"/>
          <w:szCs w:val="17"/>
          <w:color w:val="auto"/>
        </w:rPr>
        <w:t>Each party will solely own inventions it solely develops and will jointly own jointly developed inventions. We are responsible for all patent prosecution costs and if we elect not to cover the prosecution costs for SERI’s interest in intellectual property developed under the Schepens Agreement, SERI will have the right to license such inventions to third parties and we will have no rights in such inventions.</w:t>
      </w:r>
    </w:p>
    <w:p>
      <w:pPr>
        <w:spacing w:after="0" w:line="34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2" w:name="page223"/>
    <w:bookmarkEnd w:id="2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19" w:firstLine="648"/>
        <w:spacing w:after="0" w:line="238" w:lineRule="auto"/>
        <w:rPr>
          <w:sz w:val="20"/>
          <w:szCs w:val="20"/>
          <w:color w:val="auto"/>
        </w:rPr>
      </w:pPr>
      <w:r>
        <w:rPr>
          <w:rFonts w:ascii="Arial" w:cs="Arial" w:eastAsia="Arial" w:hAnsi="Arial"/>
          <w:sz w:val="18"/>
          <w:szCs w:val="18"/>
          <w:color w:val="auto"/>
        </w:rPr>
        <w:t>The Schepens Agreement continues until July 2021, unless extended by mutual agreement or earlier terminated. Both parties have the right to terminate the Schepens Agreement for the other party’s material breach following a cure period and SERI has the right to terminate in the event of our insolvency. We additionally have the right to terminate the Schepens Agreement for convenience following a notice period. In the event SERI terminates for our material breach or insolvency or we terminate for convenience, we must reimburse SERI for all costs incurred to date and provide certain additional funding for a three-month period. In the event we terminate for SERI’s material breach, we must reimburse SERI for all noncancellable commitments.</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Advance Purchase Agreements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European Commission — COVID-19 Vaccine Candidate</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Advance Purchase Agreement for our COVID-19 Vaccine Candidate</w:t>
      </w:r>
    </w:p>
    <w:p>
      <w:pPr>
        <w:spacing w:after="0" w:line="158" w:lineRule="exact"/>
        <w:rPr>
          <w:sz w:val="20"/>
          <w:szCs w:val="20"/>
          <w:color w:val="auto"/>
        </w:rPr>
      </w:pPr>
    </w:p>
    <w:p>
      <w:pPr>
        <w:ind w:left="1260" w:right="439" w:firstLine="648"/>
        <w:spacing w:after="0" w:line="251" w:lineRule="auto"/>
        <w:rPr>
          <w:sz w:val="20"/>
          <w:szCs w:val="20"/>
          <w:color w:val="auto"/>
        </w:rPr>
      </w:pPr>
      <w:r>
        <w:rPr>
          <w:rFonts w:ascii="Arial" w:cs="Arial" w:eastAsia="Arial" w:hAnsi="Arial"/>
          <w:sz w:val="17"/>
          <w:szCs w:val="17"/>
          <w:color w:val="auto"/>
        </w:rPr>
        <w:t>On November 30, 2020, we entered into an APA with the EC, acting on behalf and in the name of all Member States of the European Union, which provides for the advance purchase by the Member States of 225 million doses of the vaccine to be allocated among the Member States and the option to purchase up to an additional 180 million doses. The option may be exercised by the EC on behalf and in the name of the Member States. The APA provides for support to our operations in the form of two up-front payments. The first up-front payment of a mid nine- figure euro amount has already been paid by the EC on behalf of the Member States. The second up- front payment of a mid nine -figure euro amount is to be paid directly by the Member States and is due after an interim data package has been submitted by us to the EMA for the purpose of obtaining EU marketing authorization for CVnCoV. Such up-front payments must be used solely for the development and commercial supply of CVnCoV. We will be required to return any unspent amounts of the up-front payments if, among others, we fail to successfully develop CVnCoV or if we successfully develop CVnCoV, but we do not receive EU marketing authorization or fail to supply any doses of CVnCoV to any of the Member States by late 2021, unless we and the EC mutually agree to a later date. In addition, if any Member State decides to purchase additional doses pursuant to the option granted under the APA, we will be entitled to additional up-front payments that are not subject to such restrictions on use or return of unused amounts upon termination of the APA.</w:t>
      </w:r>
    </w:p>
    <w:p>
      <w:pPr>
        <w:spacing w:after="0" w:line="118" w:lineRule="exact"/>
        <w:rPr>
          <w:sz w:val="20"/>
          <w:szCs w:val="20"/>
          <w:color w:val="auto"/>
        </w:rPr>
      </w:pPr>
    </w:p>
    <w:p>
      <w:pPr>
        <w:ind w:left="1260" w:right="419" w:firstLine="648"/>
        <w:spacing w:after="0" w:line="252" w:lineRule="auto"/>
        <w:rPr>
          <w:sz w:val="20"/>
          <w:szCs w:val="20"/>
          <w:color w:val="auto"/>
        </w:rPr>
      </w:pPr>
      <w:r>
        <w:rPr>
          <w:rFonts w:ascii="Arial" w:cs="Arial" w:eastAsia="Arial" w:hAnsi="Arial"/>
          <w:sz w:val="18"/>
          <w:szCs w:val="18"/>
          <w:color w:val="auto"/>
        </w:rPr>
        <w:t>The APA will be terminated automatically if we notify the EC that we are unable to provide the vaccine because (i) the clinical trial results are not satisfactory, (ii) the clinical trial results do not meet their end point in terms of efficacy or safety or (iii) the EU marketing authorization was not granted. The termination will be effective unless the EC objects within 30 calendar days; provided, however, that such objection may only be based on reasonable grounds and taking into account the severity of the impact that continuation of the APA would have on our business. In addition, the EC shall have the right to terminate the APA, and each Member State the respective individual vaccine purchase orders, for the reasons specified in Section 14.2 of the APA, which among others, provides the EC the right to terminate the APA if we do not obtain EU marketing authorization by late 2021, unless we and the EC mutually agree to a later date, or if we are in material breach of our obligation to (i) obtain EU marketing authorization and establish sufficient manufacturing capacities to enable the manufacturing and supply of the contractually agreed volumes of our vaccine pursuant to the agreement, (ii) provide the doses of the vaccine according to the estimated delivery schedule or (iii) manufacture (or have manufactured) doses designated to participating Member States within the European Union at sites outside the EU, UK, the EEA or Switzerland without the prior consent of the EC.</w:t>
      </w:r>
    </w:p>
    <w:p>
      <w:pPr>
        <w:spacing w:after="0" w:line="115" w:lineRule="exact"/>
        <w:rPr>
          <w:sz w:val="20"/>
          <w:szCs w:val="20"/>
          <w:color w:val="auto"/>
        </w:rPr>
      </w:pPr>
    </w:p>
    <w:p>
      <w:pPr>
        <w:ind w:left="1260" w:right="599" w:firstLine="648"/>
        <w:spacing w:after="0" w:line="259" w:lineRule="auto"/>
        <w:rPr>
          <w:sz w:val="20"/>
          <w:szCs w:val="20"/>
          <w:color w:val="auto"/>
        </w:rPr>
      </w:pPr>
      <w:r>
        <w:rPr>
          <w:rFonts w:ascii="Arial" w:cs="Arial" w:eastAsia="Arial" w:hAnsi="Arial"/>
          <w:sz w:val="18"/>
          <w:szCs w:val="18"/>
          <w:color w:val="auto"/>
        </w:rPr>
        <w:t>We currently estimate the total value of the APA to be in the low 10-figure euro amount assuming no exercise of the option discussed above, but this estimate is subject to our ability to successfully deliver CVnCoV pursuant to the terms of the APA, including obtaining EU marketing authorization and establishing manufacturing capacities to supply sufficient quantities of CVnCoV.</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Intellectual Property</w:t>
      </w:r>
    </w:p>
    <w:p>
      <w:pPr>
        <w:spacing w:after="0" w:line="162" w:lineRule="exact"/>
        <w:rPr>
          <w:sz w:val="20"/>
          <w:szCs w:val="20"/>
          <w:color w:val="auto"/>
        </w:rPr>
      </w:pPr>
    </w:p>
    <w:p>
      <w:pPr>
        <w:ind w:left="1260" w:right="619" w:firstLine="648"/>
        <w:spacing w:after="0" w:line="308" w:lineRule="auto"/>
        <w:rPr>
          <w:sz w:val="20"/>
          <w:szCs w:val="20"/>
          <w:color w:val="auto"/>
        </w:rPr>
      </w:pPr>
      <w:r>
        <w:rPr>
          <w:rFonts w:ascii="Arial" w:cs="Arial" w:eastAsia="Arial" w:hAnsi="Arial"/>
          <w:sz w:val="17"/>
          <w:szCs w:val="17"/>
          <w:color w:val="auto"/>
        </w:rPr>
        <w:t>Our commercial success depends in part on our ability to obtain and maintain proprietary or intellectual property protection for our product candidates and our core technologies and other know-how,</w:t>
      </w: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3" w:name="page224"/>
    <w:bookmarkEnd w:id="2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519"/>
        <w:spacing w:after="0" w:line="238" w:lineRule="auto"/>
        <w:rPr>
          <w:sz w:val="20"/>
          <w:szCs w:val="20"/>
          <w:color w:val="auto"/>
        </w:rPr>
      </w:pPr>
      <w:r>
        <w:rPr>
          <w:rFonts w:ascii="Arial" w:cs="Arial" w:eastAsia="Arial" w:hAnsi="Arial"/>
          <w:sz w:val="18"/>
          <w:szCs w:val="18"/>
          <w:color w:val="auto"/>
        </w:rPr>
        <w:t>defend and enforce our patents, preserve the confidentiality of our trade secrets, operate our business without infringing, misappropriating or otherwise violating the intellectual property or proprietary rights of third parties and prevent third parties from infringing, misappropriating or otherwise violating our proprietary or intellectual property rights. We seek to protect our proprietary and intellectual property position by, among other methods, seeking and maintaining patents in the United States and other major markets. We also rely on trade secrets and know-how to protect aspects of our business that are not amenable to, or that we do not consider appropriate for, patent protection, which we generally seek to protect through contractual obligations with third parties.</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Patents</w:t>
      </w:r>
    </w:p>
    <w:p>
      <w:pPr>
        <w:spacing w:after="0" w:line="158" w:lineRule="exact"/>
        <w:rPr>
          <w:sz w:val="20"/>
          <w:szCs w:val="20"/>
          <w:color w:val="auto"/>
        </w:rPr>
      </w:pPr>
    </w:p>
    <w:p>
      <w:pPr>
        <w:ind w:left="1260" w:right="439" w:firstLine="648"/>
        <w:spacing w:after="0" w:line="238" w:lineRule="auto"/>
        <w:rPr>
          <w:sz w:val="20"/>
          <w:szCs w:val="20"/>
          <w:color w:val="auto"/>
        </w:rPr>
      </w:pPr>
      <w:r>
        <w:rPr>
          <w:rFonts w:ascii="Arial" w:cs="Arial" w:eastAsia="Arial" w:hAnsi="Arial"/>
          <w:sz w:val="18"/>
          <w:szCs w:val="18"/>
          <w:color w:val="auto"/>
        </w:rPr>
        <w:t>As of January 15, 2021, we own approximately 63 issued U.S. patents, 125 pending U.S. patent applications, 882 issued foreign patents (including 57 European patents, which have been validated in various European countries resulting in a total of approximately 608 national patents in European countries), 390 pending foreign patent applications (including 73 pending European patent applications) and 23 pending Patent Cooperation Treaty, or PCT, patent applications, including four pending U.S. patent applications, 18 foreign patent applications and two PCT patent applications that are jointly owned with third parties. These patents include claims relating to our RNAoptimizer technology platform, CV8102, BI 1361849 (formerly CV9202), CV7202, CV-SSIV, our COVID-19 vaccine candidate and our CVCM delivery system, as described further below.</w:t>
      </w:r>
    </w:p>
    <w:p>
      <w:pPr>
        <w:spacing w:after="0" w:line="191"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RNAoptimizer</w:t>
      </w:r>
    </w:p>
    <w:p>
      <w:pPr>
        <w:spacing w:after="0" w:line="158" w:lineRule="exact"/>
        <w:rPr>
          <w:sz w:val="20"/>
          <w:szCs w:val="20"/>
          <w:color w:val="auto"/>
        </w:rPr>
      </w:pPr>
    </w:p>
    <w:p>
      <w:pPr>
        <w:ind w:left="1260" w:right="439" w:firstLine="648"/>
        <w:spacing w:after="0" w:line="238" w:lineRule="auto"/>
        <w:rPr>
          <w:sz w:val="20"/>
          <w:szCs w:val="20"/>
          <w:color w:val="auto"/>
        </w:rPr>
      </w:pPr>
      <w:r>
        <w:rPr>
          <w:rFonts w:ascii="Arial" w:cs="Arial" w:eastAsia="Arial" w:hAnsi="Arial"/>
          <w:sz w:val="18"/>
          <w:szCs w:val="18"/>
          <w:color w:val="auto"/>
        </w:rPr>
        <w:t>As of January 15, 2021, we own 20 issued U.S. patents, 17 pending U.S. patent applications, 81 issued foreign patents, including in Europe, Canada, China, India, Japan, the Republic of Korea, Singapore, Russia, Mexico and Australia, and 115 pending foreign patent applications and four PCT patent application relating to our RNAoptimizer technology, including patents and patent applications relating to ORF optimization, UTR optimization, protein optimization and formulation. Our RNAoptimizer technology is used in our BI 1361849 (formerly CV9202), CV7202, CV-SSIV and SARS-CoV-2 product candidates. The issued patents are expected to expire between 2022 and 2037, excluding any additional term for patent term adjustments or patent term extensions. If granted, the pending patent applications would be expected to expire between 2022 and 2041, excluding any additional term for patent term adjustments or patent term extensions.</w:t>
      </w:r>
    </w:p>
    <w:p>
      <w:pPr>
        <w:spacing w:after="0" w:line="188"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CV8102</w:t>
      </w:r>
    </w:p>
    <w:p>
      <w:pPr>
        <w:spacing w:after="0" w:line="144" w:lineRule="exact"/>
        <w:rPr>
          <w:sz w:val="20"/>
          <w:szCs w:val="20"/>
          <w:color w:val="auto"/>
        </w:rPr>
      </w:pPr>
    </w:p>
    <w:p>
      <w:pPr>
        <w:ind w:left="1260" w:right="559" w:firstLine="648"/>
        <w:spacing w:after="0" w:line="239" w:lineRule="auto"/>
        <w:rPr>
          <w:sz w:val="20"/>
          <w:szCs w:val="20"/>
          <w:color w:val="auto"/>
        </w:rPr>
      </w:pPr>
      <w:r>
        <w:rPr>
          <w:rFonts w:ascii="Arial" w:cs="Arial" w:eastAsia="Arial" w:hAnsi="Arial"/>
          <w:sz w:val="18"/>
          <w:szCs w:val="18"/>
          <w:color w:val="auto"/>
        </w:rPr>
        <w:t>As of January 15, 2021, we own four issued U.S. patents, three pending U.S. patent applications, 31 issued foreign patents, including in Europe, Brazil, Canada, China, India, Japan, the Republic of Korea, Singapore, Russia, Mexico and Australia, and 24 pending foreign patent applications relating to our CV8102 product candidate. The issued patents are expected to expire between 2028 and 2036, excluding any additional term for patent term adjustments or patent term extensions. If granted, the pending applications would be expected to expire between 2029 and 2037, excluding any additional term for patent term adjustments or patent term extensions.</w:t>
      </w:r>
    </w:p>
    <w:p>
      <w:pPr>
        <w:spacing w:after="0" w:line="191"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BI 1361849 (formerly CV9202)</w:t>
      </w:r>
    </w:p>
    <w:p>
      <w:pPr>
        <w:spacing w:after="0" w:line="158" w:lineRule="exact"/>
        <w:rPr>
          <w:sz w:val="20"/>
          <w:szCs w:val="20"/>
          <w:color w:val="auto"/>
        </w:rPr>
      </w:pPr>
    </w:p>
    <w:p>
      <w:pPr>
        <w:ind w:left="1260" w:right="439" w:firstLine="648"/>
        <w:spacing w:after="0" w:line="239" w:lineRule="auto"/>
        <w:rPr>
          <w:sz w:val="20"/>
          <w:szCs w:val="20"/>
          <w:color w:val="auto"/>
        </w:rPr>
      </w:pPr>
      <w:r>
        <w:rPr>
          <w:rFonts w:ascii="Arial" w:cs="Arial" w:eastAsia="Arial" w:hAnsi="Arial"/>
          <w:sz w:val="18"/>
          <w:szCs w:val="18"/>
          <w:color w:val="auto"/>
        </w:rPr>
        <w:t>As of January 15, 2021, we own 12 issued U.S. patents, eight pending U.S. patent applications, 64 issued foreign patents, including in Europe, Canada, China, India, Japan, the Republic of Korea, Singapore, Russia, Mexico and Australia, and 60 pending foreign patent applications relating to our BI 1361849 (formerly CV9202) product candidate. The issued patents are expected to expire between 2022 and 2034, excluding any additional term for patent term adjustments or patent term extensions. If granted, the pending patent applications would be expected to expire between 2022 and 2034, excluding any additional term for patent term adjustments or patent term extensions.</w:t>
      </w:r>
    </w:p>
    <w:p>
      <w:pPr>
        <w:spacing w:after="0" w:line="191"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CV7202</w:t>
      </w:r>
    </w:p>
    <w:p>
      <w:pPr>
        <w:spacing w:after="0" w:line="158" w:lineRule="exact"/>
        <w:rPr>
          <w:sz w:val="20"/>
          <w:szCs w:val="20"/>
          <w:color w:val="auto"/>
        </w:rPr>
      </w:pPr>
    </w:p>
    <w:p>
      <w:pPr>
        <w:ind w:left="1260" w:right="819" w:firstLine="648"/>
        <w:spacing w:after="0" w:line="291" w:lineRule="auto"/>
        <w:rPr>
          <w:sz w:val="20"/>
          <w:szCs w:val="20"/>
          <w:color w:val="auto"/>
        </w:rPr>
      </w:pPr>
      <w:r>
        <w:rPr>
          <w:rFonts w:ascii="Arial" w:cs="Arial" w:eastAsia="Arial" w:hAnsi="Arial"/>
          <w:sz w:val="17"/>
          <w:szCs w:val="17"/>
          <w:color w:val="auto"/>
        </w:rPr>
        <w:t>As of January 15, 2021, we own six issued U.S. patents, four pending U.S. patent applications, 19 issued foreign patents, including in Europe, Canada, China, India, Japan, the Republic of Korea,</w:t>
      </w: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4" w:name="page225"/>
    <w:bookmarkEnd w:id="2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559"/>
        <w:spacing w:after="0" w:line="257" w:lineRule="auto"/>
        <w:rPr>
          <w:sz w:val="20"/>
          <w:szCs w:val="20"/>
          <w:color w:val="auto"/>
        </w:rPr>
      </w:pPr>
      <w:r>
        <w:rPr>
          <w:rFonts w:ascii="Arial" w:cs="Arial" w:eastAsia="Arial" w:hAnsi="Arial"/>
          <w:sz w:val="18"/>
          <w:szCs w:val="18"/>
          <w:color w:val="auto"/>
        </w:rPr>
        <w:t>Singapore, Russia, Mexico and Australia, and 28 pending foreign patent applications relating to our CV7202 product candidate. The issued patents are expected to expire between 2022 and 2034, excluding any additional term for patent term adjustments or patent term extensions. If granted, the pending patent applications would be expected to expire between 2022 and 2037, excluding any additional term for patent term adjustments or patent term extensions.</w:t>
      </w:r>
    </w:p>
    <w:p>
      <w:pPr>
        <w:spacing w:after="0" w:line="188"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CV-SSIV</w:t>
      </w:r>
    </w:p>
    <w:p>
      <w:pPr>
        <w:spacing w:after="0" w:line="158" w:lineRule="exact"/>
        <w:rPr>
          <w:sz w:val="20"/>
          <w:szCs w:val="20"/>
          <w:color w:val="auto"/>
        </w:rPr>
      </w:pPr>
    </w:p>
    <w:p>
      <w:pPr>
        <w:ind w:left="1260" w:right="559" w:firstLine="648"/>
        <w:spacing w:after="0" w:line="254" w:lineRule="auto"/>
        <w:rPr>
          <w:sz w:val="20"/>
          <w:szCs w:val="20"/>
          <w:color w:val="auto"/>
        </w:rPr>
      </w:pPr>
      <w:r>
        <w:rPr>
          <w:rFonts w:ascii="Arial" w:cs="Arial" w:eastAsia="Arial" w:hAnsi="Arial"/>
          <w:sz w:val="18"/>
          <w:szCs w:val="18"/>
          <w:color w:val="auto"/>
        </w:rPr>
        <w:t>As of January 15, 2021, we own eight issued U.S. patents, nine pending U.S. patent applications, 20 issued foreign patents, including in Europe, Canada, China, India, Japan, the Republic of Korea, Singapore, Russia, Mexico and Australia and 36 pending foreign patent applications relating to our CV-SSIV product candidate. The issued patents are expected to expire between 2022 and 2033, excluding any additional term for patent term adjustments or patent term extensions. If granted, the pending patent applications would be expected to expire between 2022 and 2038, excluding any additional term for patent term adjustments or patent term extensions.</w:t>
      </w:r>
    </w:p>
    <w:p>
      <w:pPr>
        <w:spacing w:after="0" w:line="195"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COVID-19 vaccine</w:t>
      </w:r>
    </w:p>
    <w:p>
      <w:pPr>
        <w:spacing w:after="0" w:line="158" w:lineRule="exact"/>
        <w:rPr>
          <w:sz w:val="20"/>
          <w:szCs w:val="20"/>
          <w:color w:val="auto"/>
        </w:rPr>
      </w:pPr>
    </w:p>
    <w:p>
      <w:pPr>
        <w:ind w:left="1260" w:right="439" w:firstLine="648"/>
        <w:spacing w:after="0" w:line="254" w:lineRule="auto"/>
        <w:rPr>
          <w:sz w:val="20"/>
          <w:szCs w:val="20"/>
          <w:color w:val="auto"/>
        </w:rPr>
      </w:pPr>
      <w:r>
        <w:rPr>
          <w:rFonts w:ascii="Arial" w:cs="Arial" w:eastAsia="Arial" w:hAnsi="Arial"/>
          <w:sz w:val="18"/>
          <w:szCs w:val="18"/>
          <w:color w:val="auto"/>
        </w:rPr>
        <w:t>As of January 15, 2021, we own five issued U.S. patents, 13 pending U.S. patent applications, 19 issued foreign patents, including in Europe, Canada, China, India, Japan, the Republic of Korea, Singapore, Russia, Mexico and Australia, 26 pending foreign patent applications and seven PCT patent applications relating to our COVID-19 product candidate. The issued patents are expected to expire between 2022 and 2033, excluding any additional term for patent term adjustments or patent term extensions. If granted, the pending patent applications would be expected to expire between 2022 and 2041, excluding any additional term for patent term adjustments or patent term extensions.</w:t>
      </w:r>
    </w:p>
    <w:p>
      <w:pPr>
        <w:spacing w:after="0" w:line="195"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CVCM delivery system</w:t>
      </w:r>
    </w:p>
    <w:p>
      <w:pPr>
        <w:spacing w:after="0" w:line="144" w:lineRule="exact"/>
        <w:rPr>
          <w:sz w:val="20"/>
          <w:szCs w:val="20"/>
          <w:color w:val="auto"/>
        </w:rPr>
      </w:pPr>
    </w:p>
    <w:p>
      <w:pPr>
        <w:ind w:left="1260" w:right="479" w:firstLine="648"/>
        <w:spacing w:after="0" w:line="254" w:lineRule="auto"/>
        <w:rPr>
          <w:sz w:val="20"/>
          <w:szCs w:val="20"/>
          <w:color w:val="auto"/>
        </w:rPr>
      </w:pPr>
      <w:r>
        <w:rPr>
          <w:rFonts w:ascii="Arial" w:cs="Arial" w:eastAsia="Arial" w:hAnsi="Arial"/>
          <w:sz w:val="18"/>
          <w:szCs w:val="18"/>
          <w:color w:val="auto"/>
        </w:rPr>
        <w:t>As of January 15, 2021, we own four issued U.S. patents, two pending U.S. patent applications, 12 issued foreign patents, including in Europe, Canada, China, India, Japan, the Republic of Korea, Singapore, Russia, Mexico and Australia, and 11 pending foreign patent applications relating to our proprietary CVCM delivery system. The issued patents are expected to expire between 2030 and 2037, excluding any additional term for patent term adjustments or patent term extensions. If granted, the pending applications would be expected to expire between 2029 and 2037, excluding any additional term for patent term adjustments or patent term extensions.</w:t>
      </w:r>
    </w:p>
    <w:p>
      <w:pPr>
        <w:spacing w:after="0" w:line="127" w:lineRule="exact"/>
        <w:rPr>
          <w:sz w:val="20"/>
          <w:szCs w:val="20"/>
          <w:color w:val="auto"/>
        </w:rPr>
      </w:pPr>
    </w:p>
    <w:p>
      <w:pPr>
        <w:ind w:left="1260" w:right="459" w:firstLine="648"/>
        <w:spacing w:after="0" w:line="269" w:lineRule="auto"/>
        <w:rPr>
          <w:sz w:val="20"/>
          <w:szCs w:val="20"/>
          <w:color w:val="auto"/>
        </w:rPr>
      </w:pPr>
      <w:r>
        <w:rPr>
          <w:rFonts w:ascii="Arial" w:cs="Arial" w:eastAsia="Arial" w:hAnsi="Arial"/>
          <w:sz w:val="17"/>
          <w:szCs w:val="17"/>
          <w:color w:val="auto"/>
        </w:rPr>
        <w:t>The term of individual patents depends upon the legal term for patents in the countries in which they are obtained. In most countries in which we have filed patent applications, including the United States, the patent term is 20 years from the earliest filing date of a non-provisional patent application. In the United States, a patent’s term may be lengthened by patent term adjustment, which compensates a patentee for administrative delays by the USPTO in examining and granting a patent, or may be shortened if a patent is terminally disclaimed over an earlier filed patent. The term of a patent that covers a drug or biological product may also be eligible for patent term extension when FDA approval is granted for a portion of the term effectively lost as a result of the FDA regulatory review period, subject to certain limitations and provided statutory and regulatory requirements are met. For more information on patent term extension, see “Business — Government Regulation — Patent Term Restoration and Extension.”</w:t>
      </w:r>
    </w:p>
    <w:p>
      <w:pPr>
        <w:spacing w:after="0" w:line="118" w:lineRule="exact"/>
        <w:rPr>
          <w:sz w:val="20"/>
          <w:szCs w:val="20"/>
          <w:color w:val="auto"/>
        </w:rPr>
      </w:pPr>
    </w:p>
    <w:p>
      <w:pPr>
        <w:ind w:left="1260" w:right="419" w:firstLine="648"/>
        <w:spacing w:after="0" w:line="269" w:lineRule="auto"/>
        <w:rPr>
          <w:sz w:val="20"/>
          <w:szCs w:val="20"/>
          <w:color w:val="auto"/>
        </w:rPr>
      </w:pPr>
      <w:r>
        <w:rPr>
          <w:rFonts w:ascii="Arial" w:cs="Arial" w:eastAsia="Arial" w:hAnsi="Arial"/>
          <w:sz w:val="17"/>
          <w:szCs w:val="17"/>
          <w:color w:val="auto"/>
        </w:rPr>
        <w:t>As with other biotechnology and pharmaceutical companies, our ability to maintain and solidify our proprietary and intellectual property position for our product candidates will depend on our success in obtaining effective patent claims and enforcing those claims if granted. However, our owned and licensed pending patent applications, and any patent applications that we may in the future file or license from third parties may not result in the issuance of patents. We also cannot predict the breadth of claims that may be allowed or enforced in our patents. Any issued patents that we may receive in the future may be challenged, invalidated, narrowed, held unenforceable, infringed or circumvented. In addition, because of the extensive time required for clinical development and regulatory review of a product candidate we may develop, it is possible that, before any of our product candidates can be commercialized, any related patent may expire or remain in force for only a short period following commercialization, thereby limiting the</w:t>
      </w:r>
    </w:p>
    <w:p>
      <w:pPr>
        <w:sectPr>
          <w:pgSz w:w="11900" w:h="16838" w:orient="portrait"/>
          <w:cols w:equalWidth="0" w:num="1">
            <w:col w:w="9879"/>
          </w:cols>
          <w:pgMar w:left="580" w:top="132" w:right="1440" w:bottom="1440" w:gutter="0" w:footer="0" w:header="0"/>
        </w:sectPr>
      </w:pPr>
    </w:p>
    <w:p>
      <w:pPr>
        <w:spacing w:after="0" w:line="36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25" w:name="page226"/>
    <w:bookmarkEnd w:id="2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559"/>
        <w:spacing w:after="0" w:line="277" w:lineRule="auto"/>
        <w:rPr>
          <w:sz w:val="20"/>
          <w:szCs w:val="20"/>
          <w:color w:val="auto"/>
        </w:rPr>
      </w:pPr>
      <w:r>
        <w:rPr>
          <w:rFonts w:ascii="Arial" w:cs="Arial" w:eastAsia="Arial" w:hAnsi="Arial"/>
          <w:sz w:val="18"/>
          <w:szCs w:val="18"/>
          <w:color w:val="auto"/>
        </w:rPr>
        <w:t>protection such patent would afford the respective product and any competitive advantage such patent may provide. See “Risk Factors — Risks Related to Our Intellectual Property Rights.”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Trademarks</w:t>
      </w:r>
    </w:p>
    <w:p>
      <w:pPr>
        <w:spacing w:after="0" w:line="158" w:lineRule="exact"/>
        <w:rPr>
          <w:sz w:val="20"/>
          <w:szCs w:val="20"/>
          <w:color w:val="auto"/>
        </w:rPr>
      </w:pPr>
    </w:p>
    <w:p>
      <w:pPr>
        <w:ind w:left="1260" w:right="459" w:firstLine="648"/>
        <w:spacing w:after="0" w:line="308" w:lineRule="auto"/>
        <w:rPr>
          <w:sz w:val="20"/>
          <w:szCs w:val="20"/>
          <w:color w:val="auto"/>
        </w:rPr>
      </w:pPr>
      <w:r>
        <w:rPr>
          <w:rFonts w:ascii="Arial" w:cs="Arial" w:eastAsia="Arial" w:hAnsi="Arial"/>
          <w:sz w:val="17"/>
          <w:szCs w:val="17"/>
          <w:color w:val="auto"/>
        </w:rPr>
        <w:t>As of November 20, 2020, we own trademark registrations or registration applications for CureVac, and the CureVac logo in the United States and in certain foreign jurisdictions including Europe.</w:t>
      </w:r>
    </w:p>
    <w:p>
      <w:pPr>
        <w:spacing w:after="0" w:line="14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Trade Secrets and Proprietary Information</w:t>
      </w:r>
    </w:p>
    <w:p>
      <w:pPr>
        <w:spacing w:after="0" w:line="158" w:lineRule="exact"/>
        <w:rPr>
          <w:sz w:val="20"/>
          <w:szCs w:val="20"/>
          <w:color w:val="auto"/>
        </w:rPr>
      </w:pPr>
    </w:p>
    <w:p>
      <w:pPr>
        <w:ind w:left="1260" w:right="419" w:firstLine="648"/>
        <w:spacing w:after="0" w:line="252" w:lineRule="auto"/>
        <w:rPr>
          <w:sz w:val="20"/>
          <w:szCs w:val="20"/>
          <w:color w:val="auto"/>
        </w:rPr>
      </w:pPr>
      <w:r>
        <w:rPr>
          <w:rFonts w:ascii="Arial" w:cs="Arial" w:eastAsia="Arial" w:hAnsi="Arial"/>
          <w:sz w:val="18"/>
          <w:szCs w:val="18"/>
          <w:color w:val="auto"/>
        </w:rPr>
        <w:t>In addition to patents, we rely upon unpatented trade secrets and know-how and continuing technological innovation to develop and maintain our competitive position. However, trade secrets and know-how can be difficult to protect. We seek to protect our proprietary information, in part, by executing confidentiality agreements with our collaborators and scientific advisors, and non-competition, non-solicitation, confidentiality, and invention assignment agreements with our employees, consultants, and independent contractors. We have also executed agreements requiring assignment of inventions with selected scientific advisors and collaborators. The confidentiality agreements we enter into are designed to protect our proprietary information and the agreements or clauses requiring assignment of inventions to us are designed to grant us ownership of technologies that are developed through our relationship with the respective counterparty. We cannot guarantee, however, that we have executed such agreements with all applicable counterparties, such agreements will not be breached, or that these agreements will afford us adequate protection of our intellectual property and proprietary rights. See “Risk Factors — Risks Related to Our Intellectual Property Rights.”</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Government Regulation</w:t>
      </w:r>
    </w:p>
    <w:p>
      <w:pPr>
        <w:spacing w:after="0" w:line="148" w:lineRule="exact"/>
        <w:rPr>
          <w:sz w:val="20"/>
          <w:szCs w:val="20"/>
          <w:color w:val="auto"/>
        </w:rPr>
      </w:pPr>
    </w:p>
    <w:p>
      <w:pPr>
        <w:ind w:left="1260" w:right="499" w:firstLine="648"/>
        <w:spacing w:after="0" w:line="253" w:lineRule="auto"/>
        <w:rPr>
          <w:sz w:val="20"/>
          <w:szCs w:val="20"/>
          <w:color w:val="auto"/>
        </w:rPr>
      </w:pPr>
      <w:r>
        <w:rPr>
          <w:rFonts w:ascii="Arial" w:cs="Arial" w:eastAsia="Arial" w:hAnsi="Arial"/>
          <w:sz w:val="18"/>
          <w:szCs w:val="18"/>
          <w:color w:val="auto"/>
        </w:rPr>
        <w:t>Government authorities in the United States, at the federal, state and local level, in other countries and jurisdictions and in the European Union,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including biological products. In addition, some jurisdictions regulate the pricing of pharmaceutical products. The processes for obtaining marketing approvals in the United States and in foreign countries and jurisdictions, along with subsequent compliance with applicable statutes and regulations and other requirements of regulatory authorities, require the expenditure of substantial time and financial resources.</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Patent Term Restoration and Extension</w:t>
      </w:r>
    </w:p>
    <w:p>
      <w:pPr>
        <w:spacing w:after="0" w:line="158" w:lineRule="exact"/>
        <w:rPr>
          <w:sz w:val="20"/>
          <w:szCs w:val="20"/>
          <w:color w:val="auto"/>
        </w:rPr>
      </w:pPr>
    </w:p>
    <w:p>
      <w:pPr>
        <w:ind w:left="1260" w:right="439" w:firstLine="648"/>
        <w:spacing w:after="0" w:line="267" w:lineRule="auto"/>
        <w:rPr>
          <w:sz w:val="20"/>
          <w:szCs w:val="20"/>
          <w:color w:val="auto"/>
        </w:rPr>
      </w:pPr>
      <w:r>
        <w:rPr>
          <w:rFonts w:ascii="Arial" w:cs="Arial" w:eastAsia="Arial" w:hAnsi="Arial"/>
          <w:sz w:val="17"/>
          <w:szCs w:val="17"/>
          <w:color w:val="auto"/>
        </w:rPr>
        <w:t>Depending upon the timing, duration and specifics of FDA approval of product candidates, some of a sponsor’s U.S. patents may be eligible for limited patent term extension under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generally is one-half the time between the effective date of an IND and the submission date of a BLA less any time the sponsor did not act with due diligence during the period, plus the time between the submission date of a BLA and the approval of that application less any time the sponsor did not act with due diligence during the period. Only one patent applicable to an approved biologic product is eligible for the extension, only those claims covering the approved drug, a method for using it, or a method for manufacturing it may be extended, and the application for the extension must be submitted prior to the expiration of the patent. Moreover, a given patent may only be extended once based on a single product. The USPTO, in consultation with the FDA, reviews and approves the application for any patent term extension or restoration. Similar provisions are available in Europe and other foreign jurisdictions to extend the term of a patent that covers an approved drug. In the future, if and when our products receive FDA approval, we expect to apply for patent term extensions on patents covering those products, however there is no guarantee that the applicable authorities, including the FDA in the United States, will agree with our assessment of whether such extensions should be granted,</w:t>
      </w:r>
    </w:p>
    <w:p>
      <w:pPr>
        <w:spacing w:after="0" w:line="36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6" w:name="page227"/>
    <w:bookmarkEnd w:id="2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039"/>
        <w:spacing w:after="0" w:line="291" w:lineRule="auto"/>
        <w:rPr>
          <w:sz w:val="20"/>
          <w:szCs w:val="20"/>
          <w:color w:val="auto"/>
        </w:rPr>
      </w:pPr>
      <w:r>
        <w:rPr>
          <w:rFonts w:ascii="Arial" w:cs="Arial" w:eastAsia="Arial" w:hAnsi="Arial"/>
          <w:sz w:val="17"/>
          <w:szCs w:val="17"/>
          <w:color w:val="auto"/>
        </w:rPr>
        <w:t>and if granted, the length of such extensions. For more information regarding the risks related to our intellectual property, see “Risk Factors — Risks Related to Our Intellectual Property Rights.”</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Regulation and Procedures Governing Approval of Biological Products in the United States</w:t>
      </w:r>
    </w:p>
    <w:p>
      <w:pPr>
        <w:spacing w:after="0" w:line="158" w:lineRule="exact"/>
        <w:rPr>
          <w:sz w:val="20"/>
          <w:szCs w:val="20"/>
          <w:color w:val="auto"/>
        </w:rPr>
      </w:pPr>
    </w:p>
    <w:p>
      <w:pPr>
        <w:ind w:left="1260" w:right="419" w:firstLine="648"/>
        <w:spacing w:after="0" w:line="269" w:lineRule="auto"/>
        <w:rPr>
          <w:sz w:val="20"/>
          <w:szCs w:val="20"/>
          <w:color w:val="auto"/>
        </w:rPr>
      </w:pPr>
      <w:r>
        <w:rPr>
          <w:rFonts w:ascii="Arial" w:cs="Arial" w:eastAsia="Arial" w:hAnsi="Arial"/>
          <w:sz w:val="17"/>
          <w:szCs w:val="17"/>
          <w:color w:val="auto"/>
        </w:rPr>
        <w:t>In the United States, we expect our product candidates will be regulated as biological products, or biologics, under the Public Health Service Act, or PHSA, and the Federal Food, Drug, and Cosmetic Act, or FDCA, and their implementing regulations, and other federal, state, local and foreign statutes and regulations. The failure to comply with the applicable U.S. requirements at any time during the product development process, including during nonclinical testing, clinical testing, the approval process or post-approval process, may subject an applicant to delays in the conduct of a study or regulatory review and approval, and/or to administrative or judicial sanctions and adverse publicity. Sanctions may include, but are not limited to, the U.S. Food and Drug Administration, or FDA’s, refusal to allow an applicant to proceed with clinical testing, refusal to approve pending applications, withdrawal of an approval, warning or untitled letters, product recalls, product seizures, total or partial suspension of production or distribution, injunctions, fines, debarment, disgorgement of profits and civil or criminal investigations and penalties brought by the FDA or the Department of Justice or other governmental entities.</w:t>
      </w:r>
    </w:p>
    <w:p>
      <w:pPr>
        <w:spacing w:after="0" w:line="111" w:lineRule="exact"/>
        <w:rPr>
          <w:sz w:val="20"/>
          <w:szCs w:val="20"/>
          <w:color w:val="auto"/>
        </w:rPr>
      </w:pPr>
    </w:p>
    <w:p>
      <w:pPr>
        <w:ind w:left="1260" w:right="1139" w:firstLine="648"/>
        <w:spacing w:after="0" w:line="277" w:lineRule="auto"/>
        <w:rPr>
          <w:sz w:val="20"/>
          <w:szCs w:val="20"/>
          <w:color w:val="auto"/>
        </w:rPr>
      </w:pPr>
      <w:r>
        <w:rPr>
          <w:rFonts w:ascii="Arial" w:cs="Arial" w:eastAsia="Arial" w:hAnsi="Arial"/>
          <w:sz w:val="18"/>
          <w:szCs w:val="18"/>
          <w:color w:val="auto"/>
        </w:rPr>
        <w:t>An applicant seeking approval to market and distribute a new biologic in the United States generally must satisfactorily complete each of the following steps:</w:t>
      </w:r>
    </w:p>
    <w:p>
      <w:pPr>
        <w:spacing w:after="0" w:line="62" w:lineRule="exact"/>
        <w:rPr>
          <w:sz w:val="20"/>
          <w:szCs w:val="20"/>
          <w:color w:val="auto"/>
        </w:rPr>
      </w:pPr>
    </w:p>
    <w:p>
      <w:pPr>
        <w:ind w:left="2260" w:right="799" w:hanging="352"/>
        <w:spacing w:after="0" w:line="263" w:lineRule="auto"/>
        <w:tabs>
          <w:tab w:leader="none" w:pos="22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nonclinical laboratory tests, animal studies and formulation studies all performed in accordance with applicable regulations, including the FDA’s Good Laboratory Practice, or GLP, regulations;</w:t>
      </w:r>
    </w:p>
    <w:p>
      <w:pPr>
        <w:spacing w:after="0" w:line="75" w:lineRule="exact"/>
        <w:rPr>
          <w:rFonts w:ascii="Arial" w:cs="Arial" w:eastAsia="Arial" w:hAnsi="Arial"/>
          <w:sz w:val="18"/>
          <w:szCs w:val="18"/>
          <w:color w:val="auto"/>
        </w:rPr>
      </w:pPr>
    </w:p>
    <w:p>
      <w:pPr>
        <w:ind w:left="2260" w:right="599" w:hanging="352"/>
        <w:spacing w:after="0" w:line="277" w:lineRule="auto"/>
        <w:tabs>
          <w:tab w:leader="none" w:pos="22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submission to the FDA of an IND application for human clinical testing, which must become effective before human clinical trials may begin;</w:t>
      </w:r>
    </w:p>
    <w:p>
      <w:pPr>
        <w:spacing w:after="0" w:line="62" w:lineRule="exact"/>
        <w:rPr>
          <w:rFonts w:ascii="Arial" w:cs="Arial" w:eastAsia="Arial" w:hAnsi="Arial"/>
          <w:sz w:val="18"/>
          <w:szCs w:val="18"/>
          <w:color w:val="auto"/>
        </w:rPr>
      </w:pPr>
    </w:p>
    <w:p>
      <w:pPr>
        <w:ind w:left="2260" w:right="839" w:hanging="352"/>
        <w:spacing w:after="0" w:line="277" w:lineRule="auto"/>
        <w:tabs>
          <w:tab w:leader="none" w:pos="22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approval by an Institutional Review Board, or IRB, or ethics committee representing each clinical site before each clinical trial may be initiated;</w:t>
      </w:r>
    </w:p>
    <w:p>
      <w:pPr>
        <w:spacing w:after="0" w:line="62" w:lineRule="exact"/>
        <w:rPr>
          <w:rFonts w:ascii="Arial" w:cs="Arial" w:eastAsia="Arial" w:hAnsi="Arial"/>
          <w:sz w:val="18"/>
          <w:szCs w:val="18"/>
          <w:color w:val="auto"/>
        </w:rPr>
      </w:pPr>
    </w:p>
    <w:p>
      <w:pPr>
        <w:ind w:left="2260" w:right="599" w:hanging="352"/>
        <w:spacing w:after="0" w:line="263" w:lineRule="auto"/>
        <w:tabs>
          <w:tab w:leader="none" w:pos="22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potency and purity of the product candidate for each proposed indication, in accordance with applicable regulations, including with GCP regulations;</w:t>
      </w:r>
    </w:p>
    <w:p>
      <w:pPr>
        <w:spacing w:after="0" w:line="75" w:lineRule="exact"/>
        <w:rPr>
          <w:rFonts w:ascii="Arial" w:cs="Arial" w:eastAsia="Arial" w:hAnsi="Arial"/>
          <w:sz w:val="18"/>
          <w:szCs w:val="18"/>
          <w:color w:val="auto"/>
        </w:rPr>
      </w:pPr>
    </w:p>
    <w:p>
      <w:pPr>
        <w:jc w:val="both"/>
        <w:ind w:left="2260" w:right="499" w:hanging="352"/>
        <w:spacing w:after="0" w:line="274" w:lineRule="auto"/>
        <w:tabs>
          <w:tab w:leader="none" w:pos="22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after completion of all pivotal clinical trials, preparation and submission to the FDA of a BLA requesting authorization to market the product candidate for one or more proposed indications</w:t>
      </w:r>
    </w:p>
    <w:p>
      <w:pPr>
        <w:ind w:left="2260"/>
        <w:spacing w:after="0"/>
        <w:rPr>
          <w:rFonts w:ascii="Arial" w:cs="Arial" w:eastAsia="Arial" w:hAnsi="Arial"/>
          <w:sz w:val="17"/>
          <w:szCs w:val="17"/>
          <w:color w:val="auto"/>
        </w:rPr>
      </w:pPr>
      <w:r>
        <w:rPr>
          <w:rFonts w:ascii="Arial" w:cs="Arial" w:eastAsia="Arial" w:hAnsi="Arial"/>
          <w:sz w:val="18"/>
          <w:szCs w:val="18"/>
          <w:color w:val="auto"/>
        </w:rPr>
        <w:t>;</w:t>
      </w:r>
    </w:p>
    <w:p>
      <w:pPr>
        <w:spacing w:after="0" w:line="102" w:lineRule="exact"/>
        <w:rPr>
          <w:rFonts w:ascii="Arial" w:cs="Arial" w:eastAsia="Arial" w:hAnsi="Arial"/>
          <w:sz w:val="17"/>
          <w:szCs w:val="17"/>
          <w:color w:val="auto"/>
        </w:rPr>
      </w:pPr>
    </w:p>
    <w:p>
      <w:pPr>
        <w:ind w:left="2260" w:hanging="352"/>
        <w:spacing w:after="0"/>
        <w:tabs>
          <w:tab w:leader="none" w:pos="22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17" w:lineRule="exact"/>
        <w:rPr>
          <w:rFonts w:ascii="Arial" w:cs="Arial" w:eastAsia="Arial" w:hAnsi="Arial"/>
          <w:sz w:val="18"/>
          <w:szCs w:val="18"/>
          <w:color w:val="auto"/>
        </w:rPr>
      </w:pPr>
    </w:p>
    <w:p>
      <w:pPr>
        <w:ind w:left="2260" w:right="659" w:hanging="352"/>
        <w:spacing w:after="0" w:line="277" w:lineRule="auto"/>
        <w:tabs>
          <w:tab w:leader="none" w:pos="22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62" w:lineRule="exact"/>
        <w:rPr>
          <w:rFonts w:ascii="Arial" w:cs="Arial" w:eastAsia="Arial" w:hAnsi="Arial"/>
          <w:sz w:val="18"/>
          <w:szCs w:val="18"/>
          <w:color w:val="auto"/>
        </w:rPr>
      </w:pPr>
    </w:p>
    <w:p>
      <w:pPr>
        <w:ind w:left="2260" w:right="619" w:hanging="352"/>
        <w:spacing w:after="0" w:line="257" w:lineRule="auto"/>
        <w:tabs>
          <w:tab w:leader="none" w:pos="22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satisfactory completion of one or more FDA inspections of the manufacturing facility or facilities, including those of third parties, at which the product, or components thereof, are produced to assess compliance with cGMP requirements and to assure that the facilities, methods and controls are adequate to preserve the product’s identity, safety, strength, quality and purity;</w:t>
      </w:r>
    </w:p>
    <w:p>
      <w:pPr>
        <w:spacing w:after="0" w:line="79" w:lineRule="exact"/>
        <w:rPr>
          <w:rFonts w:ascii="Arial" w:cs="Arial" w:eastAsia="Arial" w:hAnsi="Arial"/>
          <w:sz w:val="18"/>
          <w:szCs w:val="18"/>
          <w:color w:val="auto"/>
        </w:rPr>
      </w:pPr>
    </w:p>
    <w:p>
      <w:pPr>
        <w:ind w:left="2260" w:right="459" w:hanging="352"/>
        <w:spacing w:after="0" w:line="277" w:lineRule="auto"/>
        <w:tabs>
          <w:tab w:leader="none" w:pos="22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satisfactory completion of any FDA audits of the clinical study sites to assure compliance with GCPs, and the integrity of clinical data in support of the BLA;</w:t>
      </w:r>
    </w:p>
    <w:p>
      <w:pPr>
        <w:spacing w:after="0" w:line="62" w:lineRule="exact"/>
        <w:rPr>
          <w:rFonts w:ascii="Arial" w:cs="Arial" w:eastAsia="Arial" w:hAnsi="Arial"/>
          <w:sz w:val="18"/>
          <w:szCs w:val="18"/>
          <w:color w:val="auto"/>
        </w:rPr>
      </w:pPr>
    </w:p>
    <w:p>
      <w:pPr>
        <w:ind w:left="2260" w:hanging="352"/>
        <w:spacing w:after="0"/>
        <w:tabs>
          <w:tab w:leader="none" w:pos="22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the BLA; and</w:t>
      </w:r>
    </w:p>
    <w:p>
      <w:pPr>
        <w:spacing w:after="0" w:line="117" w:lineRule="exact"/>
        <w:rPr>
          <w:rFonts w:ascii="Arial" w:cs="Arial" w:eastAsia="Arial" w:hAnsi="Arial"/>
          <w:sz w:val="18"/>
          <w:szCs w:val="18"/>
          <w:color w:val="auto"/>
        </w:rPr>
      </w:pPr>
    </w:p>
    <w:p>
      <w:pPr>
        <w:ind w:left="2260" w:right="979" w:hanging="352"/>
        <w:spacing w:after="0" w:line="308" w:lineRule="auto"/>
        <w:tabs>
          <w:tab w:leader="none" w:pos="22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compliance with any post-approval requirements, including the potential requirement to implement a REMS and to conduct any postapproval studies required by the FDA.</w:t>
      </w:r>
    </w:p>
    <w:p>
      <w:pPr>
        <w:spacing w:after="0" w:line="14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Nonclinical Studies and Investigational New Drug Application</w:t>
      </w:r>
    </w:p>
    <w:p>
      <w:pPr>
        <w:spacing w:after="0" w:line="144" w:lineRule="exact"/>
        <w:rPr>
          <w:sz w:val="20"/>
          <w:szCs w:val="20"/>
          <w:color w:val="auto"/>
        </w:rPr>
      </w:pPr>
    </w:p>
    <w:p>
      <w:pPr>
        <w:ind w:left="1260" w:right="619" w:firstLine="648"/>
        <w:spacing w:after="0" w:line="308" w:lineRule="auto"/>
        <w:rPr>
          <w:sz w:val="20"/>
          <w:szCs w:val="20"/>
          <w:color w:val="auto"/>
        </w:rPr>
      </w:pPr>
      <w:r>
        <w:rPr>
          <w:rFonts w:ascii="Arial" w:cs="Arial" w:eastAsia="Arial" w:hAnsi="Arial"/>
          <w:sz w:val="17"/>
          <w:szCs w:val="17"/>
          <w:color w:val="auto"/>
        </w:rPr>
        <w:t>Before testing any biologic product candidate in humans, the product candidate must undergo nonclinical testing. Nonclinical tests include laboratory evaluations of product chemistry, formulation and</w:t>
      </w:r>
    </w:p>
    <w:p>
      <w:pPr>
        <w:sectPr>
          <w:pgSz w:w="11900" w:h="16838" w:orient="portrait"/>
          <w:cols w:equalWidth="0" w:num="1">
            <w:col w:w="9879"/>
          </w:cols>
          <w:pgMar w:left="580" w:top="132" w:right="1440" w:bottom="1440" w:gutter="0" w:footer="0" w:header="0"/>
        </w:sectPr>
      </w:pPr>
    </w:p>
    <w:p>
      <w:pPr>
        <w:spacing w:after="0" w:line="335"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27" w:name="page228"/>
    <w:bookmarkEnd w:id="2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19"/>
        <w:spacing w:after="0" w:line="251" w:lineRule="auto"/>
        <w:rPr>
          <w:sz w:val="20"/>
          <w:szCs w:val="20"/>
          <w:color w:val="auto"/>
        </w:rPr>
      </w:pPr>
      <w:r>
        <w:rPr>
          <w:rFonts w:ascii="Arial" w:cs="Arial" w:eastAsia="Arial" w:hAnsi="Arial"/>
          <w:sz w:val="17"/>
          <w:szCs w:val="17"/>
          <w:color w:val="auto"/>
        </w:rPr>
        <w:t xml:space="preserve">stability, as well as animal studies to evaluate the potential for activity and toxicity. The conduct of the nonclinical tests and formulation of the compounds for testing must comply with federal regulations and requirements. The results of the nonclinical tests, together with manufacturing information, analytical data, any available clinical data or literature and a proposed clinical protocol, are submitted to the FDA as part of an IND or similar application in other jurisdictions. An IND is a request for authorization from the FDA to administer an investigational new drug product to humans. The central focus of an IND submission is on the general investigational plan and the protocol(s) for clinical studies. The IND also includes results of animal and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within the 30- day time period, the FDA raises concerns or questions about the product or conduct of the proposed clinical trial, including concerns that human research subjects will be exposed to unreasonable health risks, and places the trial on a clinical hold. In that case, the IND sponsor and the FDA must resolve any outstanding FDA concerns before the clinical trial can begin.</w:t>
      </w:r>
    </w:p>
    <w:p>
      <w:pPr>
        <w:spacing w:after="0" w:line="120" w:lineRule="exact"/>
        <w:rPr>
          <w:sz w:val="20"/>
          <w:szCs w:val="20"/>
          <w:color w:val="auto"/>
        </w:rPr>
      </w:pPr>
    </w:p>
    <w:p>
      <w:pPr>
        <w:ind w:left="1260" w:right="439" w:firstLine="648"/>
        <w:spacing w:after="0" w:line="238" w:lineRule="auto"/>
        <w:rPr>
          <w:sz w:val="20"/>
          <w:szCs w:val="20"/>
          <w:color w:val="auto"/>
        </w:rPr>
      </w:pPr>
      <w:r>
        <w:rPr>
          <w:rFonts w:ascii="Arial" w:cs="Arial" w:eastAsia="Arial" w:hAnsi="Arial"/>
          <w:sz w:val="18"/>
          <w:szCs w:val="18"/>
          <w:color w:val="auto"/>
        </w:rPr>
        <w:t>As a result, submission of the IND may result in the FDA not allowing the trial to commence or not be conducted on the terms originally specified by the sponsor in the IND. In addition, the FDA may raise concerns or questions at any time after the IND has become effective, and may impose a clinical hold even after clinical studies have initiated. If the FDA imposes a clinical hold, trials may not recommence without FDA authorization and then only under terms authorized by the FDA. A clinical hold issued by the FDA may therefore delay either a proposed clinical study or cause suspension of an ongoing study, until all outstanding concerns have been adequately addressed and the FDA has notified the company that investigation may proceed. This could cause significant difficulties in completing planned clinical trials in a timely manner.</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Human Clinical Trials in Support of a BLA</w:t>
      </w:r>
    </w:p>
    <w:p>
      <w:pPr>
        <w:spacing w:after="0" w:line="158" w:lineRule="exact"/>
        <w:rPr>
          <w:sz w:val="20"/>
          <w:szCs w:val="20"/>
          <w:color w:val="auto"/>
        </w:rPr>
      </w:pPr>
    </w:p>
    <w:p>
      <w:pPr>
        <w:ind w:left="1260" w:right="479" w:firstLine="648"/>
        <w:spacing w:after="0" w:line="239" w:lineRule="auto"/>
        <w:rPr>
          <w:sz w:val="20"/>
          <w:szCs w:val="20"/>
          <w:color w:val="auto"/>
        </w:rPr>
      </w:pPr>
      <w:r>
        <w:rPr>
          <w:rFonts w:ascii="Arial" w:cs="Arial" w:eastAsia="Arial" w:hAnsi="Arial"/>
          <w:sz w:val="18"/>
          <w:szCs w:val="18"/>
          <w:color w:val="auto"/>
        </w:rPr>
        <w:t>Clinical trials involve the administration of the investigational product candidate to healthy volunteers or patients with the disease to be treated under the supervision of a qualified principal investigator in accordance with GCP requirements. Clinical trials are conducted under study protocols detailing, among other things, the objectives of the study, inclusion and exclusion criteria, the parameters to be used in monitoring safety, dosing procedures and the effectiveness criteria to be evaluated. A separate protocol for each clinical trial and any subsequent protocol amendments must be submitted to the FDA as part of the IND.</w:t>
      </w:r>
    </w:p>
    <w:p>
      <w:pPr>
        <w:spacing w:after="0" w:line="110" w:lineRule="exact"/>
        <w:rPr>
          <w:sz w:val="20"/>
          <w:szCs w:val="20"/>
          <w:color w:val="auto"/>
        </w:rPr>
      </w:pPr>
    </w:p>
    <w:p>
      <w:pPr>
        <w:ind w:left="1260" w:right="459" w:firstLine="648"/>
        <w:spacing w:after="0" w:line="255" w:lineRule="auto"/>
        <w:rPr>
          <w:sz w:val="20"/>
          <w:szCs w:val="20"/>
          <w:color w:val="auto"/>
        </w:rPr>
      </w:pPr>
      <w:r>
        <w:rPr>
          <w:rFonts w:ascii="Arial" w:cs="Arial" w:eastAsia="Arial" w:hAnsi="Arial"/>
          <w:sz w:val="18"/>
          <w:szCs w:val="18"/>
          <w:color w:val="auto"/>
        </w:rPr>
        <w:t>A sponsor who wishes to conduct a clinical trial outside the United States may, but need not, obtain FDA authorization to conduct the clinical trial under an IND. If a foreign clinical trial is not conducted under an IND, the sponsor may submit data from the clinical trial to the FDA in support of the BLA so long as the clinical trial is well-designed and well-conducted in accordance with GCP, including review and approval by an independent ethics committee, and the FDA is able to validate the study data through an onsite inspection, if necessary.</w:t>
      </w:r>
    </w:p>
    <w:p>
      <w:pPr>
        <w:spacing w:after="0" w:line="125" w:lineRule="exact"/>
        <w:rPr>
          <w:sz w:val="20"/>
          <w:szCs w:val="20"/>
          <w:color w:val="auto"/>
        </w:rPr>
      </w:pPr>
    </w:p>
    <w:p>
      <w:pPr>
        <w:ind w:left="1260" w:right="419" w:firstLine="648"/>
        <w:spacing w:after="0" w:line="252" w:lineRule="auto"/>
        <w:rPr>
          <w:sz w:val="20"/>
          <w:szCs w:val="20"/>
          <w:color w:val="auto"/>
        </w:rPr>
      </w:pPr>
      <w:r>
        <w:rPr>
          <w:rFonts w:ascii="Arial" w:cs="Arial" w:eastAsia="Arial" w:hAnsi="Arial"/>
          <w:sz w:val="18"/>
          <w:szCs w:val="18"/>
          <w:color w:val="auto"/>
        </w:rPr>
        <w:t>Further, each clinical trial must be reviewed and approved by an IRB either centrally or individually at each institution at which the clinical trial will be conducted. The IRB will consider, among other things, clinical trial design, patient informed consent, ethical factors and the safety of human subjects. An IRB must operate in compliance with FDA regulations. The FDA, IRB, or the clinical trial sponsor may suspend or discontinue a clinical trial at any time for various reasons, including a finding that the clinical trial is not being conducted in accordance with FDA requirements, the trial is unlikely to meet its stated objectives or that the subjects or patients are being exposed to an unacceptable health risk. Clinical testing also must satisfy extensive GCP rules, including the requirements for informed consent. The IRB also approves the form and content of the informed consent that must be signed by each clinical trial subject or his or her legal representative and must monitor the clinical trial until completed. Additionally, some clinical trials are overseen by an independent group of qualified experts organized by the clinical trial sponsor, known as a data safety monitoring board or committee. This group may recommend continuation of the study as planned, changes in study conduct, or cessation of the study at designated check points based on access to certain data from the study.</w:t>
      </w:r>
    </w:p>
    <w:p>
      <w:pPr>
        <w:spacing w:after="0" w:line="37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8" w:name="page229"/>
    <w:bookmarkEnd w:id="2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579" w:firstLine="648"/>
        <w:spacing w:after="0" w:line="277" w:lineRule="auto"/>
        <w:rPr>
          <w:sz w:val="20"/>
          <w:szCs w:val="20"/>
          <w:color w:val="auto"/>
        </w:rPr>
      </w:pPr>
      <w:r>
        <w:rPr>
          <w:rFonts w:ascii="Arial" w:cs="Arial" w:eastAsia="Arial" w:hAnsi="Arial"/>
          <w:sz w:val="18"/>
          <w:szCs w:val="18"/>
          <w:color w:val="auto"/>
        </w:rPr>
        <w:t>Clinical trials typically are conducted in three sequential phases, but the phases may overlap or be combined. Additional studies may be required after approval.</w:t>
      </w:r>
    </w:p>
    <w:p>
      <w:pPr>
        <w:spacing w:after="0" w:line="76" w:lineRule="exact"/>
        <w:rPr>
          <w:sz w:val="20"/>
          <w:szCs w:val="20"/>
          <w:color w:val="auto"/>
        </w:rPr>
      </w:pPr>
    </w:p>
    <w:p>
      <w:pPr>
        <w:ind w:left="2260" w:right="579" w:hanging="352"/>
        <w:spacing w:after="0" w:line="255" w:lineRule="auto"/>
        <w:tabs>
          <w:tab w:leader="none" w:pos="22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Phase 1 clinical trials are initially conducted in a limited population to test the product candidate for safety, including adverse effects, dose tolerance, absorption, metabolism, distribution, excretion and pharmacodynamics in healthy humans or, on occasion, in patients, such as in the case of some products for severe or life-threatening diseases as cancer, especially when the product may be too inherently toxic to ethically administer to healthy volunteers.</w:t>
      </w:r>
    </w:p>
    <w:p>
      <w:pPr>
        <w:spacing w:after="0" w:line="97" w:lineRule="exact"/>
        <w:rPr>
          <w:rFonts w:ascii="Arial" w:cs="Arial" w:eastAsia="Arial" w:hAnsi="Arial"/>
          <w:sz w:val="18"/>
          <w:szCs w:val="18"/>
          <w:color w:val="auto"/>
        </w:rPr>
      </w:pPr>
    </w:p>
    <w:p>
      <w:pPr>
        <w:ind w:left="2260" w:right="479" w:hanging="352"/>
        <w:spacing w:after="0" w:line="257" w:lineRule="auto"/>
        <w:tabs>
          <w:tab w:leader="none" w:pos="22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Phase 2 clinical trials are generally conducted in a limited patient population to identify possible adverse effects and safety risks, preliminarily evaluate the efficacy of the product candidate for specific targeted indications and determine dose tolerance and optimal dosage. Multiple Phase 2 clinical trials may be conducted by the sponsor to obtain information prior to beginning larger Phase 3 clinical trials.</w:t>
      </w:r>
    </w:p>
    <w:p>
      <w:pPr>
        <w:spacing w:after="0" w:line="79" w:lineRule="exact"/>
        <w:rPr>
          <w:rFonts w:ascii="Arial" w:cs="Arial" w:eastAsia="Arial" w:hAnsi="Arial"/>
          <w:sz w:val="18"/>
          <w:szCs w:val="18"/>
          <w:color w:val="auto"/>
        </w:rPr>
      </w:pPr>
    </w:p>
    <w:p>
      <w:pPr>
        <w:ind w:left="2260" w:right="599" w:hanging="352"/>
        <w:spacing w:after="0" w:line="273" w:lineRule="auto"/>
        <w:tabs>
          <w:tab w:leader="none" w:pos="22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Phase 3 clinical trials proceed if the Phase 2 clinical trials demonstrate that a certain dose or dose range of the product candidate is potentially effective and has an acceptable safety profile. Phase 3 clinical trials are undertaken within an expanded patient population, often at geographically dispersed clinical trial sites, to gather additional information about safety and effectiveness necessary to evaluate the overall benefit-risk relationship of the investigational product and to provide an adequate basis for physician labeling and product approval.</w:t>
      </w:r>
    </w:p>
    <w:p>
      <w:pPr>
        <w:spacing w:after="0" w:line="110" w:lineRule="exact"/>
        <w:rPr>
          <w:sz w:val="20"/>
          <w:szCs w:val="20"/>
          <w:color w:val="auto"/>
        </w:rPr>
      </w:pPr>
    </w:p>
    <w:p>
      <w:pPr>
        <w:ind w:left="1260" w:right="519" w:firstLine="648"/>
        <w:spacing w:after="0" w:line="253" w:lineRule="auto"/>
        <w:rPr>
          <w:sz w:val="20"/>
          <w:szCs w:val="20"/>
          <w:color w:val="auto"/>
        </w:rPr>
      </w:pPr>
      <w:r>
        <w:rPr>
          <w:rFonts w:ascii="Arial" w:cs="Arial" w:eastAsia="Arial" w:hAnsi="Arial"/>
          <w:sz w:val="18"/>
          <w:szCs w:val="18"/>
          <w:color w:val="auto"/>
        </w:rPr>
        <w:t>In some cases, the FDA may approve a BLA for a product candidate but require the sponsor to conduct additional clinical trials to further assess the product candidate’s safety and effectiveness after approval. Such post-approval trials are typically referred to as Phase 4 clinical trials, or Phase 4. These studies may be used to gain additional experience from the treatment of patients in the intended therapeutic indication and to document a clinical benefit in the case of biologics approved under accelerated approval regulations. Failure to exhibit due diligence with regard to conducting required Phase 4 clinical trials could result in withdrawal of approval for products. Concurrent with clinical trials, companies may complete additional animal studies and develop additional information about the biological characteristics of the product candidate.</w:t>
      </w:r>
    </w:p>
    <w:p>
      <w:pPr>
        <w:spacing w:after="0" w:line="129" w:lineRule="exact"/>
        <w:rPr>
          <w:sz w:val="20"/>
          <w:szCs w:val="20"/>
          <w:color w:val="auto"/>
        </w:rPr>
      </w:pPr>
    </w:p>
    <w:p>
      <w:pPr>
        <w:ind w:left="1260" w:right="439" w:firstLine="648"/>
        <w:spacing w:after="0" w:line="268" w:lineRule="auto"/>
        <w:rPr>
          <w:sz w:val="20"/>
          <w:szCs w:val="20"/>
          <w:color w:val="auto"/>
        </w:rPr>
      </w:pPr>
      <w:r>
        <w:rPr>
          <w:rFonts w:ascii="Arial" w:cs="Arial" w:eastAsia="Arial" w:hAnsi="Arial"/>
          <w:sz w:val="17"/>
          <w:szCs w:val="17"/>
          <w:color w:val="auto"/>
        </w:rPr>
        <w:t xml:space="preserve">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trials, tests in laboratory animals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biological candidate has been associated with unexpected serious harm to patients.</w:t>
      </w:r>
    </w:p>
    <w:p>
      <w:pPr>
        <w:spacing w:after="0" w:line="101" w:lineRule="exact"/>
        <w:rPr>
          <w:sz w:val="20"/>
          <w:szCs w:val="20"/>
          <w:color w:val="auto"/>
        </w:rPr>
      </w:pPr>
    </w:p>
    <w:p>
      <w:pPr>
        <w:ind w:left="1260" w:right="459" w:firstLine="648"/>
        <w:spacing w:after="0" w:line="254" w:lineRule="auto"/>
        <w:rPr>
          <w:sz w:val="20"/>
          <w:szCs w:val="20"/>
          <w:color w:val="auto"/>
        </w:rPr>
      </w:pPr>
      <w:r>
        <w:rPr>
          <w:rFonts w:ascii="Arial" w:cs="Arial" w:eastAsia="Arial" w:hAnsi="Arial"/>
          <w:sz w:val="18"/>
          <w:szCs w:val="18"/>
          <w:color w:val="auto"/>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trials can be delayed until the new product or new indication being studied has been approved.</w:t>
      </w:r>
    </w:p>
    <w:p>
      <w:pPr>
        <w:spacing w:after="0" w:line="38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9" w:name="page230"/>
    <w:bookmarkEnd w:id="2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Review and Approval of a BLA</w:t>
      </w:r>
    </w:p>
    <w:p>
      <w:pPr>
        <w:spacing w:after="0" w:line="158" w:lineRule="exact"/>
        <w:rPr>
          <w:sz w:val="20"/>
          <w:szCs w:val="20"/>
          <w:color w:val="auto"/>
        </w:rPr>
      </w:pPr>
    </w:p>
    <w:p>
      <w:pPr>
        <w:ind w:left="1260" w:right="479" w:firstLine="648"/>
        <w:spacing w:after="0" w:line="252" w:lineRule="auto"/>
        <w:rPr>
          <w:sz w:val="20"/>
          <w:szCs w:val="20"/>
          <w:color w:val="auto"/>
        </w:rPr>
      </w:pPr>
      <w:r>
        <w:rPr>
          <w:rFonts w:ascii="Arial" w:cs="Arial" w:eastAsia="Arial" w:hAnsi="Arial"/>
          <w:sz w:val="17"/>
          <w:szCs w:val="17"/>
          <w:color w:val="auto"/>
        </w:rPr>
        <w:t>The results of product candidate development, nonclinical testing and clinical trials, including negative or ambiguous results as well as positive findings, are submitted to the FDA as part of a BLA requesting a license to market the product for one or more indications. The BLA must contain extensive chemistry manufacturing and controls information and detailed information on the composition of the product and proposed labeling. Data can come from company-sponsored clinical studies intended to test the safety and effectiveness of a use of the product, or from a number of alternative sources, including studies initiated by investigators. The submission of a BLA requires payment of a substantial user fee to the FDA, and the sponsor of an approved BLA is also subject to annual program fees. The FDA adjusts the Prescription Drug User Fee Act, or PDUFA, user fees on an annual basis. Fee waivers or reductions are available in certain circumstances, including a waiver of the application fee for the first application filed by a small business. Additionally, no user fees are assessed on BLAs for products designated as orphan drugs, unless the product also includes a non-orphan indication.</w:t>
      </w:r>
    </w:p>
    <w:p>
      <w:pPr>
        <w:spacing w:after="0" w:line="116" w:lineRule="exact"/>
        <w:rPr>
          <w:sz w:val="20"/>
          <w:szCs w:val="20"/>
          <w:color w:val="auto"/>
        </w:rPr>
      </w:pPr>
    </w:p>
    <w:p>
      <w:pPr>
        <w:ind w:left="1260" w:right="559" w:firstLine="648"/>
        <w:spacing w:after="0" w:line="253" w:lineRule="auto"/>
        <w:rPr>
          <w:sz w:val="20"/>
          <w:szCs w:val="20"/>
          <w:color w:val="auto"/>
        </w:rPr>
      </w:pPr>
      <w:r>
        <w:rPr>
          <w:rFonts w:ascii="Arial" w:cs="Arial" w:eastAsia="Arial" w:hAnsi="Arial"/>
          <w:sz w:val="17"/>
          <w:szCs w:val="17"/>
          <w:color w:val="auto"/>
        </w:rPr>
        <w:t>In addition, under the Pediatric Research Equity Act, or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Food and Drug Administration Safety and Innovation Act, or FDASIA, requires that a sponsor who is planning to submit a marketing application for a drug or biological product that includes a new active ingredient, new indication, new dosage form, new dosing regimen or new route of administration submit an initial Pediatric Study Plan, or PSP, within sixty days after an end-of-Phase 2 meeting or as may be agreed between the sponsor and FDA. Unless otherwise required by regulation, PREA does not apply to any biological product for an indication for which orphan designation has been granted.</w:t>
      </w:r>
    </w:p>
    <w:p>
      <w:pPr>
        <w:spacing w:after="0" w:line="99" w:lineRule="exact"/>
        <w:rPr>
          <w:sz w:val="20"/>
          <w:szCs w:val="20"/>
          <w:color w:val="auto"/>
        </w:rPr>
      </w:pPr>
    </w:p>
    <w:p>
      <w:pPr>
        <w:ind w:left="1260" w:right="479" w:firstLine="648"/>
        <w:spacing w:after="0" w:line="251" w:lineRule="auto"/>
        <w:rPr>
          <w:sz w:val="20"/>
          <w:szCs w:val="20"/>
          <w:color w:val="auto"/>
        </w:rPr>
      </w:pPr>
      <w:r>
        <w:rPr>
          <w:rFonts w:ascii="Arial" w:cs="Arial" w:eastAsia="Arial" w:hAnsi="Arial"/>
          <w:sz w:val="17"/>
          <w:szCs w:val="17"/>
          <w:color w:val="auto"/>
        </w:rPr>
        <w:t>The FDA has 60 days after submission of the application to conduct an initial review to determine whether the BLA is sufficient to accept for filing based on the agency’s threshold determination that it is substantially complete so as to permit substantive review. Once the submission has been accepted for filing, the FDA begins an in-depth review of the application. Under the goals and policies agreed to by the FDA under PDUFA, the FDA aims to complete its initial review of a standard application and respond to the applicant within ten months of the 60-day filing date, and for a priority review application within</w:t>
      </w:r>
    </w:p>
    <w:p>
      <w:pPr>
        <w:spacing w:after="0" w:line="4" w:lineRule="exact"/>
        <w:rPr>
          <w:sz w:val="20"/>
          <w:szCs w:val="20"/>
          <w:color w:val="auto"/>
        </w:rPr>
      </w:pPr>
    </w:p>
    <w:p>
      <w:pPr>
        <w:ind w:left="1260" w:right="559"/>
        <w:spacing w:after="0" w:line="237" w:lineRule="auto"/>
        <w:rPr>
          <w:sz w:val="20"/>
          <w:szCs w:val="20"/>
          <w:color w:val="auto"/>
        </w:rPr>
      </w:pPr>
      <w:r>
        <w:rPr>
          <w:rFonts w:ascii="Arial" w:cs="Arial" w:eastAsia="Arial" w:hAnsi="Arial"/>
          <w:sz w:val="18"/>
          <w:szCs w:val="18"/>
          <w:color w:val="auto"/>
        </w:rPr>
        <w:t>six months. The FDA does not always meet its PDUFA goal dates for standard and priority BLAs, and its review goals are subject to change from time to time. The review process may often be significantly extended by FDA requests for additional information or clarification. The review process and the PDUFA goal date may also be extended by three months if the FDA requests or if the applicant otherwise provides additional information or clarification regarding information already provided in the submission within the last three months before the PDUFA goal date.</w:t>
      </w:r>
    </w:p>
    <w:p>
      <w:pPr>
        <w:spacing w:after="0" w:line="121" w:lineRule="exact"/>
        <w:rPr>
          <w:sz w:val="20"/>
          <w:szCs w:val="20"/>
          <w:color w:val="auto"/>
        </w:rPr>
      </w:pPr>
    </w:p>
    <w:p>
      <w:pPr>
        <w:ind w:left="1260" w:right="419" w:firstLine="648"/>
        <w:spacing w:after="0" w:line="252" w:lineRule="auto"/>
        <w:rPr>
          <w:sz w:val="20"/>
          <w:szCs w:val="20"/>
          <w:color w:val="auto"/>
        </w:rPr>
      </w:pPr>
      <w:r>
        <w:rPr>
          <w:rFonts w:ascii="Arial" w:cs="Arial" w:eastAsia="Arial" w:hAnsi="Arial"/>
          <w:sz w:val="17"/>
          <w:szCs w:val="17"/>
          <w:color w:val="auto"/>
        </w:rPr>
        <w:t>The FDA reviews a BLA to determine, among other things, whether the proposed product is safe and potent, or effective, for its intended use, and has an acceptable purity profile, and whether the product is being manufactured in accordance with cGMP requirements to assure and preserve the product’s identity, safety, strength, quality, potency and purity.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cGCP.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13" w:lineRule="exact"/>
        <w:rPr>
          <w:sz w:val="20"/>
          <w:szCs w:val="20"/>
          <w:color w:val="auto"/>
        </w:rPr>
      </w:pPr>
    </w:p>
    <w:p>
      <w:pPr>
        <w:ind w:left="1260" w:right="619" w:firstLine="648"/>
        <w:spacing w:after="0"/>
        <w:rPr>
          <w:sz w:val="20"/>
          <w:szCs w:val="20"/>
          <w:color w:val="auto"/>
        </w:rPr>
      </w:pPr>
      <w:r>
        <w:rPr>
          <w:rFonts w:ascii="Arial" w:cs="Arial" w:eastAsia="Arial" w:hAnsi="Arial"/>
          <w:sz w:val="18"/>
          <w:szCs w:val="18"/>
          <w:color w:val="auto"/>
        </w:rPr>
        <w:t>On the basis of the FDA’s evaluation of the application and accompanying information, including the results of the inspection of the manufacturing facilities and any FDA audits of clinical trial sites to assure compliance with GCPs, the FDA may issue an approval letter or a complete response letter. An approval letter authorizes commercial marketing of the product with specific prescribing information for specific indications. If the application is not approved, the FDA may issue a complete response letter indicating</w:t>
      </w:r>
    </w:p>
    <w:p>
      <w:pPr>
        <w:spacing w:after="0" w:line="36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30" w:name="page231"/>
    <w:bookmarkEnd w:id="2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39"/>
        <w:spacing w:after="0"/>
        <w:rPr>
          <w:sz w:val="20"/>
          <w:szCs w:val="20"/>
          <w:color w:val="auto"/>
        </w:rPr>
      </w:pPr>
      <w:r>
        <w:rPr>
          <w:rFonts w:ascii="Arial" w:cs="Arial" w:eastAsia="Arial" w:hAnsi="Arial"/>
          <w:sz w:val="18"/>
          <w:szCs w:val="18"/>
          <w:color w:val="auto"/>
        </w:rPr>
        <w:t>that the review cycle is complete and the application is not ready for approval. A complete response letter will describe the deficiencies that must be addressed in order to secure final approval of the application, and when possible, will outline recommended actions the sponsor might take to obtain approval of the application. If a complete response letter is issued, the applicant may either resubmit the BLA, addressing all of the deficiencies identified in the letter, or withdraw the application. The FDA may also request additional information or clarification.</w:t>
      </w:r>
    </w:p>
    <w:p>
      <w:pPr>
        <w:spacing w:after="0" w:line="122" w:lineRule="exact"/>
        <w:rPr>
          <w:sz w:val="20"/>
          <w:szCs w:val="20"/>
          <w:color w:val="auto"/>
        </w:rPr>
      </w:pPr>
    </w:p>
    <w:p>
      <w:pPr>
        <w:ind w:left="1260" w:right="439" w:firstLine="648"/>
        <w:spacing w:after="0" w:line="238" w:lineRule="auto"/>
        <w:rPr>
          <w:sz w:val="20"/>
          <w:szCs w:val="20"/>
          <w:color w:val="auto"/>
        </w:rPr>
      </w:pPr>
      <w:r>
        <w:rPr>
          <w:rFonts w:ascii="Arial" w:cs="Arial" w:eastAsia="Arial" w:hAnsi="Arial"/>
          <w:sz w:val="18"/>
          <w:szCs w:val="18"/>
          <w:color w:val="auto"/>
        </w:rPr>
        <w:t>Sponsors that receive a complete response letter who elect to address the deficiencies may submit to the FDA information that represents a complete response to the issues identified by the FDA in the response letter. Such resubmissions are classified under PDUFA as either Class 1 or Class 2, based on the information submitted by an applicant in response to an action letter. Under the goals and policies agreed to by the FDA under PDUFA, the FDA aims to review and act on a Class 1 resubmission with two months of receipt and, with respect to a Class 2 resubmission, within six months of receipt. The FDA will not approve an application until issues identified in the complete response letter have been addressed. The FDA may delay or refuse approval of a BLA if applicable regulatory criteria are not satisfied, require additional testing or information and/or require post-marketing testing and surveillance to monitor safety or efficacy of a product.</w:t>
      </w:r>
    </w:p>
    <w:p>
      <w:pPr>
        <w:spacing w:after="0" w:line="121" w:lineRule="exact"/>
        <w:rPr>
          <w:sz w:val="20"/>
          <w:szCs w:val="20"/>
          <w:color w:val="auto"/>
        </w:rPr>
      </w:pPr>
    </w:p>
    <w:p>
      <w:pPr>
        <w:ind w:left="1260" w:right="419" w:firstLine="648"/>
        <w:spacing w:after="0" w:line="267" w:lineRule="auto"/>
        <w:rPr>
          <w:sz w:val="20"/>
          <w:szCs w:val="20"/>
          <w:color w:val="auto"/>
        </w:rPr>
      </w:pPr>
      <w:r>
        <w:rPr>
          <w:rFonts w:ascii="Arial" w:cs="Arial" w:eastAsia="Arial" w:hAnsi="Arial"/>
          <w:sz w:val="17"/>
          <w:szCs w:val="17"/>
          <w:color w:val="auto"/>
        </w:rPr>
        <w:t>If the FDA approves a new product, it may limit the approved indications for use of the product, or limit the approval to specific dosages. It may also require development of adequate controls or specifications and that certain contraindications, warnings or precautions be included in the product labeling. In addition, the FDA may call for post-approval studies, including Phase 4 clinical trials, to further assess the product’s safety after approval and may limit further marketing of the product based on the results of these post-marketing studies. The agency may also require testing and surveillance programs to monitor the product after commercialization, or impose other conditions, including distribution restrictions or other risk management mechanisms, including REMS, to help ensure that the benefits of the product outweigh the potential risks.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patent registries. If the FDA concludes a REMS is needed, the sponsor of the BLA must submit a proposed REMS; the FDA will not approve the BLA without a REMS, if required.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 Once approved, the FDA may withdraw the product approval if compliance with pre-and post-marketing regulatory standards is not maintained or if problems occur after the product reaches the marketplace. In addition, new government requirements, including those resulting from new legislation, may be established, or the FDA’s policies may change, which could delay or prevent regulatory approval of our products under development.</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44" w:lineRule="exact"/>
        <w:rPr>
          <w:sz w:val="20"/>
          <w:szCs w:val="20"/>
          <w:color w:val="auto"/>
        </w:rPr>
      </w:pPr>
    </w:p>
    <w:p>
      <w:pPr>
        <w:jc w:val="both"/>
        <w:ind w:left="1260" w:right="639" w:firstLine="648"/>
        <w:spacing w:after="0" w:line="286" w:lineRule="auto"/>
        <w:rPr>
          <w:sz w:val="20"/>
          <w:szCs w:val="20"/>
          <w:color w:val="auto"/>
        </w:rPr>
      </w:pPr>
      <w:r>
        <w:rPr>
          <w:rFonts w:ascii="Arial" w:cs="Arial" w:eastAsia="Arial" w:hAnsi="Arial"/>
          <w:sz w:val="17"/>
          <w:szCs w:val="17"/>
          <w:color w:val="auto"/>
        </w:rPr>
        <w:t>The FDA has a number of programs intended to expedite the development and/or review of new products intended for serious or life-threatening diseases or conditions. These programs include fast track designation, breakthrough therapy designation, priority review, and accelerated approval.</w:t>
      </w:r>
    </w:p>
    <w:p>
      <w:pPr>
        <w:spacing w:after="0" w:line="98" w:lineRule="exact"/>
        <w:rPr>
          <w:sz w:val="20"/>
          <w:szCs w:val="20"/>
          <w:color w:val="auto"/>
        </w:rPr>
      </w:pPr>
    </w:p>
    <w:p>
      <w:pPr>
        <w:ind w:left="1260" w:right="459" w:firstLine="648"/>
        <w:spacing w:after="0" w:line="269" w:lineRule="auto"/>
        <w:rPr>
          <w:sz w:val="20"/>
          <w:szCs w:val="20"/>
          <w:color w:val="auto"/>
        </w:rPr>
      </w:pPr>
      <w:r>
        <w:rPr>
          <w:rFonts w:ascii="Arial" w:cs="Arial" w:eastAsia="Arial" w:hAnsi="Arial"/>
          <w:sz w:val="17"/>
          <w:szCs w:val="17"/>
          <w:color w:val="auto"/>
        </w:rPr>
        <w:t>The FDA may issue a fast track designation to a product candidate if it is intended, whether alone or in combination with one or more other products, for the treatment of a serious or life-threatening disease or condition, and it demonstrates the potential to address unmet medical needs for such a disease or condition. Fast track designation applies to the combination of the product and the specific indication for which it is being studied. The sponsor of a new biologic may request that the FDA designate the biologic as a fast track product at any time during the clinical development of the product. For fast track products, sponsors may have greater interactions with the FDA during product development.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35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31" w:name="page232"/>
    <w:bookmarkEnd w:id="2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679"/>
        <w:spacing w:after="0" w:line="270" w:lineRule="auto"/>
        <w:rPr>
          <w:sz w:val="20"/>
          <w:szCs w:val="20"/>
          <w:color w:val="auto"/>
        </w:rPr>
      </w:pPr>
      <w:r>
        <w:rPr>
          <w:rFonts w:ascii="Arial" w:cs="Arial" w:eastAsia="Arial" w:hAnsi="Arial"/>
          <w:sz w:val="17"/>
          <w:szCs w:val="17"/>
          <w:color w:val="auto"/>
        </w:rPr>
        <w:t>However, the FDA’s PDUFA goal for reviewing a BLA fast track application does not begin until the last section of the application is submitted. Fast track designation may be withdrawn by the FDA if the FDA believes that the designation is no longer supported by data emerging in the clinical trial process.</w:t>
      </w:r>
    </w:p>
    <w:p>
      <w:pPr>
        <w:spacing w:after="0" w:line="96" w:lineRule="exact"/>
        <w:rPr>
          <w:sz w:val="20"/>
          <w:szCs w:val="20"/>
          <w:color w:val="auto"/>
        </w:rPr>
      </w:pPr>
    </w:p>
    <w:p>
      <w:pPr>
        <w:ind w:left="1260" w:right="439" w:firstLine="648"/>
        <w:spacing w:after="0" w:line="237" w:lineRule="auto"/>
        <w:rPr>
          <w:sz w:val="20"/>
          <w:szCs w:val="20"/>
          <w:color w:val="auto"/>
        </w:rPr>
      </w:pPr>
      <w:r>
        <w:rPr>
          <w:rFonts w:ascii="Arial" w:cs="Arial" w:eastAsia="Arial" w:hAnsi="Arial"/>
          <w:sz w:val="18"/>
          <w:szCs w:val="18"/>
          <w:color w:val="auto"/>
        </w:rPr>
        <w:t>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facilitate the design of clinical trials in an efficient manner. The designation includes all of the fast track program features, as well as more intensive FDA interaction and guidance beginning as early as Phase 1 and an organizational commitment to expedite the development and review of the product, including involvement of senior managers.</w:t>
      </w:r>
    </w:p>
    <w:p>
      <w:pPr>
        <w:spacing w:after="0" w:line="126" w:lineRule="exact"/>
        <w:rPr>
          <w:sz w:val="20"/>
          <w:szCs w:val="20"/>
          <w:color w:val="auto"/>
        </w:rPr>
      </w:pPr>
    </w:p>
    <w:p>
      <w:pPr>
        <w:ind w:left="1260" w:right="499" w:firstLine="648"/>
        <w:spacing w:after="0" w:line="237" w:lineRule="auto"/>
        <w:rPr>
          <w:sz w:val="20"/>
          <w:szCs w:val="20"/>
          <w:color w:val="auto"/>
        </w:rPr>
      </w:pPr>
      <w:r>
        <w:rPr>
          <w:rFonts w:ascii="Arial" w:cs="Arial" w:eastAsia="Arial" w:hAnsi="Arial"/>
          <w:sz w:val="18"/>
          <w:szCs w:val="18"/>
          <w:color w:val="auto"/>
        </w:rPr>
        <w:t>Any marketing application for a biologic submitted to the FDA for approval, including a product with a fast track designation and/or breakthrough therapy designation, may be eligible for other types of FDA programs intended to expedite the FDA review and approval process, such as priority review and accelerated approval. The FDA may designate a product for priority review if it is a product that treats a serious condition and, if approved, would provide a significant improvement in safety or effectiveness. The FDA determines, on a case-by -case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review is intended to direct overall attention and resources to the evaluation of such applications, and to shorten the FDA’s goal for taking action on an original BLA from ten months to six months from the 60-day filing date.</w:t>
      </w:r>
    </w:p>
    <w:p>
      <w:pPr>
        <w:spacing w:after="0" w:line="110" w:lineRule="exact"/>
        <w:rPr>
          <w:sz w:val="20"/>
          <w:szCs w:val="20"/>
          <w:color w:val="auto"/>
        </w:rPr>
      </w:pPr>
    </w:p>
    <w:p>
      <w:pPr>
        <w:ind w:left="1260" w:right="479" w:firstLine="648"/>
        <w:spacing w:after="0" w:line="238" w:lineRule="auto"/>
        <w:rPr>
          <w:sz w:val="20"/>
          <w:szCs w:val="20"/>
          <w:color w:val="auto"/>
        </w:rPr>
      </w:pPr>
      <w:r>
        <w:rPr>
          <w:rFonts w:ascii="Arial" w:cs="Arial" w:eastAsia="Arial" w:hAnsi="Arial"/>
          <w:sz w:val="18"/>
          <w:szCs w:val="18"/>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124" w:lineRule="exact"/>
        <w:rPr>
          <w:sz w:val="20"/>
          <w:szCs w:val="20"/>
          <w:color w:val="auto"/>
        </w:rPr>
      </w:pPr>
    </w:p>
    <w:p>
      <w:pPr>
        <w:ind w:left="1260" w:right="479" w:firstLine="648"/>
        <w:spacing w:after="0" w:line="238" w:lineRule="auto"/>
        <w:rPr>
          <w:sz w:val="20"/>
          <w:szCs w:val="20"/>
          <w:color w:val="auto"/>
        </w:rPr>
      </w:pPr>
      <w:r>
        <w:rPr>
          <w:rFonts w:ascii="Arial" w:cs="Arial" w:eastAsia="Arial" w:hAnsi="Arial"/>
          <w:sz w:val="18"/>
          <w:szCs w:val="18"/>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product, such as an effect on IMM. The FDA has stated that although it has limited experience with accelerated approvals based on intermediate clinical endpoints,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w:t>
      </w:r>
    </w:p>
    <w:p>
      <w:pPr>
        <w:spacing w:after="0" w:line="121" w:lineRule="exact"/>
        <w:rPr>
          <w:sz w:val="20"/>
          <w:szCs w:val="20"/>
          <w:color w:val="auto"/>
        </w:rPr>
      </w:pPr>
    </w:p>
    <w:p>
      <w:pPr>
        <w:ind w:left="1260" w:right="519" w:firstLine="648"/>
        <w:spacing w:after="0"/>
        <w:rPr>
          <w:sz w:val="20"/>
          <w:szCs w:val="20"/>
          <w:color w:val="auto"/>
        </w:rPr>
      </w:pPr>
      <w:r>
        <w:rPr>
          <w:rFonts w:ascii="Arial" w:cs="Arial" w:eastAsia="Arial" w:hAnsi="Arial"/>
          <w:sz w:val="18"/>
          <w:szCs w:val="18"/>
          <w:color w:val="auto"/>
        </w:rPr>
        <w:t>The accelerated approval pathway is most often used in settings in which the course of a disease is long and an extended period of time is required to measure the intended clinical benefit of a product.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36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32" w:name="page233"/>
    <w:bookmarkEnd w:id="2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59" w:firstLine="648"/>
        <w:spacing w:after="0" w:line="254" w:lineRule="auto"/>
        <w:rPr>
          <w:sz w:val="20"/>
          <w:szCs w:val="20"/>
          <w:color w:val="auto"/>
        </w:rPr>
      </w:pPr>
      <w:r>
        <w:rPr>
          <w:rFonts w:ascii="Arial" w:cs="Arial" w:eastAsia="Arial" w:hAnsi="Arial"/>
          <w:sz w:val="18"/>
          <w:szCs w:val="18"/>
          <w:color w:val="auto"/>
        </w:rPr>
        <w:t>The accelerated approval pathway is usually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or to confirm a clinical benefit during post-marketing studies, may lead the FDA to withdraw the product from the market on an expedited basis. All promotional materials for product candidates approved under accelerated regulations are subject to prior review by the FDA.</w:t>
      </w:r>
    </w:p>
    <w:p>
      <w:pPr>
        <w:spacing w:after="0" w:line="124" w:lineRule="exact"/>
        <w:rPr>
          <w:sz w:val="20"/>
          <w:szCs w:val="20"/>
          <w:color w:val="auto"/>
        </w:rPr>
      </w:pPr>
    </w:p>
    <w:p>
      <w:pPr>
        <w:ind w:left="1260" w:right="499" w:firstLine="648"/>
        <w:spacing w:after="0" w:line="257" w:lineRule="auto"/>
        <w:rPr>
          <w:sz w:val="20"/>
          <w:szCs w:val="20"/>
          <w:color w:val="auto"/>
        </w:rPr>
      </w:pPr>
      <w:r>
        <w:rPr>
          <w:rFonts w:ascii="Arial" w:cs="Arial" w:eastAsia="Arial" w:hAnsi="Arial"/>
          <w:sz w:val="18"/>
          <w:szCs w:val="18"/>
          <w:color w:val="auto"/>
        </w:rPr>
        <w:t>Fast track designation, priority review, accelerated approval, and breakthrough therapy designation may expedite the development or approval process, but do not change the standards for approval. Even if a product qualifies for one or more of these programs, the FDA may later decide that the product no longer meets the conditions for qualification or decide that the time period for FDA review or approval will not be shortened.</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Post-Approval Regulation</w:t>
      </w:r>
    </w:p>
    <w:p>
      <w:pPr>
        <w:spacing w:after="0" w:line="158" w:lineRule="exact"/>
        <w:rPr>
          <w:sz w:val="20"/>
          <w:szCs w:val="20"/>
          <w:color w:val="auto"/>
        </w:rPr>
      </w:pPr>
    </w:p>
    <w:p>
      <w:pPr>
        <w:ind w:left="1260" w:right="439" w:firstLine="648"/>
        <w:spacing w:after="0" w:line="267" w:lineRule="auto"/>
        <w:rPr>
          <w:sz w:val="20"/>
          <w:szCs w:val="20"/>
          <w:color w:val="auto"/>
        </w:rPr>
      </w:pPr>
      <w:r>
        <w:rPr>
          <w:rFonts w:ascii="Arial" w:cs="Arial" w:eastAsia="Arial" w:hAnsi="Arial"/>
          <w:sz w:val="17"/>
          <w:szCs w:val="17"/>
          <w:color w:val="auto"/>
        </w:rPr>
        <w:t>If regulatory approval for marketing of a product or for a new indication for an existing product is obtained, the sponsor will be required to comply with rigorous and extensive post-approval regulatory requirements as well as any post-approval requirements that the FDA has imposed on the particular product as part of the approval process. The sponsor will be required, among other things, to report certain adverse reactions and production problems to the FDA, provide updated safety and efficacy information and comply with requirements concerning advertising, promotional labeling, product sampling and distribution.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Accordingly, the BLA-holder and its third-party manufacturers must continue to expend time, money and effort in the areas of production and quality control to maintain compliance with cGMP regulations and other regulatory requirements. FDA regulations also require investigation and correction of any deviations from cGMP and impose reporting requirements upon us and any third-party manufacturers that we or our partners may decide to use. In addition, changes to the manufacturing process or facility are strictly regulated, and, depending on the significance of the change, may require prior FDA approval before being implemented, and other types of changes to the approved product, such as adding new indications and additional labeling claims, are also subject to further FDA review and approval.</w:t>
      </w:r>
    </w:p>
    <w:p>
      <w:pPr>
        <w:spacing w:after="0" w:line="109" w:lineRule="exact"/>
        <w:rPr>
          <w:sz w:val="20"/>
          <w:szCs w:val="20"/>
          <w:color w:val="auto"/>
        </w:rPr>
      </w:pPr>
    </w:p>
    <w:p>
      <w:pPr>
        <w:ind w:left="1260" w:right="439" w:firstLine="648"/>
        <w:spacing w:after="0" w:line="254"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study requirements or clinical trial requirements to assess new safety risks; or imposition of distribution restrictions or other restrictions under a REMS program. Other potential consequences include, among other things:</w:t>
      </w:r>
    </w:p>
    <w:p>
      <w:pPr>
        <w:spacing w:after="0" w:line="84" w:lineRule="exact"/>
        <w:rPr>
          <w:sz w:val="20"/>
          <w:szCs w:val="20"/>
          <w:color w:val="auto"/>
        </w:rPr>
      </w:pPr>
    </w:p>
    <w:p>
      <w:pPr>
        <w:ind w:left="2260" w:right="819" w:hanging="352"/>
        <w:spacing w:after="0" w:line="277" w:lineRule="auto"/>
        <w:tabs>
          <w:tab w:leader="none" w:pos="22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75" w:lineRule="exact"/>
        <w:rPr>
          <w:rFonts w:ascii="Arial" w:cs="Arial" w:eastAsia="Arial" w:hAnsi="Arial"/>
          <w:sz w:val="18"/>
          <w:szCs w:val="18"/>
          <w:color w:val="auto"/>
        </w:rPr>
      </w:pPr>
    </w:p>
    <w:p>
      <w:pPr>
        <w:ind w:left="2260" w:hanging="352"/>
        <w:spacing w:after="0"/>
        <w:tabs>
          <w:tab w:leader="none" w:pos="22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fines, untitled letters or warning letters or holds on post-approval clinical trials;</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adverse publicity;</w:t>
      </w:r>
    </w:p>
    <w:p>
      <w:pPr>
        <w:spacing w:after="0" w:line="117" w:lineRule="exact"/>
        <w:rPr>
          <w:rFonts w:ascii="Arial" w:cs="Arial" w:eastAsia="Arial" w:hAnsi="Arial"/>
          <w:sz w:val="18"/>
          <w:szCs w:val="18"/>
          <w:color w:val="auto"/>
        </w:rPr>
      </w:pPr>
    </w:p>
    <w:p>
      <w:pPr>
        <w:ind w:left="2260" w:right="579" w:hanging="352"/>
        <w:spacing w:after="0" w:line="277" w:lineRule="auto"/>
        <w:tabs>
          <w:tab w:leader="none" w:pos="22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62" w:lineRule="exact"/>
        <w:rPr>
          <w:rFonts w:ascii="Arial" w:cs="Arial" w:eastAsia="Arial" w:hAnsi="Arial"/>
          <w:sz w:val="18"/>
          <w:szCs w:val="18"/>
          <w:color w:val="auto"/>
        </w:rPr>
      </w:pPr>
    </w:p>
    <w:p>
      <w:pPr>
        <w:ind w:left="2260" w:hanging="352"/>
        <w:spacing w:after="0"/>
        <w:tabs>
          <w:tab w:leader="none" w:pos="22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17" w:lineRule="exact"/>
        <w:rPr>
          <w:rFonts w:ascii="Arial" w:cs="Arial" w:eastAsia="Arial" w:hAnsi="Arial"/>
          <w:sz w:val="18"/>
          <w:szCs w:val="18"/>
          <w:color w:val="auto"/>
        </w:rPr>
      </w:pPr>
    </w:p>
    <w:p>
      <w:pPr>
        <w:ind w:left="2260" w:right="739" w:hanging="352"/>
        <w:spacing w:after="0" w:line="277" w:lineRule="auto"/>
        <w:tabs>
          <w:tab w:leader="none" w:pos="22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injunctions, fines, debarment, disgorgement of profits or the imposition of civil or criminal penalties.</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33" w:name="page234"/>
    <w:bookmarkEnd w:id="2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39" w:firstLine="648"/>
        <w:spacing w:after="0" w:line="269" w:lineRule="auto"/>
        <w:rPr>
          <w:sz w:val="20"/>
          <w:szCs w:val="20"/>
          <w:color w:val="auto"/>
        </w:rPr>
      </w:pPr>
      <w:r>
        <w:rPr>
          <w:rFonts w:ascii="Arial" w:cs="Arial" w:eastAsia="Arial" w:hAnsi="Arial"/>
          <w:sz w:val="17"/>
          <w:szCs w:val="17"/>
          <w:color w:val="auto"/>
        </w:rPr>
        <w:t>The FDA closely regulates marketing, labeling, advertising and promotion of products that are placed on the market. Pharmaceutical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patients in varied circumstances. The FDA does not regulate the behavior of physicians in their choice of treatments. The FDA does, however, restrict marketing authorization holders’ communications on the subject of off-label use of their products.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58" w:lineRule="exact"/>
        <w:rPr>
          <w:sz w:val="20"/>
          <w:szCs w:val="20"/>
          <w:color w:val="auto"/>
        </w:rPr>
      </w:pPr>
    </w:p>
    <w:p>
      <w:pPr>
        <w:ind w:left="1260" w:right="419" w:firstLine="648"/>
        <w:spacing w:after="0" w:line="255" w:lineRule="auto"/>
        <w:rPr>
          <w:sz w:val="20"/>
          <w:szCs w:val="20"/>
          <w:color w:val="auto"/>
        </w:rPr>
      </w:pPr>
      <w:r>
        <w:rPr>
          <w:rFonts w:ascii="Arial" w:cs="Arial" w:eastAsia="Arial" w:hAnsi="Arial"/>
          <w:sz w:val="18"/>
          <w:szCs w:val="18"/>
          <w:color w:val="auto"/>
        </w:rPr>
        <w:t>Orphan drug designation in the United States is designed to encourage sponsors to develop products intended for rare diseases or conditions. In the United States, a rare disease or condition is statutorily defined as a disease or condition that affects fewer than 200,000 individuals in the United States or that affects more than 200,000 individuals in the United States but for which there is no reasonable expectation that the cost of developing and making available the product for the disease or condition will be recovered from sales of the product in the United States.</w:t>
      </w:r>
    </w:p>
    <w:p>
      <w:pPr>
        <w:spacing w:after="0" w:line="125" w:lineRule="exact"/>
        <w:rPr>
          <w:sz w:val="20"/>
          <w:szCs w:val="20"/>
          <w:color w:val="auto"/>
        </w:rPr>
      </w:pPr>
    </w:p>
    <w:p>
      <w:pPr>
        <w:ind w:left="1260" w:right="439" w:firstLine="648"/>
        <w:spacing w:after="0" w:line="253" w:lineRule="auto"/>
        <w:rPr>
          <w:sz w:val="20"/>
          <w:szCs w:val="20"/>
          <w:color w:val="auto"/>
        </w:rPr>
      </w:pPr>
      <w:r>
        <w:rPr>
          <w:rFonts w:ascii="Arial" w:cs="Arial" w:eastAsia="Arial" w:hAnsi="Arial"/>
          <w:sz w:val="18"/>
          <w:szCs w:val="18"/>
          <w:color w:val="auto"/>
        </w:rPr>
        <w:t>Orphan drug designation qualifies a company for certain financial incentives, including tax advantages, waiver of the BLA application user fee and, if the product receives the first FDA approval for the indication for which it has orphan designation, market exclusivity. Orphan product exclusivity means that the FDA may not approve any other applications, including a full BLA, to market the same biologic for the same indication for seven years from the approval of the BLA,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An application for designation as an orphan product can be made any time prior to the filing of an application for approval to market the product.</w:t>
      </w:r>
    </w:p>
    <w:p>
      <w:pPr>
        <w:spacing w:after="0" w:line="113" w:lineRule="exact"/>
        <w:rPr>
          <w:sz w:val="20"/>
          <w:szCs w:val="20"/>
          <w:color w:val="auto"/>
        </w:rPr>
      </w:pPr>
    </w:p>
    <w:p>
      <w:pPr>
        <w:ind w:left="1260" w:right="439" w:firstLine="648"/>
        <w:spacing w:after="0" w:line="255" w:lineRule="auto"/>
        <w:rPr>
          <w:sz w:val="20"/>
          <w:szCs w:val="20"/>
          <w:color w:val="auto"/>
        </w:rPr>
      </w:pPr>
      <w:r>
        <w:rPr>
          <w:rFonts w:ascii="Arial" w:cs="Arial" w:eastAsia="Arial" w:hAnsi="Arial"/>
          <w:sz w:val="18"/>
          <w:szCs w:val="18"/>
          <w:color w:val="auto"/>
        </w:rPr>
        <w:t>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 product. More than one sponsor may receive orphan drug designation for the same product for the same rare disease or condition, but each sponsor seeking orphan drug designation must file a complete request for designation.</w:t>
      </w:r>
    </w:p>
    <w:p>
      <w:pPr>
        <w:spacing w:after="0" w:line="125" w:lineRule="exact"/>
        <w:rPr>
          <w:sz w:val="20"/>
          <w:szCs w:val="20"/>
          <w:color w:val="auto"/>
        </w:rPr>
      </w:pPr>
    </w:p>
    <w:p>
      <w:pPr>
        <w:ind w:left="1260" w:right="479" w:firstLine="648"/>
        <w:spacing w:after="0" w:line="272" w:lineRule="auto"/>
        <w:rPr>
          <w:sz w:val="20"/>
          <w:szCs w:val="20"/>
          <w:color w:val="auto"/>
        </w:rPr>
      </w:pPr>
      <w:r>
        <w:rPr>
          <w:rFonts w:ascii="Arial" w:cs="Arial" w:eastAsia="Arial" w:hAnsi="Arial"/>
          <w:sz w:val="17"/>
          <w:szCs w:val="17"/>
          <w:color w:val="auto"/>
        </w:rPr>
        <w:t>The period of exclusivity begins on the date that the marketing application is approved by the FDA and applies only to the indication for which the product has been designated. The FDA may approve a second application for the same product for a different use or a second application for a clinically superior version of the product for the same use. The FDA cannot, however, approve the same product made by another manufacturer for the same indication during the market exclusivity period unless it has the consent of the sponsor, the manufacturer makes a showing of clinical superiority over the product with orphan exclusivity, or the sponsor is unable to provide sufficient quantities.</w:t>
      </w:r>
    </w:p>
    <w:p>
      <w:pPr>
        <w:spacing w:after="0" w:line="110" w:lineRule="exact"/>
        <w:rPr>
          <w:sz w:val="20"/>
          <w:szCs w:val="20"/>
          <w:color w:val="auto"/>
        </w:rPr>
      </w:pPr>
    </w:p>
    <w:p>
      <w:pPr>
        <w:ind w:left="1260" w:right="539" w:firstLine="648"/>
        <w:spacing w:after="0" w:line="257" w:lineRule="auto"/>
        <w:rPr>
          <w:sz w:val="20"/>
          <w:szCs w:val="20"/>
          <w:color w:val="auto"/>
        </w:rPr>
      </w:pPr>
      <w:r>
        <w:rPr>
          <w:rFonts w:ascii="Arial" w:cs="Arial" w:eastAsia="Arial" w:hAnsi="Arial"/>
          <w:sz w:val="18"/>
          <w:szCs w:val="18"/>
          <w:color w:val="auto"/>
        </w:rPr>
        <w:t>An orphan-designated product may not receive orphan exclusivity if it is approved for a use that is broader than the indication for which it received orphan designation. In addition, orphan exclusivity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07" w:lineRule="exact"/>
        <w:rPr>
          <w:sz w:val="20"/>
          <w:szCs w:val="20"/>
          <w:color w:val="auto"/>
        </w:rPr>
      </w:pPr>
    </w:p>
    <w:p>
      <w:pPr>
        <w:ind w:left="1260" w:right="1019" w:firstLine="648"/>
        <w:spacing w:after="0" w:line="277" w:lineRule="auto"/>
        <w:rPr>
          <w:sz w:val="20"/>
          <w:szCs w:val="20"/>
          <w:color w:val="auto"/>
        </w:rPr>
      </w:pPr>
      <w:r>
        <w:rPr>
          <w:rFonts w:ascii="Arial" w:cs="Arial" w:eastAsia="Arial" w:hAnsi="Arial"/>
          <w:sz w:val="18"/>
          <w:szCs w:val="18"/>
          <w:color w:val="auto"/>
        </w:rPr>
        <w:t>Orphan product designation does not convey any advantage in or shorten the duration of the regulatory review and approval process.</w:t>
      </w: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34" w:name="page235"/>
    <w:bookmarkEnd w:id="2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Biosimilars and Exclusivity</w:t>
      </w:r>
    </w:p>
    <w:p>
      <w:pPr>
        <w:spacing w:after="0" w:line="158" w:lineRule="exact"/>
        <w:rPr>
          <w:sz w:val="20"/>
          <w:szCs w:val="20"/>
          <w:color w:val="auto"/>
        </w:rPr>
      </w:pPr>
    </w:p>
    <w:p>
      <w:pPr>
        <w:ind w:left="1260" w:right="579" w:firstLine="648"/>
        <w:spacing w:after="0" w:line="243" w:lineRule="auto"/>
        <w:rPr>
          <w:sz w:val="20"/>
          <w:szCs w:val="20"/>
          <w:color w:val="auto"/>
        </w:rPr>
      </w:pPr>
      <w:r>
        <w:rPr>
          <w:rFonts w:ascii="Arial" w:cs="Arial" w:eastAsia="Arial" w:hAnsi="Arial"/>
          <w:sz w:val="18"/>
          <w:szCs w:val="18"/>
          <w:color w:val="auto"/>
        </w:rPr>
        <w:t>The BPCIA (under the Affordable Care Act) created an abbreviated approval pathway for biological products that are biosimilar to or interchangeable with an FDA-licensed reference biological product. The FDA has issued several guidance documents outlining an approach to review and approval of biosimilars.</w:t>
      </w:r>
    </w:p>
    <w:p>
      <w:pPr>
        <w:spacing w:after="0" w:line="120" w:lineRule="exact"/>
        <w:rPr>
          <w:sz w:val="20"/>
          <w:szCs w:val="20"/>
          <w:color w:val="auto"/>
        </w:rPr>
      </w:pPr>
    </w:p>
    <w:p>
      <w:pPr>
        <w:ind w:left="1260" w:right="439" w:firstLine="648"/>
        <w:spacing w:after="0" w:line="237" w:lineRule="auto"/>
        <w:rPr>
          <w:sz w:val="20"/>
          <w:szCs w:val="20"/>
          <w:color w:val="auto"/>
        </w:rPr>
      </w:pPr>
      <w:r>
        <w:rPr>
          <w:rFonts w:ascii="Arial" w:cs="Arial" w:eastAsia="Arial" w:hAnsi="Arial"/>
          <w:sz w:val="18"/>
          <w:szCs w:val="18"/>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14" w:lineRule="exact"/>
        <w:rPr>
          <w:sz w:val="20"/>
          <w:szCs w:val="20"/>
          <w:color w:val="auto"/>
        </w:rPr>
      </w:pPr>
    </w:p>
    <w:p>
      <w:pPr>
        <w:ind w:left="1260" w:right="499" w:firstLine="648"/>
        <w:spacing w:after="0" w:line="238" w:lineRule="auto"/>
        <w:rPr>
          <w:sz w:val="20"/>
          <w:szCs w:val="20"/>
          <w:color w:val="auto"/>
        </w:rPr>
      </w:pPr>
      <w:r>
        <w:rPr>
          <w:rFonts w:ascii="Arial" w:cs="Arial" w:eastAsia="Arial" w:hAnsi="Arial"/>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21" w:lineRule="exact"/>
        <w:rPr>
          <w:sz w:val="20"/>
          <w:szCs w:val="20"/>
          <w:color w:val="auto"/>
        </w:rPr>
      </w:pPr>
    </w:p>
    <w:p>
      <w:pPr>
        <w:ind w:left="1260" w:right="459" w:firstLine="648"/>
        <w:spacing w:after="0" w:line="241" w:lineRule="auto"/>
        <w:rPr>
          <w:sz w:val="20"/>
          <w:szCs w:val="20"/>
          <w:color w:val="auto"/>
        </w:rPr>
      </w:pPr>
      <w:r>
        <w:rPr>
          <w:rFonts w:ascii="Arial" w:cs="Arial" w:eastAsia="Arial" w:hAnsi="Arial"/>
          <w:sz w:val="18"/>
          <w:szCs w:val="18"/>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22" w:lineRule="exact"/>
        <w:rPr>
          <w:sz w:val="20"/>
          <w:szCs w:val="20"/>
          <w:color w:val="auto"/>
        </w:rPr>
      </w:pPr>
    </w:p>
    <w:p>
      <w:pPr>
        <w:ind w:left="1260" w:right="459" w:firstLine="648"/>
        <w:spacing w:after="0" w:line="257" w:lineRule="auto"/>
        <w:rPr>
          <w:sz w:val="20"/>
          <w:szCs w:val="20"/>
          <w:color w:val="auto"/>
        </w:rPr>
      </w:pPr>
      <w:r>
        <w:rPr>
          <w:rFonts w:ascii="Arial" w:cs="Arial" w:eastAsia="Arial" w:hAnsi="Arial"/>
          <w:sz w:val="18"/>
          <w:szCs w:val="18"/>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Regulation and Procedures Governing Approval of Medicinal Products in the European Union</w:t>
      </w:r>
    </w:p>
    <w:p>
      <w:pPr>
        <w:spacing w:after="0" w:line="148" w:lineRule="exact"/>
        <w:rPr>
          <w:sz w:val="20"/>
          <w:szCs w:val="20"/>
          <w:color w:val="auto"/>
        </w:rPr>
      </w:pPr>
    </w:p>
    <w:p>
      <w:pPr>
        <w:ind w:left="1260" w:right="419" w:firstLine="648"/>
        <w:spacing w:after="0" w:line="253" w:lineRule="auto"/>
        <w:rPr>
          <w:sz w:val="20"/>
          <w:szCs w:val="20"/>
          <w:color w:val="auto"/>
        </w:rPr>
      </w:pPr>
      <w:r>
        <w:rPr>
          <w:rFonts w:ascii="Arial" w:cs="Arial" w:eastAsia="Arial" w:hAnsi="Arial"/>
          <w:sz w:val="18"/>
          <w:szCs w:val="18"/>
          <w:color w:val="auto"/>
        </w:rPr>
        <w:t>In order to market any product outside of the United States, a company also must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foreign regulatory authorities before it can initiate clinical trials or marketing of the product in those countries or jurisdictions. Specifically, the process governing approval of medicinal products in the European Union generally follows the same lines as in the United States. It entails satisfactory completion of pharmaceutical development, nonclinical studies and adequate and well-controlled clinical trials to establish the safety and efficacy of the medicinal product for each proposed indication.</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Clinical Trial Approval</w:t>
      </w:r>
    </w:p>
    <w:p>
      <w:pPr>
        <w:spacing w:after="0" w:line="158" w:lineRule="exact"/>
        <w:rPr>
          <w:sz w:val="20"/>
          <w:szCs w:val="20"/>
          <w:color w:val="auto"/>
        </w:rPr>
      </w:pPr>
    </w:p>
    <w:p>
      <w:pPr>
        <w:ind w:left="1260" w:right="619" w:firstLine="648"/>
        <w:spacing w:after="0" w:line="308" w:lineRule="auto"/>
        <w:rPr>
          <w:sz w:val="20"/>
          <w:szCs w:val="20"/>
          <w:color w:val="auto"/>
        </w:rPr>
      </w:pPr>
      <w:r>
        <w:rPr>
          <w:rFonts w:ascii="Arial" w:cs="Arial" w:eastAsia="Arial" w:hAnsi="Arial"/>
          <w:sz w:val="17"/>
          <w:szCs w:val="17"/>
          <w:color w:val="auto"/>
        </w:rPr>
        <w:t>Pursuant to the currently applicable Clinical Trials Directive 2001/20/EC and the Directive 2005/ 28/EC on GCP, a system for the approval of clinical trials in the European Union has been implemented</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35" w:name="page236"/>
    <w:bookmarkEnd w:id="2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59"/>
        <w:spacing w:after="0" w:line="250" w:lineRule="auto"/>
        <w:rPr>
          <w:sz w:val="20"/>
          <w:szCs w:val="20"/>
          <w:color w:val="auto"/>
        </w:rPr>
      </w:pPr>
      <w:r>
        <w:rPr>
          <w:rFonts w:ascii="Arial" w:cs="Arial" w:eastAsia="Arial" w:hAnsi="Arial"/>
          <w:sz w:val="17"/>
          <w:szCs w:val="17"/>
          <w:color w:val="auto"/>
        </w:rPr>
        <w:t>through national legislation of the Member States. Under this system, an applicant must obtain approval from the competent national authority of each European Union Member State in which the clinical trial is to be conducted. Furthermore, the applicant may only start a clinical trial at a specific study site after the local competent ethics committee has issued a favorable opinion. In April 2014, the European Union adopted a new Clinical Trials Regulation (EU) No 536/2014, which is set to replace the current Clinical Trials Directive 2001/20. This new legislation, which will be directly applicable in all Member States, aims at simplifying and streamlining the approval of clinical trials in the European Union by allowing for a streamlined application procedure via a single-entry point and strictly defined deadlines for the assessment of clinical trial applications. The Regulation harmonizes the assessment and supervision processes for clinical trials throughout the European Union, via a Clinical Trials Information System, or CTIS, which will contain the centralized European Union portal and database for clinical trials foreseen by the Regulation. The EMA will set up and maintain CTIS, in collaboration with the competent national authority of each European Union Member Sate and the EC. The Clinical Trials Regulation will only become applicable</w:t>
      </w:r>
    </w:p>
    <w:p>
      <w:pPr>
        <w:spacing w:after="0" w:line="1" w:lineRule="exact"/>
        <w:rPr>
          <w:sz w:val="20"/>
          <w:szCs w:val="20"/>
          <w:color w:val="auto"/>
        </w:rPr>
      </w:pPr>
    </w:p>
    <w:p>
      <w:pPr>
        <w:ind w:left="1260" w:right="639"/>
        <w:spacing w:after="0" w:line="243" w:lineRule="auto"/>
        <w:rPr>
          <w:sz w:val="20"/>
          <w:szCs w:val="20"/>
          <w:color w:val="auto"/>
        </w:rPr>
      </w:pPr>
      <w:r>
        <w:rPr>
          <w:rFonts w:ascii="Arial" w:cs="Arial" w:eastAsia="Arial" w:hAnsi="Arial"/>
          <w:sz w:val="18"/>
          <w:szCs w:val="18"/>
          <w:color w:val="auto"/>
        </w:rPr>
        <w:t>six months after the EC confirms the full functionality of CTIS. Such a confirmation will only occur once CTIS is audited. The CTIS audit is currently planned for December 2020.</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Marketing Authorization</w:t>
      </w:r>
    </w:p>
    <w:p>
      <w:pPr>
        <w:spacing w:after="0" w:line="158" w:lineRule="exact"/>
        <w:rPr>
          <w:sz w:val="20"/>
          <w:szCs w:val="20"/>
          <w:color w:val="auto"/>
        </w:rPr>
      </w:pPr>
    </w:p>
    <w:p>
      <w:pPr>
        <w:ind w:left="1260" w:right="539" w:firstLine="648"/>
        <w:spacing w:after="0" w:line="261" w:lineRule="auto"/>
        <w:rPr>
          <w:sz w:val="20"/>
          <w:szCs w:val="20"/>
          <w:color w:val="auto"/>
        </w:rPr>
      </w:pPr>
      <w:r>
        <w:rPr>
          <w:rFonts w:ascii="Arial" w:cs="Arial" w:eastAsia="Arial" w:hAnsi="Arial"/>
          <w:sz w:val="18"/>
          <w:szCs w:val="18"/>
          <w:color w:val="auto"/>
        </w:rPr>
        <w:t>To obtain a marketing authorization for a product under the European Union regulatory system, an applicant must obtain Marketing Authorization, or MA. There are two types of MAs:</w:t>
      </w:r>
    </w:p>
    <w:p>
      <w:pPr>
        <w:spacing w:after="0" w:line="63" w:lineRule="exact"/>
        <w:rPr>
          <w:sz w:val="20"/>
          <w:szCs w:val="20"/>
          <w:color w:val="auto"/>
        </w:rPr>
      </w:pPr>
    </w:p>
    <w:p>
      <w:pPr>
        <w:ind w:left="2260" w:right="479" w:hanging="352"/>
        <w:spacing w:after="0" w:line="267" w:lineRule="auto"/>
        <w:tabs>
          <w:tab w:leader="none" w:pos="22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Community MA, which is issued by the EC through the Centralized Procedure, based on the opinion of the Committee for Medicinal Products for Human Use, or CHMP, of the European Medicines Agency, or EMA, and which is valid throughout the entire territory of the EEA. The Centralized Procedure is mandatory for certain types of products, such as biotechnology medicinal products, orphan medicinal products, advanced therapy medicinal products (such as gene therapies, somatic cell therapies and tissue engineered products), and medicinal products that contain a new active substance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 Under the Centralized Procedure the maximum time frame for the evaluation of a marketing authorization application is 210 days (excluding clock stops, when additional written or oral information is to be provided by the applicant in response to questions asked by the CHMP). Accelerated evaluation might be granted by the CHMP in exceptional cases, when the authorization of a medicinal product is of major interest from the point of view of public health and in particular from the viewpoint of therapeutic innovation. Under the accelerated procedure the standard 210-day review period is reduced to 150 days.</w:t>
      </w:r>
    </w:p>
    <w:p>
      <w:pPr>
        <w:spacing w:after="0" w:line="81" w:lineRule="exact"/>
        <w:rPr>
          <w:rFonts w:ascii="Arial" w:cs="Arial" w:eastAsia="Arial" w:hAnsi="Arial"/>
          <w:sz w:val="17"/>
          <w:szCs w:val="17"/>
          <w:color w:val="auto"/>
        </w:rPr>
      </w:pPr>
    </w:p>
    <w:p>
      <w:pPr>
        <w:ind w:left="2260" w:right="439" w:hanging="352"/>
        <w:spacing w:after="0" w:line="272" w:lineRule="auto"/>
        <w:tabs>
          <w:tab w:leader="none" w:pos="22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other Member States through the Mutual Recognition Procedure. If the product has not received a National MA in any Member State at the time of application, it can be approved simultaneously in various Member States through the Decentralized Procedure.</w:t>
      </w:r>
    </w:p>
    <w:p>
      <w:pPr>
        <w:spacing w:after="0" w:line="96" w:lineRule="exact"/>
        <w:rPr>
          <w:sz w:val="20"/>
          <w:szCs w:val="20"/>
          <w:color w:val="auto"/>
        </w:rPr>
      </w:pPr>
    </w:p>
    <w:p>
      <w:pPr>
        <w:ind w:left="1260" w:right="579" w:firstLine="648"/>
        <w:spacing w:after="0"/>
        <w:rPr>
          <w:sz w:val="20"/>
          <w:szCs w:val="20"/>
          <w:color w:val="auto"/>
        </w:rPr>
      </w:pPr>
      <w:r>
        <w:rPr>
          <w:rFonts w:ascii="Arial" w:cs="Arial" w:eastAsia="Arial" w:hAnsi="Arial"/>
          <w:sz w:val="18"/>
          <w:szCs w:val="18"/>
          <w:color w:val="auto"/>
        </w:rPr>
        <w:t>An MA may be granted only to an applicant established in the European Union. Regulation 1901/ 2006 on Medicinal Products for Pediatric Use provides that prior to obtaining a marketing authorization in the European Union in the centralized procedure, an applicant must demonstrate compliance with all measures included in an EMA-approved Pediatric Investigation Plan covering all subsets of the pediatric population, unless the EMA has granted a product-specific waiver, class waiver, or a deferral for one or more of the measures included in the Pediatric Investigation Plan.</w:t>
      </w:r>
    </w:p>
    <w:p>
      <w:pPr>
        <w:spacing w:after="0" w:line="122" w:lineRule="exact"/>
        <w:rPr>
          <w:sz w:val="20"/>
          <w:szCs w:val="20"/>
          <w:color w:val="auto"/>
        </w:rPr>
      </w:pPr>
    </w:p>
    <w:p>
      <w:pPr>
        <w:ind w:left="1260" w:right="1039" w:firstLine="648"/>
        <w:spacing w:after="0" w:line="258" w:lineRule="auto"/>
        <w:rPr>
          <w:sz w:val="20"/>
          <w:szCs w:val="20"/>
          <w:color w:val="auto"/>
        </w:rPr>
      </w:pPr>
      <w:r>
        <w:rPr>
          <w:rFonts w:ascii="Arial" w:cs="Arial" w:eastAsia="Arial" w:hAnsi="Arial"/>
          <w:sz w:val="17"/>
          <w:szCs w:val="17"/>
          <w:color w:val="auto"/>
        </w:rPr>
        <w:t>The European Union also provides opportunities for market exclusivity. For example, in the European Union, upon receiving marketing authorization, new chemical entities generally receive</w:t>
      </w:r>
    </w:p>
    <w:p>
      <w:pPr>
        <w:spacing w:after="0" w:line="1" w:lineRule="exact"/>
        <w:rPr>
          <w:sz w:val="20"/>
          <w:szCs w:val="20"/>
          <w:color w:val="auto"/>
        </w:rPr>
      </w:pPr>
    </w:p>
    <w:p>
      <w:pPr>
        <w:ind w:left="1260" w:right="459"/>
        <w:spacing w:after="0" w:line="243" w:lineRule="auto"/>
        <w:rPr>
          <w:sz w:val="20"/>
          <w:szCs w:val="20"/>
          <w:color w:val="auto"/>
        </w:rPr>
      </w:pPr>
      <w:r>
        <w:rPr>
          <w:rFonts w:ascii="Arial" w:cs="Arial" w:eastAsia="Arial" w:hAnsi="Arial"/>
          <w:sz w:val="18"/>
          <w:szCs w:val="18"/>
          <w:color w:val="auto"/>
        </w:rPr>
        <w:t>eight years of data exclusivity and an additional two years of market exclusivity. If granted, data exclusivity prevents</w:t>
      </w:r>
    </w:p>
    <w:p>
      <w:pPr>
        <w:sectPr>
          <w:pgSz w:w="11900" w:h="16838" w:orient="portrait"/>
          <w:cols w:equalWidth="0" w:num="1">
            <w:col w:w="9879"/>
          </w:cols>
          <w:pgMar w:left="580" w:top="132" w:right="1440" w:bottom="1440" w:gutter="0" w:footer="0" w:header="0"/>
        </w:sectPr>
      </w:pPr>
    </w:p>
    <w:p>
      <w:pPr>
        <w:spacing w:after="0" w:line="36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36" w:name="page237"/>
    <w:bookmarkEnd w:id="2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559"/>
        <w:spacing w:after="0" w:line="257" w:lineRule="auto"/>
        <w:rPr>
          <w:sz w:val="20"/>
          <w:szCs w:val="20"/>
          <w:color w:val="auto"/>
        </w:rPr>
      </w:pPr>
      <w:r>
        <w:rPr>
          <w:rFonts w:ascii="Arial" w:cs="Arial" w:eastAsia="Arial" w:hAnsi="Arial"/>
          <w:sz w:val="17"/>
          <w:szCs w:val="17"/>
          <w:color w:val="auto"/>
        </w:rPr>
        <w:t>regulatory authorities in the European Union from referencing the innovator’s data to assess a generic or biosimilar application. During the additional two-year period of market exclusivity, a generic or biosimilar marketing authorization can be submitted, and the innovator’s data may be referenced, but no generic or biosimilar product can be marketed until the expiration of the market exclusivity. However, there is no guarantee that a product will be considered by the European Union’s regulatory authorities to be a new chemical entity, and products may not qualify for data exclusivity.</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Periods of Authorization and Renewals</w:t>
      </w:r>
    </w:p>
    <w:p>
      <w:pPr>
        <w:spacing w:after="0" w:line="158" w:lineRule="exact"/>
        <w:rPr>
          <w:sz w:val="20"/>
          <w:szCs w:val="20"/>
          <w:color w:val="auto"/>
        </w:rPr>
      </w:pPr>
    </w:p>
    <w:p>
      <w:pPr>
        <w:ind w:left="1260" w:right="479" w:firstLine="648"/>
        <w:spacing w:after="0" w:line="252" w:lineRule="auto"/>
        <w:rPr>
          <w:sz w:val="20"/>
          <w:szCs w:val="20"/>
          <w:color w:val="auto"/>
        </w:rPr>
      </w:pPr>
      <w:r>
        <w:rPr>
          <w:rFonts w:ascii="Arial" w:cs="Arial" w:eastAsia="Arial" w:hAnsi="Arial"/>
          <w:sz w:val="17"/>
          <w:szCs w:val="17"/>
          <w:color w:val="auto"/>
        </w:rPr>
        <w:t>A marketing authorization is valid for five years, in principle, and it may be renewed after five years on the basis of a reevaluation of the risk -benefit balance by the EMA or by the competent authority of the authorizing Member State. To that end, the marketing authorization holder must provide the EMA or the competent authority with a consolidated version of the file in respect of quality, safety and efficacy, including all variations introduced since the marketing authorization was granted, at least</w:t>
      </w:r>
    </w:p>
    <w:p>
      <w:pPr>
        <w:spacing w:after="0" w:line="2" w:lineRule="exact"/>
        <w:rPr>
          <w:sz w:val="20"/>
          <w:szCs w:val="20"/>
          <w:color w:val="auto"/>
        </w:rPr>
      </w:pPr>
    </w:p>
    <w:p>
      <w:pPr>
        <w:ind w:left="1260" w:right="479"/>
        <w:spacing w:after="0" w:line="237" w:lineRule="auto"/>
        <w:rPr>
          <w:sz w:val="20"/>
          <w:szCs w:val="20"/>
          <w:color w:val="auto"/>
        </w:rPr>
      </w:pPr>
      <w:r>
        <w:rPr>
          <w:rFonts w:ascii="Arial" w:cs="Arial" w:eastAsia="Arial" w:hAnsi="Arial"/>
          <w:sz w:val="18"/>
          <w:szCs w:val="18"/>
          <w:color w:val="auto"/>
        </w:rPr>
        <w:t>nine months before the marketing authorization ceases to be valid. Once renewed, the marketing authorization is valid for an unlimited period, unless the EC or the competent authority decides, on justified grounds relating to pharmacovigilance, to proceed with one additional five-year renewal period. Any authorization that is not followed by the placement of the product on the European Union market (in the case of the centralized procedure) or on the market of the authorizing Member State within three years after authorization ceases to be valid.</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Regulatory Requirements After Marketing Authorization</w:t>
      </w:r>
    </w:p>
    <w:p>
      <w:pPr>
        <w:spacing w:after="0" w:line="158" w:lineRule="exact"/>
        <w:rPr>
          <w:sz w:val="20"/>
          <w:szCs w:val="20"/>
          <w:color w:val="auto"/>
        </w:rPr>
      </w:pPr>
    </w:p>
    <w:p>
      <w:pPr>
        <w:ind w:left="1260" w:right="459" w:firstLine="648"/>
        <w:spacing w:after="0" w:line="252" w:lineRule="auto"/>
        <w:rPr>
          <w:sz w:val="20"/>
          <w:szCs w:val="20"/>
          <w:color w:val="auto"/>
        </w:rPr>
      </w:pPr>
      <w:r>
        <w:rPr>
          <w:rFonts w:ascii="Arial" w:cs="Arial" w:eastAsia="Arial" w:hAnsi="Arial"/>
          <w:sz w:val="17"/>
          <w:szCs w:val="17"/>
          <w:color w:val="auto"/>
        </w:rPr>
        <w:t>Following approval, the holder of the marketing authorization is required to comply with a range of requirements applicable to the manufacturing, marketing, promotion and sale of the medicinal product. These include compliance with the European Union’s stringent pharmacovigilance or safety reporting rules, pursuant to which post-authorization studies and additional monitoring obligations can be imposed. In addition, the manufacturing of authorized products, for which a separate manufacturer’s license is mandatory, must also be conducted in strict compliance with the EMA’s cGMP requirements and comparable requirements of other regulatory bodies in the European Union, which mandate the methods, facilities and controls used in manufacturing, processing and packing of products to assure their safety and identity. Finally, the marketing and promotion of authorized products, including industry- sponsored continuing medical education and advertising directed toward the prescribers of products and/or the general public, are strictly regulated in the European Union under Directive 2001/83.</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Orphan Drug Designation and Exclusivity</w:t>
      </w:r>
    </w:p>
    <w:p>
      <w:pPr>
        <w:spacing w:after="0" w:line="144" w:lineRule="exact"/>
        <w:rPr>
          <w:sz w:val="20"/>
          <w:szCs w:val="20"/>
          <w:color w:val="auto"/>
        </w:rPr>
      </w:pPr>
    </w:p>
    <w:p>
      <w:pPr>
        <w:ind w:left="1260" w:right="439" w:firstLine="648"/>
        <w:spacing w:after="0" w:line="253" w:lineRule="auto"/>
        <w:rPr>
          <w:sz w:val="20"/>
          <w:szCs w:val="20"/>
          <w:color w:val="auto"/>
        </w:rPr>
      </w:pPr>
      <w:r>
        <w:rPr>
          <w:rFonts w:ascii="Arial" w:cs="Arial" w:eastAsia="Arial" w:hAnsi="Arial"/>
          <w:sz w:val="18"/>
          <w:szCs w:val="18"/>
          <w:color w:val="auto"/>
        </w:rPr>
        <w:t>Regulation 141/2000 and Regulation 847/2000 provide that a product can be designated as an orphan drug by the EC if its sponsor can establish: that the product is intended for the diagnosis, prevention or treatment of (1) a life-threatening or chronically debilitating condition affecting not more than five in ten thousand persons in the European Union when the application is made, or (2) a life-threatening, seriously debilitating or serious and chronic condition in the European Union and that without incentives it is unlikely that the marketing of the product in the European Union would generate sufficient return to justify the necessary investment. For either of these conditions, the applicant must demonstrate that there exists no satisfactory method of diagnosis, prevention, or treatment of the condition in question that has been authorized in the European Union or, if such method exists, the product has to be of significant benefit compared to products available for the condition.</w:t>
      </w:r>
    </w:p>
    <w:p>
      <w:pPr>
        <w:spacing w:after="0" w:line="127" w:lineRule="exact"/>
        <w:rPr>
          <w:sz w:val="20"/>
          <w:szCs w:val="20"/>
          <w:color w:val="auto"/>
        </w:rPr>
      </w:pPr>
    </w:p>
    <w:p>
      <w:pPr>
        <w:ind w:left="1260" w:right="539" w:firstLine="648"/>
        <w:spacing w:after="0" w:line="253" w:lineRule="auto"/>
        <w:rPr>
          <w:sz w:val="20"/>
          <w:szCs w:val="20"/>
          <w:color w:val="auto"/>
        </w:rPr>
      </w:pPr>
      <w:r>
        <w:rPr>
          <w:rFonts w:ascii="Arial" w:cs="Arial" w:eastAsia="Arial" w:hAnsi="Arial"/>
          <w:sz w:val="18"/>
          <w:szCs w:val="18"/>
          <w:color w:val="auto"/>
        </w:rPr>
        <w:t>An orphan drug designation provides a number of benefits, including fee reductions, regulatory assistance and the possibility to apply for a centralized European Union marketing authorization. Orphan drugs also benefit from a 10-year period of market exclusivity. During this market exclusivity period, neither the EMA nor the EC or the Member States can accept an application or grant a marketing authorization for a “similar medicinal product.” A “similar medicinal product” is defined as a medicinal product containing a similar active substance or substances as contained in an authorized orphan medicinal product, and which is intended for the same therapeutic indication. The market exclusivity period for the authorized therapeutic indication may, however, be reduced to six years if, at the end of the fifth year, it is established that the product no longer meets the criteria for orphan drug designation because, for example, the product</w:t>
      </w:r>
    </w:p>
    <w:p>
      <w:pPr>
        <w:sectPr>
          <w:pgSz w:w="11900" w:h="16838" w:orient="portrait"/>
          <w:cols w:equalWidth="0" w:num="1">
            <w:col w:w="9879"/>
          </w:cols>
          <w:pgMar w:left="580" w:top="132"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37" w:name="page238"/>
    <w:bookmarkEnd w:id="2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519"/>
        <w:spacing w:after="0" w:line="241" w:lineRule="auto"/>
        <w:rPr>
          <w:sz w:val="20"/>
          <w:szCs w:val="20"/>
          <w:color w:val="auto"/>
        </w:rPr>
      </w:pPr>
      <w:r>
        <w:rPr>
          <w:rFonts w:ascii="Arial" w:cs="Arial" w:eastAsia="Arial" w:hAnsi="Arial"/>
          <w:sz w:val="18"/>
          <w:szCs w:val="18"/>
          <w:color w:val="auto"/>
        </w:rPr>
        <w:t>is sufficiently profitable not to justify market exclusivity. Additionally, marketing authorization may be granted to a similar product for the same indication at any time if the second applicant can establish that its product, although similar, is safer, more effective or otherwise clinically superior, the applicant consents to a second orphan medicinal product application, or applicant cannot supply enough orphan medicinal product.</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Coverage, Pricing and Reimbursement</w:t>
      </w:r>
    </w:p>
    <w:p>
      <w:pPr>
        <w:spacing w:after="0" w:line="162" w:lineRule="exact"/>
        <w:rPr>
          <w:sz w:val="20"/>
          <w:szCs w:val="20"/>
          <w:color w:val="auto"/>
        </w:rPr>
      </w:pPr>
    </w:p>
    <w:p>
      <w:pPr>
        <w:ind w:left="1260" w:right="459" w:firstLine="648"/>
        <w:spacing w:after="0" w:line="251" w:lineRule="auto"/>
        <w:rPr>
          <w:sz w:val="20"/>
          <w:szCs w:val="20"/>
          <w:color w:val="auto"/>
        </w:rPr>
      </w:pPr>
      <w:r>
        <w:rPr>
          <w:rFonts w:ascii="Arial" w:cs="Arial" w:eastAsia="Arial" w:hAnsi="Arial"/>
          <w:sz w:val="17"/>
          <w:szCs w:val="17"/>
          <w:color w:val="auto"/>
        </w:rPr>
        <w:t>Significant uncertainty exists as to the coverage and reimbursement status of any product candidates for which we may obtain regulatory approval. Even if our product candidates are approved for marketing, sales of such product candidates will depend, in part, on the extent to which third-party payors, including government health programs in the United States (such as Medicare and Medicaid), commercial health insurers, and managed care organizations, provide coverage and establish adequate reimbursement levels for such product candidates. In the United States, the Member States of the European Union and markets in other countries, patients who are prescribed treatments for their conditions and providers performing the prescribed services generally rely on third-party payors to reimburse all or part of the associated healthcare costs. Reimbursement rules and levels are not harmonized in the European Union and therefore differ from Member State to Member State. Patients are unlikely to use any product candidates we may develop unless coverage is provided and reimbursement is adequate to cover a significant portion of the cost of such product candidates.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 and examining the medical necessity and cost effectiveness of medical products and services and imposing controls to manage costs.</w:t>
      </w:r>
    </w:p>
    <w:p>
      <w:pPr>
        <w:spacing w:after="0" w:line="118" w:lineRule="exact"/>
        <w:rPr>
          <w:sz w:val="20"/>
          <w:szCs w:val="20"/>
          <w:color w:val="auto"/>
        </w:rPr>
      </w:pPr>
    </w:p>
    <w:p>
      <w:pPr>
        <w:ind w:left="1260" w:right="479" w:firstLine="648"/>
        <w:spacing w:after="0" w:line="267" w:lineRule="auto"/>
        <w:rPr>
          <w:sz w:val="20"/>
          <w:szCs w:val="20"/>
          <w:color w:val="auto"/>
        </w:rPr>
      </w:pPr>
      <w:r>
        <w:rPr>
          <w:rFonts w:ascii="Arial" w:cs="Arial" w:eastAsia="Arial" w:hAnsi="Arial"/>
          <w:sz w:val="17"/>
          <w:szCs w:val="17"/>
          <w:color w:val="auto"/>
        </w:rPr>
        <w:t>In order to secure coverage and reimbursement for any product that might be approved for sale, a company may need to conduct expensive pharmacoeconomic studies in order to demonstrate the medical necessity and cost-effectiveness of the product, and the cost of these studies would be in addition to the costs required to obtain FDA or other comparable marketing approvals. Even after pharmacogenomic studies are conducted, product candidates may not be considered medically necessary or cost effective. A decision by a third-party payor not to cover any product candidates we may develop could reduce physician utilization of such product candidates once approved and have a material adverse effect on our sales, results of operations and financial condition. Additionally, a payor’s decision to provide coverage for a product does not imply that an adequate reimbursement rate will be approved. For example, the payor may require co-payments that patients find unacceptably high. Further, one payor’s determination to provide coverage for a product does not assure that such coverage will continue or that other payors will also provide coverage and reimbursement for the product, and the level of coverage and reimbursement can differ significantly from payor to payor. Third-party reimbursement and coverage may not be adequate to enable us to maintain price levels sufficient to realize an appropriate return on our investment in product development. The insurance coverage and reimbursement status of newly approved products for orphan diseases is particularly uncertain, and failure to obtain or maintain adequate coverage and reimbursement for any such product candidates could limit a company’s ability to generate revenue.</w:t>
      </w:r>
    </w:p>
    <w:p>
      <w:pPr>
        <w:spacing w:after="0" w:line="110" w:lineRule="exact"/>
        <w:rPr>
          <w:sz w:val="20"/>
          <w:szCs w:val="20"/>
          <w:color w:val="auto"/>
        </w:rPr>
      </w:pPr>
    </w:p>
    <w:p>
      <w:pPr>
        <w:ind w:left="1260" w:right="639" w:firstLine="648"/>
        <w:spacing w:after="0" w:line="253" w:lineRule="auto"/>
        <w:rPr>
          <w:sz w:val="20"/>
          <w:szCs w:val="20"/>
          <w:color w:val="auto"/>
        </w:rPr>
      </w:pPr>
      <w:r>
        <w:rPr>
          <w:rFonts w:ascii="Arial" w:cs="Arial" w:eastAsia="Arial" w:hAnsi="Arial"/>
          <w:sz w:val="18"/>
          <w:szCs w:val="18"/>
          <w:color w:val="auto"/>
        </w:rPr>
        <w:t>The containment of healthcare costs also has become a priority of federal, state and foreign governments as well as other third-party payors such as statutory health insurance funds and the prices of pharmaceuticals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or coverage may be ended in the future.</w:t>
      </w:r>
    </w:p>
    <w:p>
      <w:pPr>
        <w:spacing w:after="0" w:line="124" w:lineRule="exact"/>
        <w:rPr>
          <w:sz w:val="20"/>
          <w:szCs w:val="20"/>
          <w:color w:val="auto"/>
        </w:rPr>
      </w:pPr>
    </w:p>
    <w:p>
      <w:pPr>
        <w:ind w:left="1260" w:right="579" w:firstLine="648"/>
        <w:spacing w:after="0" w:line="279" w:lineRule="auto"/>
        <w:rPr>
          <w:sz w:val="20"/>
          <w:szCs w:val="20"/>
          <w:color w:val="auto"/>
        </w:rPr>
      </w:pPr>
      <w:r>
        <w:rPr>
          <w:rFonts w:ascii="Arial" w:cs="Arial" w:eastAsia="Arial" w:hAnsi="Arial"/>
          <w:sz w:val="17"/>
          <w:szCs w:val="17"/>
          <w:color w:val="auto"/>
        </w:rPr>
        <w:t>Outside the United States, we will face challenges in ensuring obtaining adequate coverage and payment for any product candidates we may develop. Pricing of prescription pharmaceuticals is subject to governmental control in many countries. Pricing negotiations with governmental authorities or other third-party payors such as statutory health insurance funds can extend well beyond the receipt of regulatory</w:t>
      </w:r>
    </w:p>
    <w:p>
      <w:pPr>
        <w:sectPr>
          <w:pgSz w:w="11900" w:h="16838" w:orient="portrait"/>
          <w:cols w:equalWidth="0" w:num="1">
            <w:col w:w="9879"/>
          </w:cols>
          <w:pgMar w:left="580" w:top="132" w:right="1440" w:bottom="1440" w:gutter="0" w:footer="0" w:header="0"/>
        </w:sectPr>
      </w:pPr>
    </w:p>
    <w:p>
      <w:pPr>
        <w:spacing w:after="0" w:line="34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38" w:name="page239"/>
    <w:bookmarkEnd w:id="2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519"/>
        <w:spacing w:after="0" w:line="263" w:lineRule="auto"/>
        <w:rPr>
          <w:sz w:val="20"/>
          <w:szCs w:val="20"/>
          <w:color w:val="auto"/>
        </w:rPr>
      </w:pPr>
      <w:r>
        <w:rPr>
          <w:rFonts w:ascii="Arial" w:cs="Arial" w:eastAsia="Arial" w:hAnsi="Arial"/>
          <w:sz w:val="18"/>
          <w:szCs w:val="18"/>
          <w:color w:val="auto"/>
        </w:rPr>
        <w:t>marketing approval for a product and may require us to conduct a clinical trial that compares the cost effectiveness of any product candidates we may develop to other available therapies. The conduct of such a clinical trial could be expensive and result in delays in our commercialization efforts.</w:t>
      </w:r>
    </w:p>
    <w:p>
      <w:pPr>
        <w:spacing w:after="0" w:line="116" w:lineRule="exact"/>
        <w:rPr>
          <w:sz w:val="20"/>
          <w:szCs w:val="20"/>
          <w:color w:val="auto"/>
        </w:rPr>
      </w:pPr>
    </w:p>
    <w:p>
      <w:pPr>
        <w:ind w:left="1260" w:right="419" w:firstLine="648"/>
        <w:spacing w:after="0" w:line="266" w:lineRule="auto"/>
        <w:rPr>
          <w:sz w:val="20"/>
          <w:szCs w:val="20"/>
          <w:color w:val="auto"/>
        </w:rPr>
      </w:pPr>
      <w:r>
        <w:rPr>
          <w:rFonts w:ascii="Arial" w:cs="Arial" w:eastAsia="Arial" w:hAnsi="Arial"/>
          <w:sz w:val="17"/>
          <w:szCs w:val="17"/>
          <w:color w:val="auto"/>
        </w:rPr>
        <w:t>In the European Union, pricing and reimbursement schemes vary widely from country to country. Some countries provide that products may be marketed only after a reimbursement price has been agreed. Some countries may require the completion of additional studies that compare the cost effectiveness of a particular product candidate to currently available therapies (so-called health technology assessments) in order to obtain reimbursement or pricing approval. For example, the European Union provides options for its Member States to restrict the range of products for which their national health insurance systems provide reimbursement and to control the prices of medicinal products for human use. European Union Member States may approve a specific price for a product or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European Union Member States and parallel trade (arbitrage between low-priced and high-priced Member States) can further reduce prices. Special pricing and reimbursement rules may apply to orphan drugs. Inclusion of orphan drugs in reimbursement systems tend to focus on the medical usefulness, need, quality and economic benefits to patients and the healthcare system as for any product. Acceptance of any medicinal product for reimbursement may come with cost, use and often volume restrictions, which again can vary by country. In addition, results based rules of reimbursement may apply. There can be no assurance that any country that has price controls or reimbursement limitations for pharmaceutical products will allow favorable reimbursement and pricing arrangements for any of our products, if approved in those countries.</w:t>
      </w:r>
    </w:p>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Healthcare Laws and Regulations</w:t>
      </w:r>
    </w:p>
    <w:p>
      <w:pPr>
        <w:spacing w:after="0" w:line="158" w:lineRule="exact"/>
        <w:rPr>
          <w:sz w:val="20"/>
          <w:szCs w:val="20"/>
          <w:color w:val="auto"/>
        </w:rPr>
      </w:pPr>
    </w:p>
    <w:p>
      <w:pPr>
        <w:ind w:left="1260" w:right="819" w:firstLine="648"/>
        <w:spacing w:after="0" w:line="254"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pharmaceutical products that are granted marketing approval. Our current and future arrangements with providers, researchers, consultants, third-party payors and customers are subject to broadly applicable federal and state fraud and abuse, anti-kickback, false claims, physician payment transparency and other healthcare laws and regulations that may constrain our business and/or financial arrangements. Restrictions under applicable federal and state healthcare laws and regulations include, without limitation, the following:</w:t>
      </w:r>
    </w:p>
    <w:p>
      <w:pPr>
        <w:spacing w:after="0" w:line="87" w:lineRule="exact"/>
        <w:rPr>
          <w:sz w:val="20"/>
          <w:szCs w:val="20"/>
          <w:color w:val="auto"/>
        </w:rPr>
      </w:pPr>
    </w:p>
    <w:p>
      <w:pPr>
        <w:ind w:left="2260" w:right="459" w:hanging="352"/>
        <w:spacing w:after="0" w:line="272" w:lineRule="auto"/>
        <w:tabs>
          <w:tab w:leader="none" w:pos="22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U.S. federal Anti-Kickback Statute, which prohibits, among other things, persons and entities from knowingly and willfully soliciting, receiving, offering, or paying remuneration, directly or indirectly, in cash or in-kind, to induce or reward either the referral of an individual for, or the purchase, order or recommendation of, any good or service, for which payment may be made, in whole or in part, under a federal healthcare program such as Medicare and Medicaid. A person or entity does not need to have actual knowledge of the statute or a specific intent to violate it in order to have committed a violation;</w:t>
      </w:r>
    </w:p>
    <w:p>
      <w:pPr>
        <w:spacing w:after="0" w:line="69" w:lineRule="exact"/>
        <w:rPr>
          <w:rFonts w:ascii="Arial" w:cs="Arial" w:eastAsia="Arial" w:hAnsi="Arial"/>
          <w:sz w:val="17"/>
          <w:szCs w:val="17"/>
          <w:color w:val="auto"/>
        </w:rPr>
      </w:pPr>
    </w:p>
    <w:p>
      <w:pPr>
        <w:ind w:left="2260" w:right="519" w:hanging="352"/>
        <w:spacing w:after="0" w:line="271" w:lineRule="auto"/>
        <w:tabs>
          <w:tab w:leader="none" w:pos="22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be made or used a false record or statement to avoid, decrease, or conceal an obligation to pay money to the federal government. Moreover, the government may assert that a claim that includes items or services resulting from a violation of the federal Anti-Kickback Statute constitutes a false or fraudulent claim for purposes of the civil False Claims Act;</w:t>
      </w:r>
    </w:p>
    <w:p>
      <w:pPr>
        <w:sectPr>
          <w:pgSz w:w="11900" w:h="16838" w:orient="portrait"/>
          <w:cols w:equalWidth="0" w:num="1">
            <w:col w:w="9879"/>
          </w:cols>
          <w:pgMar w:left="580" w:top="132" w:right="1440" w:bottom="1440" w:gutter="0" w:footer="0" w:header="0"/>
        </w:sectPr>
      </w:pPr>
    </w:p>
    <w:p>
      <w:pPr>
        <w:spacing w:after="0" w:line="35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39" w:name="page240"/>
    <w:bookmarkEnd w:id="2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60" w:right="479" w:hanging="352"/>
        <w:spacing w:after="0" w:line="255" w:lineRule="auto"/>
        <w:tabs>
          <w:tab w:leader="none" w:pos="22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laws that prohibit, among other things, knowingly and willfully executing, or attempting to execute, a scheme to defraud any healthcare benefit program or making false statements relating to healthcare matters. Similar to the federal Anti-Kickback Statute, a person or entity does not need to have actual knowledge of the statute or a specific intent to violate it in order to have committed a violation;</w:t>
      </w:r>
    </w:p>
    <w:p>
      <w:pPr>
        <w:spacing w:after="0" w:line="70" w:lineRule="exact"/>
        <w:rPr>
          <w:rFonts w:ascii="Arial" w:cs="Arial" w:eastAsia="Arial" w:hAnsi="Arial"/>
          <w:sz w:val="18"/>
          <w:szCs w:val="18"/>
          <w:color w:val="auto"/>
        </w:rPr>
      </w:pPr>
    </w:p>
    <w:p>
      <w:pPr>
        <w:ind w:left="2260" w:right="499" w:hanging="352"/>
        <w:spacing w:after="0" w:line="254" w:lineRule="auto"/>
        <w:tabs>
          <w:tab w:leader="none" w:pos="22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federal transparency requirements known as the federal Physician Payments Sunshine Act, under the Affordable Care Act, which requires certain manufacturers of drugs, devices, biologics and medical supplies to report annually to the CMS, within the HHS, information related to payments and other transfers of value made by that entity to physicians (as defined by statute), certain other healthcare providers beginning in 2022, and teaching hospitals, as well as ownership and investment interests held by physicians and their immediate family members;</w:t>
      </w:r>
    </w:p>
    <w:p>
      <w:pPr>
        <w:spacing w:after="0" w:line="59" w:lineRule="exact"/>
        <w:rPr>
          <w:rFonts w:ascii="Arial" w:cs="Arial" w:eastAsia="Arial" w:hAnsi="Arial"/>
          <w:sz w:val="18"/>
          <w:szCs w:val="18"/>
          <w:color w:val="auto"/>
        </w:rPr>
      </w:pPr>
    </w:p>
    <w:p>
      <w:pPr>
        <w:ind w:left="2260" w:right="539" w:hanging="352"/>
        <w:spacing w:after="0" w:line="277" w:lineRule="auto"/>
        <w:tabs>
          <w:tab w:leader="none" w:pos="22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48" w:lineRule="exact"/>
        <w:rPr>
          <w:rFonts w:ascii="Arial" w:cs="Arial" w:eastAsia="Arial" w:hAnsi="Arial"/>
          <w:sz w:val="18"/>
          <w:szCs w:val="18"/>
          <w:color w:val="auto"/>
        </w:rPr>
      </w:pPr>
    </w:p>
    <w:p>
      <w:pPr>
        <w:ind w:left="2260" w:right="799" w:hanging="352"/>
        <w:spacing w:after="0" w:line="263" w:lineRule="auto"/>
        <w:tabs>
          <w:tab w:leader="none" w:pos="22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to government programs and which may be used in the calculation of reimbursement and/or discounts on marketed products;</w:t>
      </w:r>
    </w:p>
    <w:p>
      <w:pPr>
        <w:spacing w:after="0" w:line="48" w:lineRule="exact"/>
        <w:rPr>
          <w:rFonts w:ascii="Arial" w:cs="Arial" w:eastAsia="Arial" w:hAnsi="Arial"/>
          <w:sz w:val="18"/>
          <w:szCs w:val="18"/>
          <w:color w:val="auto"/>
        </w:rPr>
      </w:pPr>
    </w:p>
    <w:p>
      <w:pPr>
        <w:ind w:left="2260" w:right="659" w:hanging="352"/>
        <w:spacing w:after="0" w:line="263" w:lineRule="auto"/>
        <w:tabs>
          <w:tab w:leader="none" w:pos="22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Foreign Corrupt Practices Act, a U.S. law which regulates certain financial relationships with foreign government officials (which could include, for example, certain medical professionals); and</w:t>
      </w:r>
    </w:p>
    <w:p>
      <w:pPr>
        <w:spacing w:after="0" w:line="48" w:lineRule="exact"/>
        <w:rPr>
          <w:rFonts w:ascii="Arial" w:cs="Arial" w:eastAsia="Arial" w:hAnsi="Arial"/>
          <w:sz w:val="18"/>
          <w:szCs w:val="18"/>
          <w:color w:val="auto"/>
        </w:rPr>
      </w:pPr>
    </w:p>
    <w:p>
      <w:pPr>
        <w:ind w:left="2260" w:right="479" w:hanging="352"/>
        <w:spacing w:after="0" w:line="254" w:lineRule="auto"/>
        <w:tabs>
          <w:tab w:leader="none" w:pos="22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healthcare items or services that are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pharmaceutical manufacturers to report information related to payments to physicians and other health care providers or marketing expenditures and pricing information.</w:t>
      </w:r>
    </w:p>
    <w:p>
      <w:pPr>
        <w:spacing w:after="0" w:line="124" w:lineRule="exact"/>
        <w:rPr>
          <w:sz w:val="20"/>
          <w:szCs w:val="20"/>
          <w:color w:val="auto"/>
        </w:rPr>
      </w:pPr>
    </w:p>
    <w:p>
      <w:pPr>
        <w:ind w:left="1260" w:right="599" w:firstLine="648"/>
        <w:spacing w:after="0" w:line="238" w:lineRule="auto"/>
        <w:rPr>
          <w:sz w:val="20"/>
          <w:szCs w:val="20"/>
          <w:color w:val="auto"/>
        </w:rPr>
      </w:pPr>
      <w:r>
        <w:rPr>
          <w:rFonts w:ascii="Arial" w:cs="Arial" w:eastAsia="Arial" w:hAnsi="Arial"/>
          <w:sz w:val="18"/>
          <w:szCs w:val="18"/>
          <w:color w:val="auto"/>
        </w:rPr>
        <w:t>Violations of these laws can subject us to criminal, civil and administrative sanctions including monetary penalties, damages, fines, disgorgement, individual imprisonment and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we may be required to curtail or restructure our operations. Moreover, we expect that there will continue to be federal and state laws and regulations, proposed and implemented, that could impact our future operations and business.</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Data Privacy and Security Laws</w:t>
      </w:r>
    </w:p>
    <w:p>
      <w:pPr>
        <w:spacing w:after="0" w:line="162" w:lineRule="exact"/>
        <w:rPr>
          <w:sz w:val="20"/>
          <w:szCs w:val="20"/>
          <w:color w:val="auto"/>
        </w:rPr>
      </w:pPr>
    </w:p>
    <w:p>
      <w:pPr>
        <w:ind w:left="1260" w:right="419" w:firstLine="648"/>
        <w:spacing w:after="0" w:line="251" w:lineRule="auto"/>
        <w:rPr>
          <w:sz w:val="20"/>
          <w:szCs w:val="20"/>
          <w:color w:val="auto"/>
        </w:rPr>
      </w:pPr>
      <w:r>
        <w:rPr>
          <w:rFonts w:ascii="Arial" w:cs="Arial" w:eastAsia="Arial" w:hAnsi="Arial"/>
          <w:sz w:val="17"/>
          <w:szCs w:val="17"/>
          <w:color w:val="auto"/>
        </w:rPr>
        <w:t>We may be subject to, or our marketing activities may be limited by HIPAA and its implementing regulations, which established uniform standards for certain covered entities (healthcare providers, health plans and healthcare clearinghouses) governing the conduct of certain electronic healthcare transactions and protecting the security and privacy of protected health information, including, among other requirements, mandatory contractual terms and technical safeguards to protect the privacy, security and transmission of protected health information and notification to affected individuals and regulatory authorities in the event of certain breaches of security of protected health information. The American Recovery and Reinvestment Act of 2009, commonly referred to as the economic stimulus package, included sweeping expansion of HIPAA’s privacy and security standards called the Health Information Technology for Economic and Clinical Health Act, or HITECH, which became effective on February 17, 2010. Among other things, the HITECH makes HIPAA’s privacy and security standards directly applicable to business associates, or independent contractors or agents of covered entities, that receive or obtain protected health information in connection with providing a service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40" w:name="page241"/>
    <w:bookmarkEnd w:id="2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99" w:firstLine="648"/>
        <w:spacing w:after="0" w:line="254" w:lineRule="auto"/>
        <w:rPr>
          <w:sz w:val="20"/>
          <w:szCs w:val="20"/>
          <w:color w:val="auto"/>
        </w:rPr>
      </w:pPr>
      <w:r>
        <w:rPr>
          <w:rFonts w:ascii="Arial" w:cs="Arial" w:eastAsia="Arial" w:hAnsi="Arial"/>
          <w:sz w:val="17"/>
          <w:szCs w:val="17"/>
          <w:color w:val="auto"/>
        </w:rPr>
        <w:t>Even when HIPAA does not apply, failing to take appropriate steps to keep consumers’ personal information secure can constitute unfair acts or practices in or affecting commerce and be construed as a violation of Section 5(a) of the Federal Trade Commission Act, or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and the FTC’s guidance for appropriately securing consumers’ personal information is similar to what is required by the HIPAA Security Rule.</w:t>
      </w:r>
    </w:p>
    <w:p>
      <w:pPr>
        <w:spacing w:after="0" w:line="113" w:lineRule="exact"/>
        <w:rPr>
          <w:sz w:val="20"/>
          <w:szCs w:val="20"/>
          <w:color w:val="auto"/>
        </w:rPr>
      </w:pPr>
    </w:p>
    <w:p>
      <w:pPr>
        <w:ind w:left="1260" w:right="419" w:firstLine="648"/>
        <w:spacing w:after="0" w:line="237" w:lineRule="auto"/>
        <w:rPr>
          <w:sz w:val="20"/>
          <w:szCs w:val="20"/>
          <w:color w:val="auto"/>
        </w:rPr>
      </w:pPr>
      <w:r>
        <w:rPr>
          <w:rFonts w:ascii="Arial" w:cs="Arial" w:eastAsia="Arial" w:hAnsi="Arial"/>
          <w:sz w:val="18"/>
          <w:szCs w:val="18"/>
          <w:color w:val="auto"/>
        </w:rPr>
        <w:t>State laws may be more stringent, broader in scope or offer greater individual rights with respect to protected health information, or PHI, than HIPAA, and state laws may differ from each other, which may complicate compliance efforts. By way of example, the California Consumer Privacy Act, or CCPA, effective January 1, 2020,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Additionally, California voters approved a new privacy law, the California Privacy Rights Act, or CPRA, in the November 3, 2020 election. Effective starting on January 1, 2023, the CPRA will significantly modify the CCPA, including by expanding consumers’ rights with respect to certain sensitive personal information. The CPRA also creates a new state agency that will be vested with authority to implement and enforce the CCPA and the CPRA. In addition, other states may choose to adopt more stringent privacy legislation, which could increase our potential liability and compliance costs and adversely affect our business.</w:t>
      </w:r>
    </w:p>
    <w:p>
      <w:pPr>
        <w:spacing w:after="0" w:line="122" w:lineRule="exact"/>
        <w:rPr>
          <w:sz w:val="20"/>
          <w:szCs w:val="20"/>
          <w:color w:val="auto"/>
        </w:rPr>
      </w:pPr>
    </w:p>
    <w:p>
      <w:pPr>
        <w:ind w:left="1260" w:right="419" w:firstLine="648"/>
        <w:spacing w:after="0" w:line="249" w:lineRule="auto"/>
        <w:rPr>
          <w:sz w:val="20"/>
          <w:szCs w:val="20"/>
          <w:color w:val="auto"/>
        </w:rPr>
      </w:pPr>
      <w:r>
        <w:rPr>
          <w:rFonts w:ascii="Arial" w:cs="Arial" w:eastAsia="Arial" w:hAnsi="Arial"/>
          <w:sz w:val="17"/>
          <w:szCs w:val="17"/>
          <w:color w:val="auto"/>
        </w:rPr>
        <w:t>In the European Union, we may be subject to strict data protection regulations, in particular with regard to health data of individuals pursuant to Art. 4 Nr. 15 of the GDPR, effective since May 25, 2018. The GDPR, together with national legislation, regulations and guidelines of the European Union Member States and the United Kingdom governing the processing of personal data, impose strict obligations with respect to, and restrictions on, the collection, use, retention, protection, disclosure, transfer and processing of personal data. In particular, the GDPR includes obligations and restrictions concerning the consent and rights of data subjects, the transfer of personal data to countries outside the European Union, security breach notifications, and other requirements concerning the security and confidentiality of personal data. For example, in 2016, the European Union and United States agreed to a transfer framework for data transferred from the European Union to the United States, called the Privacy Shield, but the Privacy Shield was invalidated in July 2020 by the Court of Justice of the European Union. The standard contractual clauses issued by the European Commission for the transfer of personal data may be similarly invalidated by the Court of Justice of the European Union. It remains to be seen whether these standard contractual clauses will remain available and whether additional means for lawful data transfers will become available.The GDPR imposes special requirements concerning the protection of special categories of personal data which include health and genetic information of data subjects. These special categories of data may only be processed under certain circumstances, including if the data subject consented to such processing or if</w:t>
      </w:r>
    </w:p>
    <w:p>
      <w:pPr>
        <w:spacing w:after="0" w:line="11" w:lineRule="exact"/>
        <w:rPr>
          <w:sz w:val="20"/>
          <w:szCs w:val="20"/>
          <w:color w:val="auto"/>
        </w:rPr>
      </w:pPr>
    </w:p>
    <w:p>
      <w:pPr>
        <w:ind w:left="1260" w:right="519"/>
        <w:spacing w:after="0" w:line="237" w:lineRule="auto"/>
        <w:tabs>
          <w:tab w:leader="none" w:pos="148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processing is necessary in order to protect vital interests of the data subject or of another natural person, insofar as the data subject is unable to provide consent for physical or legal reasons; (ii) the data concerned have manifestly been made public by the data subject; (iii) processing is necessary in order to assert, exercise or defend legal claims; or (iv) processing is necessary for the purposes of scientific research and any additional requirements under applicable data protection laws, including national legislation, regulations and guidelines, are met.</w:t>
      </w:r>
    </w:p>
    <w:p>
      <w:pPr>
        <w:spacing w:after="0" w:line="108" w:lineRule="exact"/>
        <w:rPr>
          <w:sz w:val="20"/>
          <w:szCs w:val="20"/>
          <w:color w:val="auto"/>
        </w:rPr>
      </w:pPr>
    </w:p>
    <w:p>
      <w:pPr>
        <w:ind w:left="1260" w:right="479" w:firstLine="648"/>
        <w:spacing w:after="0" w:line="238" w:lineRule="auto"/>
        <w:rPr>
          <w:sz w:val="20"/>
          <w:szCs w:val="20"/>
          <w:color w:val="auto"/>
        </w:rPr>
      </w:pPr>
      <w:r>
        <w:rPr>
          <w:rFonts w:ascii="Arial" w:cs="Arial" w:eastAsia="Arial" w:hAnsi="Arial"/>
          <w:sz w:val="18"/>
          <w:szCs w:val="18"/>
          <w:color w:val="auto"/>
        </w:rPr>
        <w:t>Therefore, we may be subject to and our marketing activities may be limited by the regulations regarding the data protection of individuals according to the GDPR, the German Federal Data Protection Act and other applicable data protection laws. These regulations could also restrict the transfer of data from European Union member states to the United States. The general transfer of personal data outside of the European Union is prohibited unless the conditions laid out in Art. 44 et. seq. of the GDPR are fulfilled and an adequate level of data protection can be ensured. Currently the United States is not considered to be a country with an adequate level of data protection and further contractual arrangements must be adopted to permit the international transfer of personal data to the United States European data protection authorities may interpret the GDPR and national laws differently and impose additional requirements, which contributes</w:t>
      </w:r>
    </w:p>
    <w:p>
      <w:pPr>
        <w:spacing w:after="0" w:line="37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41" w:name="page242"/>
    <w:bookmarkEnd w:id="2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19"/>
        <w:spacing w:after="0" w:line="250" w:lineRule="auto"/>
        <w:rPr>
          <w:sz w:val="20"/>
          <w:szCs w:val="20"/>
          <w:color w:val="auto"/>
        </w:rPr>
      </w:pPr>
      <w:r>
        <w:rPr>
          <w:rFonts w:ascii="Arial" w:cs="Arial" w:eastAsia="Arial" w:hAnsi="Arial"/>
          <w:sz w:val="17"/>
          <w:szCs w:val="17"/>
          <w:color w:val="auto"/>
        </w:rPr>
        <w:t>to the complexity of processing personal data in or from the European Union. Guidance on implementation and compliance practices is regularly updated or otherwise revised. The GDPR has increased our responsibility and liability in relation to personal data that we process and we may be required to put in place additional mechanisms ensuring compliance with the relevant data protection regimes. Separately, Brexit could also lead to further legislative and regulatory changes and increase our compliance costs. As of January 1, 2021, and the expiry of transitional arrangements agreed to between the United Kingdom and the European Union, data processing in the United Kingdom is governed by a United Kingdom version of the GDPR (combining the GDPR and the Data Protection Act 2018), exposing us to two parallel regimes, each of which potentially authorizes similar fines and other potentially divergent enforcement actions for certain violations. Pursuant to the Trade and Cooperation Agreement, which went into effect on January 1, 2021, the United Kingdom and the European Union agreed to a specified period during which the United Kingdom will be treated like a European Union member state in relation to transfers of personal data to the United Kingdom for four months from January 1, 2021. This period may be extended by two further months. Unless the European Commission makes an adequacy finding in respect of the United Kingdom before the expiration of such specified period, the United Kingdom will become an inadequate third country under the GDPR and transfers of data from the European Economic Area to the United Kingdom will require a transfer mechanism, such as the standard contractual clauses. Furthermore, following the expiration of the specified period, there will be increasing scope for divergence in application, interpretation and enforcement of the data protection law as between the United Kingdom and the European Union. For more information regarding the risks related to data security and privacy, see “Risk Factors — Risks Related to Our Business and Industry.”</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Employees</w:t>
      </w:r>
    </w:p>
    <w:p>
      <w:pPr>
        <w:spacing w:after="0" w:line="162" w:lineRule="exact"/>
        <w:rPr>
          <w:sz w:val="20"/>
          <w:szCs w:val="20"/>
          <w:color w:val="auto"/>
        </w:rPr>
      </w:pPr>
    </w:p>
    <w:p>
      <w:pPr>
        <w:ind w:left="1260" w:right="439" w:firstLine="648"/>
        <w:spacing w:after="0" w:line="254" w:lineRule="auto"/>
        <w:rPr>
          <w:sz w:val="20"/>
          <w:szCs w:val="20"/>
          <w:color w:val="auto"/>
        </w:rPr>
      </w:pPr>
      <w:r>
        <w:rPr>
          <w:rFonts w:ascii="Arial" w:cs="Arial" w:eastAsia="Arial" w:hAnsi="Arial"/>
          <w:sz w:val="17"/>
          <w:szCs w:val="17"/>
          <w:color w:val="auto"/>
        </w:rPr>
        <w:t>As of December 31, 2020, we had 554 total employees worldwide, 455 of whom were full-time, 168 of whom hold Ph.D. or M.D. degrees, 200 of whom were engaged directly or indirectly in production, 234 of whom were engaged in research and development activities, 41 of whom were engaged in clinical and regulatory activities, nine of whom were engaged in marketing and sales activities, and 70 of whom were engaged in management, business development or marketing, finance, human resources or administrative support. Of our 554 total employees, 539 work in Germany and 15 work in the United States. We consider our relationship with our employees to be good. We are not subject to collective bargaining agreements or similar labor contracts and do not have a workers’ council.</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Facilities</w:t>
      </w:r>
    </w:p>
    <w:p>
      <w:pPr>
        <w:spacing w:after="0" w:line="162" w:lineRule="exact"/>
        <w:rPr>
          <w:sz w:val="20"/>
          <w:szCs w:val="20"/>
          <w:color w:val="auto"/>
        </w:rPr>
      </w:pPr>
    </w:p>
    <w:p>
      <w:pPr>
        <w:ind w:left="1260" w:right="499" w:firstLine="648"/>
        <w:spacing w:after="0" w:line="273" w:lineRule="auto"/>
        <w:rPr>
          <w:sz w:val="20"/>
          <w:szCs w:val="20"/>
          <w:color w:val="auto"/>
        </w:rPr>
      </w:pPr>
      <w:r>
        <w:rPr>
          <w:rFonts w:ascii="Arial" w:cs="Arial" w:eastAsia="Arial" w:hAnsi="Arial"/>
          <w:sz w:val="17"/>
          <w:szCs w:val="17"/>
          <w:color w:val="auto"/>
        </w:rPr>
        <w:t>Our headquarters are in Tübingen, Germany, Friedrich-Miescher-Strasse 15, where we occupy approximately 123,000 square feet of office and laboratory space under a sub-lease agreement entered into with CureVac Real Estate GmbH that started on June 6, 2018. The fixed-term 15-year lease payment period began on March 1, 2020. We also occupy approximately 53,000 square feet of additional office and laboratory space in Tübingen, Germany, Paul-Ehrlich-Strasse 15, under sub-lease agreements also entered into with CureVac Real Estate GmbH, that started on February 1, 2018.</w:t>
      </w:r>
    </w:p>
    <w:p>
      <w:pPr>
        <w:spacing w:after="0" w:line="97" w:lineRule="exact"/>
        <w:rPr>
          <w:sz w:val="20"/>
          <w:szCs w:val="20"/>
          <w:color w:val="auto"/>
        </w:rPr>
      </w:pPr>
    </w:p>
    <w:p>
      <w:pPr>
        <w:ind w:left="1260" w:right="459" w:firstLine="648"/>
        <w:spacing w:after="0" w:line="269" w:lineRule="auto"/>
        <w:rPr>
          <w:sz w:val="20"/>
          <w:szCs w:val="20"/>
          <w:color w:val="auto"/>
        </w:rPr>
      </w:pPr>
      <w:r>
        <w:rPr>
          <w:rFonts w:ascii="Arial" w:cs="Arial" w:eastAsia="Arial" w:hAnsi="Arial"/>
          <w:sz w:val="17"/>
          <w:szCs w:val="17"/>
          <w:color w:val="auto"/>
        </w:rPr>
        <w:t>Since 2006, we have operated a manufacturing facility in Tübingen, Germany, the first worldwide GMP-compliant RNA production plant with two multi-product suites. This facility contains approximately 16,145 square feet of laboratory space, including 2,800 square feet of GMP facilities and is dedicated to provide supplies for early clinical development (Phases 1 and 2 of clinical trials). In addition, we have established a third in-house production suit (GMP III) with an up-scaled manufacturing process, which was certified in December 2019. We currently occupy 2,800 square feet of GMP III facility for the production of mRNA. Our GMP III facility is intended to provide supplies for our late-stage clinical studies and anticipated early market supply. These manufacturing facilities are located in Tübingen, Germany, Paul-Ehrlich-Strasse 15 and are leased via the above mentioned sub-lease agreements entered into with CureVac Real Estate GmbH. We are also building an integrated European network with highly experienced Contract Development and Manufacturing Organization partners for each of the key manufacturing steps for CVnCoV, and thereby, expanding our manufacturing capacity through technology transfers.</w:t>
      </w:r>
    </w:p>
    <w:p>
      <w:pPr>
        <w:spacing w:after="0" w:line="111" w:lineRule="exact"/>
        <w:rPr>
          <w:sz w:val="20"/>
          <w:szCs w:val="20"/>
          <w:color w:val="auto"/>
        </w:rPr>
      </w:pPr>
    </w:p>
    <w:p>
      <w:pPr>
        <w:ind w:left="1260" w:right="799" w:firstLine="648"/>
        <w:spacing w:after="0" w:line="308" w:lineRule="auto"/>
        <w:rPr>
          <w:sz w:val="20"/>
          <w:szCs w:val="20"/>
          <w:color w:val="auto"/>
        </w:rPr>
      </w:pPr>
      <w:r>
        <w:rPr>
          <w:rFonts w:ascii="Arial" w:cs="Arial" w:eastAsia="Arial" w:hAnsi="Arial"/>
          <w:sz w:val="17"/>
          <w:szCs w:val="17"/>
          <w:color w:val="auto"/>
        </w:rPr>
        <w:t>We are also constructing a new manufacturing facility, designed for the development of a GMP production process on a large industrial scale, from starting material to formulation, for future market</w:t>
      </w: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42" w:name="page243"/>
    <w:bookmarkEnd w:id="2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39"/>
        <w:spacing w:after="0" w:line="255" w:lineRule="auto"/>
        <w:rPr>
          <w:sz w:val="20"/>
          <w:szCs w:val="20"/>
          <w:color w:val="auto"/>
        </w:rPr>
      </w:pPr>
      <w:r>
        <w:rPr>
          <w:rFonts w:ascii="Arial" w:cs="Arial" w:eastAsia="Arial" w:hAnsi="Arial"/>
          <w:sz w:val="18"/>
          <w:szCs w:val="18"/>
          <w:color w:val="auto"/>
        </w:rPr>
        <w:t>supply (GMP IV). This GMP IV facility, which is intended to produce IMPs that serve our future late stage clinical trials and market supply, is expected to be approximately 86,000 square feet. Currently, we have completed the shell of the GMP IV facility and expect to open it in July 2022. In addition, we lease land and buildings for our offices. We lease an aggregate of approximately 210,000 square feet, in Germany and the United States. The following table summarizes information with respect to the principal facilities leased by us:</w:t>
      </w:r>
    </w:p>
    <w:p>
      <w:pPr>
        <w:spacing w:after="0" w:line="15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6"/>
              </w:rPr>
              <w:t>Area</w:t>
            </w:r>
          </w:p>
        </w:tc>
      </w:tr>
      <w:tr>
        <w:trPr>
          <w:trHeight w:val="186"/>
        </w:trPr>
        <w:tc>
          <w:tcPr>
            <w:tcW w:w="6580" w:type="dxa"/>
            <w:vAlign w:val="bottom"/>
          </w:tcPr>
          <w:p>
            <w:pPr>
              <w:spacing w:after="0"/>
              <w:rPr>
                <w:sz w:val="20"/>
                <w:szCs w:val="20"/>
                <w:color w:val="auto"/>
              </w:rPr>
            </w:pPr>
            <w:r>
              <w:rPr>
                <w:rFonts w:ascii="Arial" w:cs="Arial" w:eastAsia="Arial" w:hAnsi="Arial"/>
                <w:sz w:val="14"/>
                <w:szCs w:val="14"/>
                <w:b w:val="1"/>
                <w:bCs w:val="1"/>
                <w:color w:val="auto"/>
              </w:rPr>
              <w:t>Location</w:t>
            </w:r>
          </w:p>
        </w:tc>
        <w:tc>
          <w:tcPr>
            <w:tcW w:w="220" w:type="dxa"/>
            <w:vAlign w:val="bottom"/>
          </w:tcPr>
          <w:p>
            <w:pPr>
              <w:spacing w:after="0"/>
              <w:rPr>
                <w:sz w:val="16"/>
                <w:szCs w:val="16"/>
                <w:color w:val="auto"/>
              </w:rPr>
            </w:pPr>
          </w:p>
        </w:tc>
        <w:tc>
          <w:tcPr>
            <w:tcW w:w="14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(Approximate Sq. Feet)</w:t>
            </w:r>
          </w:p>
        </w:tc>
      </w:tr>
      <w:tr>
        <w:trPr>
          <w:trHeight w:val="26"/>
        </w:trPr>
        <w:tc>
          <w:tcPr>
            <w:tcW w:w="6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5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r>
      <w:tr>
        <w:trPr>
          <w:trHeight w:val="257"/>
        </w:trPr>
        <w:tc>
          <w:tcPr>
            <w:tcW w:w="6580" w:type="dxa"/>
            <w:vAlign w:val="bottom"/>
          </w:tcPr>
          <w:p>
            <w:pPr>
              <w:ind w:left="180"/>
              <w:spacing w:after="0"/>
              <w:rPr>
                <w:sz w:val="20"/>
                <w:szCs w:val="20"/>
                <w:color w:val="auto"/>
              </w:rPr>
            </w:pPr>
            <w:r>
              <w:rPr>
                <w:rFonts w:ascii="Arial" w:cs="Arial" w:eastAsia="Arial" w:hAnsi="Arial"/>
                <w:sz w:val="18"/>
                <w:szCs w:val="18"/>
                <w:color w:val="auto"/>
              </w:rPr>
              <w:t>Tübingen</w:t>
            </w:r>
          </w:p>
        </w:tc>
        <w:tc>
          <w:tcPr>
            <w:tcW w:w="1240" w:type="dxa"/>
            <w:vAlign w:val="bottom"/>
            <w:gridSpan w:val="4"/>
          </w:tcPr>
          <w:p>
            <w:pPr>
              <w:jc w:val="right"/>
              <w:ind w:right="20"/>
              <w:spacing w:after="0"/>
              <w:rPr>
                <w:sz w:val="20"/>
                <w:szCs w:val="20"/>
                <w:color w:val="auto"/>
              </w:rPr>
            </w:pPr>
            <w:r>
              <w:rPr>
                <w:rFonts w:ascii="Arial" w:cs="Arial" w:eastAsia="Arial" w:hAnsi="Arial"/>
                <w:sz w:val="18"/>
                <w:szCs w:val="18"/>
                <w:color w:val="auto"/>
              </w:rPr>
              <w:t>189,000</w:t>
            </w:r>
          </w:p>
        </w:tc>
        <w:tc>
          <w:tcPr>
            <w:tcW w:w="380" w:type="dxa"/>
            <w:vAlign w:val="bottom"/>
          </w:tcPr>
          <w:p>
            <w:pPr>
              <w:spacing w:after="0"/>
              <w:rPr>
                <w:sz w:val="22"/>
                <w:szCs w:val="22"/>
                <w:color w:val="auto"/>
              </w:rPr>
            </w:pPr>
          </w:p>
        </w:tc>
      </w:tr>
      <w:tr>
        <w:trPr>
          <w:trHeight w:val="263"/>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Frankfurt am Main</w:t>
            </w:r>
          </w:p>
        </w:tc>
        <w:tc>
          <w:tcPr>
            <w:tcW w:w="620" w:type="dxa"/>
            <w:vAlign w:val="bottom"/>
            <w:tcBorders>
              <w:bottom w:val="single" w:sz="8" w:color="CCEEFF"/>
            </w:tcBorders>
            <w:gridSpan w:val="2"/>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r>
      <w:tr>
        <w:trPr>
          <w:trHeight w:val="263"/>
        </w:trPr>
        <w:tc>
          <w:tcPr>
            <w:tcW w:w="6580" w:type="dxa"/>
            <w:vAlign w:val="bottom"/>
          </w:tcPr>
          <w:p>
            <w:pPr>
              <w:ind w:left="180"/>
              <w:spacing w:after="0"/>
              <w:rPr>
                <w:sz w:val="20"/>
                <w:szCs w:val="20"/>
                <w:color w:val="auto"/>
              </w:rPr>
            </w:pPr>
            <w:r>
              <w:rPr>
                <w:rFonts w:ascii="Arial" w:cs="Arial" w:eastAsia="Arial" w:hAnsi="Arial"/>
                <w:sz w:val="18"/>
                <w:szCs w:val="18"/>
                <w:color w:val="auto"/>
              </w:rPr>
              <w:t>Total</w:t>
            </w:r>
          </w:p>
        </w:tc>
        <w:tc>
          <w:tcPr>
            <w:tcW w:w="1240" w:type="dxa"/>
            <w:vAlign w:val="bottom"/>
            <w:gridSpan w:val="4"/>
          </w:tcPr>
          <w:p>
            <w:pPr>
              <w:jc w:val="right"/>
              <w:ind w:right="20"/>
              <w:spacing w:after="0"/>
              <w:rPr>
                <w:sz w:val="20"/>
                <w:szCs w:val="20"/>
                <w:color w:val="auto"/>
              </w:rPr>
            </w:pPr>
            <w:r>
              <w:rPr>
                <w:rFonts w:ascii="Arial" w:cs="Arial" w:eastAsia="Arial" w:hAnsi="Arial"/>
                <w:sz w:val="18"/>
                <w:szCs w:val="18"/>
                <w:color w:val="auto"/>
              </w:rPr>
              <w:t>197,600</w:t>
            </w:r>
          </w:p>
        </w:tc>
        <w:tc>
          <w:tcPr>
            <w:tcW w:w="380" w:type="dxa"/>
            <w:vAlign w:val="bottom"/>
          </w:tcPr>
          <w:p>
            <w:pPr>
              <w:spacing w:after="0"/>
              <w:rPr>
                <w:sz w:val="22"/>
                <w:szCs w:val="22"/>
                <w:color w:val="auto"/>
              </w:rPr>
            </w:pPr>
          </w:p>
        </w:tc>
      </w:tr>
      <w:tr>
        <w:trPr>
          <w:trHeight w:val="257"/>
        </w:trPr>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2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CCEEFF"/>
            </w:tcBorders>
            <w:shd w:val="clear" w:color="auto" w:fill="CCEEFF"/>
          </w:tcPr>
          <w:p>
            <w:pPr>
              <w:spacing w:after="0"/>
              <w:rPr>
                <w:sz w:val="22"/>
                <w:szCs w:val="22"/>
                <w:color w:val="auto"/>
              </w:rPr>
            </w:pPr>
          </w:p>
        </w:tc>
      </w:tr>
      <w:tr>
        <w:trPr>
          <w:trHeight w:val="263"/>
        </w:trPr>
        <w:tc>
          <w:tcPr>
            <w:tcW w:w="6580" w:type="dxa"/>
            <w:vAlign w:val="bottom"/>
          </w:tcPr>
          <w:p>
            <w:pPr>
              <w:ind w:left="180"/>
              <w:spacing w:after="0"/>
              <w:rPr>
                <w:sz w:val="20"/>
                <w:szCs w:val="20"/>
                <w:color w:val="auto"/>
              </w:rPr>
            </w:pPr>
            <w:r>
              <w:rPr>
                <w:rFonts w:ascii="Arial" w:cs="Arial" w:eastAsia="Arial" w:hAnsi="Arial"/>
                <w:sz w:val="18"/>
                <w:szCs w:val="18"/>
                <w:color w:val="auto"/>
              </w:rPr>
              <w:t>Boston</w:t>
            </w:r>
          </w:p>
        </w:tc>
        <w:tc>
          <w:tcPr>
            <w:tcW w:w="620" w:type="dxa"/>
            <w:vAlign w:val="bottom"/>
            <w:gridSpan w:val="2"/>
          </w:tcPr>
          <w:p>
            <w:pPr>
              <w:spacing w:after="0"/>
              <w:rPr>
                <w:sz w:val="22"/>
                <w:szCs w:val="22"/>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12,900</w:t>
            </w:r>
          </w:p>
        </w:tc>
      </w:tr>
      <w:tr>
        <w:trPr>
          <w:trHeight w:val="20"/>
        </w:trPr>
        <w:tc>
          <w:tcPr>
            <w:tcW w:w="65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gridSpan w:val="2"/>
            <w:shd w:val="clear" w:color="auto" w:fill="CCEEFF"/>
          </w:tcPr>
          <w:p>
            <w:pPr>
              <w:spacing w:after="0" w:line="20" w:lineRule="exact"/>
              <w:rPr>
                <w:sz w:val="1"/>
                <w:szCs w:val="1"/>
                <w:color w:val="auto"/>
              </w:rPr>
            </w:pPr>
          </w:p>
        </w:tc>
      </w:tr>
      <w:tr>
        <w:trPr>
          <w:trHeight w:val="263"/>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620" w:type="dxa"/>
            <w:vAlign w:val="bottom"/>
            <w:gridSpan w:val="2"/>
            <w:shd w:val="clear" w:color="auto" w:fill="CCEEFF"/>
          </w:tcPr>
          <w:p>
            <w:pPr>
              <w:spacing w:after="0"/>
              <w:rPr>
                <w:sz w:val="22"/>
                <w:szCs w:val="22"/>
                <w:color w:val="auto"/>
              </w:rPr>
            </w:pP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12,900</w:t>
            </w:r>
          </w:p>
        </w:tc>
      </w:tr>
      <w:tr>
        <w:trPr>
          <w:trHeight w:val="264"/>
        </w:trPr>
        <w:tc>
          <w:tcPr>
            <w:tcW w:w="65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620" w:type="dxa"/>
            <w:vAlign w:val="bottom"/>
            <w:tcBorders>
              <w:top w:val="single" w:sz="8" w:color="CCEEFF"/>
            </w:tcBorders>
            <w:gridSpan w:val="2"/>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210,500</w:t>
            </w:r>
          </w:p>
        </w:tc>
        <w:tc>
          <w:tcPr>
            <w:tcW w:w="20" w:type="dxa"/>
            <w:vAlign w:val="bottom"/>
            <w:tcBorders>
              <w:top w:val="single" w:sz="8" w:color="CCEEFF"/>
              <w:bottom w:val="single" w:sz="8" w:color="auto"/>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r>
      <w:tr>
        <w:trPr>
          <w:trHeight w:val="20"/>
        </w:trPr>
        <w:tc>
          <w:tcPr>
            <w:tcW w:w="6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-385445</wp:posOffset>
            </wp:positionV>
            <wp:extent cx="52120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-728345</wp:posOffset>
            </wp:positionV>
            <wp:extent cx="52120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4983480</wp:posOffset>
            </wp:positionH>
            <wp:positionV relativeFrom="paragraph">
              <wp:posOffset>-1414145</wp:posOffset>
            </wp:positionV>
            <wp:extent cx="13716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5" w:lineRule="exact"/>
        <w:rPr>
          <w:sz w:val="20"/>
          <w:szCs w:val="20"/>
          <w:color w:val="auto"/>
        </w:rPr>
      </w:pPr>
    </w:p>
    <w:p>
      <w:pPr>
        <w:ind w:left="1260" w:right="639" w:firstLine="648"/>
        <w:spacing w:after="0" w:line="277" w:lineRule="auto"/>
        <w:rPr>
          <w:sz w:val="20"/>
          <w:szCs w:val="20"/>
          <w:color w:val="auto"/>
        </w:rPr>
      </w:pPr>
      <w:r>
        <w:rPr>
          <w:rFonts w:ascii="Arial" w:cs="Arial" w:eastAsia="Arial" w:hAnsi="Arial"/>
          <w:sz w:val="18"/>
          <w:szCs w:val="18"/>
          <w:color w:val="auto"/>
        </w:rPr>
        <w:t>Our leases expire on various dates from 2021 to 2035. The lease in Boston, United States, is held by our U.S. subsidiary, CureVac Inc.</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Environmental Issues</w:t>
      </w:r>
    </w:p>
    <w:p>
      <w:pPr>
        <w:spacing w:after="0" w:line="162" w:lineRule="exact"/>
        <w:rPr>
          <w:sz w:val="20"/>
          <w:szCs w:val="20"/>
          <w:color w:val="auto"/>
        </w:rPr>
      </w:pPr>
    </w:p>
    <w:p>
      <w:pPr>
        <w:jc w:val="both"/>
        <w:ind w:left="1260" w:right="479" w:firstLine="648"/>
        <w:spacing w:after="0" w:line="259" w:lineRule="auto"/>
        <w:rPr>
          <w:sz w:val="20"/>
          <w:szCs w:val="20"/>
          <w:color w:val="auto"/>
        </w:rPr>
      </w:pPr>
      <w:r>
        <w:rPr>
          <w:rFonts w:ascii="Arial" w:cs="Arial" w:eastAsia="Arial" w:hAnsi="Arial"/>
          <w:sz w:val="18"/>
          <w:szCs w:val="18"/>
          <w:color w:val="auto"/>
        </w:rPr>
        <w:t>To the best of our knowledge, currently there are no foreign, federal, state or local environmental laws, rules or regulations that will materially affect our results of operations or our position with respect to our competitors. However, we can provide no assurance of the effect that any possible future environmental laws will have on our operating results.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Legal Proceedings</w:t>
      </w:r>
    </w:p>
    <w:p>
      <w:pPr>
        <w:spacing w:after="0" w:line="148" w:lineRule="exact"/>
        <w:rPr>
          <w:sz w:val="20"/>
          <w:szCs w:val="20"/>
          <w:color w:val="auto"/>
        </w:rPr>
      </w:pPr>
    </w:p>
    <w:p>
      <w:pPr>
        <w:ind w:left="1260" w:right="419" w:firstLine="648"/>
        <w:spacing w:after="0" w:line="254" w:lineRule="auto"/>
        <w:rPr>
          <w:sz w:val="20"/>
          <w:szCs w:val="20"/>
          <w:color w:val="auto"/>
        </w:rPr>
      </w:pPr>
      <w:r>
        <w:rPr>
          <w:rFonts w:ascii="Arial" w:cs="Arial" w:eastAsia="Arial" w:hAnsi="Arial"/>
          <w:sz w:val="18"/>
          <w:szCs w:val="18"/>
          <w:color w:val="auto"/>
        </w:rPr>
        <w:t>From time to time, we are subject to various legal proceedings and claims that arise in the ordinary course of our business activities. Although the results of litigation and claims cannot be predicted with certainty, as of the date of this prospectus,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43" w:name="page244"/>
    <w:bookmarkEnd w:id="2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MANAGEMENT</w:t>
      </w:r>
    </w:p>
    <w:p>
      <w:pPr>
        <w:spacing w:after="0" w:line="162" w:lineRule="exact"/>
        <w:rPr>
          <w:sz w:val="20"/>
          <w:szCs w:val="20"/>
          <w:color w:val="auto"/>
        </w:rPr>
      </w:pPr>
    </w:p>
    <w:p>
      <w:pPr>
        <w:ind w:left="1260" w:right="899" w:firstLine="648"/>
        <w:spacing w:after="0" w:line="248" w:lineRule="auto"/>
        <w:rPr>
          <w:sz w:val="20"/>
          <w:szCs w:val="20"/>
          <w:color w:val="auto"/>
        </w:rPr>
      </w:pPr>
      <w:r>
        <w:rPr>
          <w:rFonts w:ascii="Arial" w:cs="Arial" w:eastAsia="Arial" w:hAnsi="Arial"/>
          <w:sz w:val="18"/>
          <w:szCs w:val="18"/>
          <w:i w:val="1"/>
          <w:iCs w:val="1"/>
          <w:color w:val="auto"/>
        </w:rPr>
        <w:t>Unless otherwise noted, this section presents information about our management upon the consummation of the offering and after giving effect to the Corporate Reorganization. See “Corporate Reorganization.”</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Structure</w:t>
      </w:r>
    </w:p>
    <w:p>
      <w:pPr>
        <w:spacing w:after="0" w:line="162" w:lineRule="exact"/>
        <w:rPr>
          <w:sz w:val="20"/>
          <w:szCs w:val="20"/>
          <w:color w:val="auto"/>
        </w:rPr>
      </w:pPr>
    </w:p>
    <w:p>
      <w:pPr>
        <w:ind w:left="1260" w:right="879" w:firstLine="648"/>
        <w:spacing w:after="0" w:line="248" w:lineRule="auto"/>
        <w:rPr>
          <w:sz w:val="20"/>
          <w:szCs w:val="20"/>
          <w:color w:val="auto"/>
        </w:rPr>
      </w:pPr>
      <w:r>
        <w:rPr>
          <w:rFonts w:ascii="Arial" w:cs="Arial" w:eastAsia="Arial" w:hAnsi="Arial"/>
          <w:sz w:val="18"/>
          <w:szCs w:val="18"/>
          <w:color w:val="auto"/>
        </w:rPr>
        <w:t>We have a two-tier board structure consisting of a management board (</w:t>
      </w:r>
      <w:r>
        <w:rPr>
          <w:rFonts w:ascii="Arial" w:cs="Arial" w:eastAsia="Arial" w:hAnsi="Arial"/>
          <w:sz w:val="18"/>
          <w:szCs w:val="18"/>
          <w:i w:val="1"/>
          <w:iCs w:val="1"/>
          <w:color w:val="auto"/>
        </w:rPr>
        <w:t>bestuur</w:t>
      </w:r>
      <w:r>
        <w:rPr>
          <w:rFonts w:ascii="Arial" w:cs="Arial" w:eastAsia="Arial" w:hAnsi="Arial"/>
          <w:sz w:val="18"/>
          <w:szCs w:val="18"/>
          <w:color w:val="auto"/>
        </w:rPr>
        <w:t xml:space="preserve">) and a separate supervisory board ( </w:t>
      </w:r>
      <w:r>
        <w:rPr>
          <w:rFonts w:ascii="Arial" w:cs="Arial" w:eastAsia="Arial" w:hAnsi="Arial"/>
          <w:sz w:val="18"/>
          <w:szCs w:val="18"/>
          <w:i w:val="1"/>
          <w:iCs w:val="1"/>
          <w:color w:val="auto"/>
        </w:rPr>
        <w:t>raad van commissarissen</w:t>
      </w:r>
      <w:r>
        <w:rPr>
          <w:rFonts w:ascii="Arial" w:cs="Arial" w:eastAsia="Arial" w:hAnsi="Arial"/>
          <w:sz w:val="18"/>
          <w:szCs w:val="18"/>
          <w:color w:val="auto"/>
        </w:rPr>
        <w:t>). There are no family relationships among any of our managing directors and supervisory directors.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Management Board</w:t>
      </w:r>
    </w:p>
    <w:p>
      <w:pPr>
        <w:spacing w:after="0" w:line="148" w:lineRule="exact"/>
        <w:rPr>
          <w:sz w:val="20"/>
          <w:szCs w:val="20"/>
          <w:color w:val="auto"/>
        </w:rPr>
      </w:pPr>
    </w:p>
    <w:p>
      <w:pPr>
        <w:ind w:left="1260" w:right="419" w:firstLine="648"/>
        <w:spacing w:after="0"/>
        <w:rPr>
          <w:sz w:val="20"/>
          <w:szCs w:val="20"/>
          <w:color w:val="auto"/>
        </w:rPr>
      </w:pPr>
      <w:r>
        <w:rPr>
          <w:rFonts w:ascii="Arial" w:cs="Arial" w:eastAsia="Arial" w:hAnsi="Arial"/>
          <w:sz w:val="18"/>
          <w:szCs w:val="18"/>
          <w:color w:val="auto"/>
        </w:rPr>
        <w:t>Our management board is composed of five members, who we refer to as our managing directors (and who, together with our chief business officer and chief commercial officer and our interim chief development officer, we consider to be our executive officers). Each managing director of CureVac N.V. holds office for the term set by our general meeting (as set forth in the table below), except in the case of his or her earlier death, resignation or removal. Our managing directors do not have a retirement age requirement under our articles of association.</w:t>
      </w:r>
    </w:p>
    <w:p>
      <w:pPr>
        <w:spacing w:after="0" w:line="122" w:lineRule="exact"/>
        <w:rPr>
          <w:sz w:val="20"/>
          <w:szCs w:val="20"/>
          <w:color w:val="auto"/>
        </w:rPr>
      </w:pPr>
    </w:p>
    <w:p>
      <w:pPr>
        <w:ind w:left="1260" w:right="599" w:firstLine="648"/>
        <w:spacing w:after="0" w:line="270" w:lineRule="auto"/>
        <w:rPr>
          <w:sz w:val="20"/>
          <w:szCs w:val="20"/>
          <w:color w:val="auto"/>
        </w:rPr>
      </w:pPr>
      <w:r>
        <w:rPr>
          <w:rFonts w:ascii="Arial" w:cs="Arial" w:eastAsia="Arial" w:hAnsi="Arial"/>
          <w:sz w:val="17"/>
          <w:szCs w:val="17"/>
          <w:color w:val="auto"/>
        </w:rPr>
        <w:t>Our managing directors are responsible for the management and representation of our company. Our senior management has an average of 17 years of experience in the biopharmaceutical industry. Many of the members of our management team have worked together as a team for many years.</w:t>
      </w:r>
    </w:p>
    <w:p>
      <w:pPr>
        <w:spacing w:after="0" w:line="96" w:lineRule="exact"/>
        <w:rPr>
          <w:sz w:val="20"/>
          <w:szCs w:val="20"/>
          <w:color w:val="auto"/>
        </w:rPr>
      </w:pPr>
    </w:p>
    <w:p>
      <w:pPr>
        <w:jc w:val="both"/>
        <w:ind w:left="1260" w:right="599" w:firstLine="648"/>
        <w:spacing w:after="0" w:line="248" w:lineRule="auto"/>
        <w:rPr>
          <w:sz w:val="20"/>
          <w:szCs w:val="20"/>
          <w:color w:val="auto"/>
        </w:rPr>
      </w:pPr>
      <w:r>
        <w:rPr>
          <w:rFonts w:ascii="Arial" w:cs="Arial" w:eastAsia="Arial" w:hAnsi="Arial"/>
          <w:sz w:val="18"/>
          <w:szCs w:val="18"/>
          <w:color w:val="auto"/>
        </w:rPr>
        <w:t>The following table lists our current managing directors who are also executive officers (with the exception of Bernd Winterhalter(2)), as well as their ages, term served, the year of expiration of their term as managing directors of CureVac N.V. and position:</w:t>
      </w:r>
    </w:p>
    <w:p>
      <w:pPr>
        <w:spacing w:after="0" w:line="13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 in which</w:t>
            </w:r>
          </w:p>
        </w:tc>
        <w:tc>
          <w:tcPr>
            <w:tcW w:w="2160" w:type="dxa"/>
            <w:vAlign w:val="bottom"/>
          </w:tcPr>
          <w:p>
            <w:pPr>
              <w:spacing w:after="0"/>
              <w:rPr>
                <w:sz w:val="14"/>
                <w:szCs w:val="14"/>
                <w:color w:val="auto"/>
              </w:rPr>
            </w:pPr>
          </w:p>
        </w:tc>
      </w:tr>
      <w:tr>
        <w:trPr>
          <w:trHeight w:val="186"/>
        </w:trPr>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gridSpan w:val="2"/>
          </w:tcPr>
          <w:p>
            <w:pPr>
              <w:ind w:left="20"/>
              <w:spacing w:after="0"/>
              <w:rPr>
                <w:sz w:val="20"/>
                <w:szCs w:val="20"/>
                <w:color w:val="auto"/>
              </w:rPr>
            </w:pPr>
            <w:r>
              <w:rPr>
                <w:rFonts w:ascii="Arial" w:cs="Arial" w:eastAsia="Arial" w:hAnsi="Arial"/>
                <w:sz w:val="14"/>
                <w:szCs w:val="14"/>
                <w:b w:val="1"/>
                <w:bCs w:val="1"/>
                <w:color w:val="auto"/>
              </w:rPr>
              <w:t>Age</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Term Served</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Term Expires</w:t>
            </w:r>
          </w:p>
        </w:tc>
        <w:tc>
          <w:tcPr>
            <w:tcW w:w="2160" w:type="dxa"/>
            <w:vAlign w:val="bottom"/>
          </w:tcPr>
          <w:p>
            <w:pPr>
              <w:ind w:left="860"/>
              <w:spacing w:after="0"/>
              <w:rPr>
                <w:sz w:val="20"/>
                <w:szCs w:val="20"/>
                <w:color w:val="auto"/>
              </w:rPr>
            </w:pPr>
            <w:r>
              <w:rPr>
                <w:rFonts w:ascii="Arial" w:cs="Arial" w:eastAsia="Arial" w:hAnsi="Arial"/>
                <w:sz w:val="14"/>
                <w:szCs w:val="14"/>
                <w:b w:val="1"/>
                <w:bCs w:val="1"/>
                <w:color w:val="auto"/>
              </w:rPr>
              <w:t>Position</w:t>
            </w:r>
          </w:p>
        </w:tc>
      </w:tr>
      <w:tr>
        <w:trPr>
          <w:trHeight w:val="25"/>
        </w:trPr>
        <w:tc>
          <w:tcPr>
            <w:tcW w:w="2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50"/>
        </w:trPr>
        <w:tc>
          <w:tcPr>
            <w:tcW w:w="2880" w:type="dxa"/>
            <w:vAlign w:val="bottom"/>
            <w:gridSpan w:val="2"/>
          </w:tcPr>
          <w:p>
            <w:pPr>
              <w:spacing w:after="0"/>
              <w:rPr>
                <w:sz w:val="20"/>
                <w:szCs w:val="20"/>
                <w:color w:val="auto"/>
              </w:rPr>
            </w:pPr>
            <w:r>
              <w:rPr>
                <w:rFonts w:ascii="Arial" w:cs="Arial" w:eastAsia="Arial" w:hAnsi="Arial"/>
                <w:sz w:val="18"/>
                <w:szCs w:val="18"/>
                <w:color w:val="auto"/>
              </w:rPr>
              <w:t>Franz-Werner Haas, LLD, LLM</w:t>
            </w:r>
          </w:p>
        </w:tc>
        <w:tc>
          <w:tcPr>
            <w:tcW w:w="260" w:type="dxa"/>
            <w:vAlign w:val="bottom"/>
          </w:tcPr>
          <w:p>
            <w:pPr>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6/2020 – Present</w:t>
            </w:r>
          </w:p>
        </w:tc>
        <w:tc>
          <w:tcPr>
            <w:tcW w:w="108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56"/>
        </w:trPr>
        <w:tc>
          <w:tcPr>
            <w:tcW w:w="2880" w:type="dxa"/>
            <w:vAlign w:val="bottom"/>
            <w:gridSpan w:val="2"/>
          </w:tcPr>
          <w:p>
            <w:pPr>
              <w:spacing w:after="0"/>
              <w:rPr>
                <w:sz w:val="20"/>
                <w:szCs w:val="20"/>
                <w:color w:val="auto"/>
              </w:rPr>
            </w:pPr>
            <w:r>
              <w:rPr>
                <w:rFonts w:ascii="Arial" w:cs="Arial" w:eastAsia="Arial" w:hAnsi="Arial"/>
                <w:sz w:val="18"/>
                <w:szCs w:val="18"/>
                <w:color w:val="auto"/>
              </w:rPr>
              <w:t>Florian von der Mülbe, Ph.D., MBA</w:t>
            </w:r>
          </w:p>
        </w:tc>
        <w:tc>
          <w:tcPr>
            <w:tcW w:w="260" w:type="dxa"/>
            <w:vAlign w:val="bottom"/>
          </w:tcPr>
          <w:p>
            <w:pPr>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9/2015 – Present</w:t>
            </w:r>
          </w:p>
        </w:tc>
        <w:tc>
          <w:tcPr>
            <w:tcW w:w="1080" w:type="dxa"/>
            <w:vAlign w:val="bottom"/>
          </w:tcPr>
          <w:p>
            <w:pPr>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2"/>
                <w:szCs w:val="22"/>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Chief Production Officer</w:t>
            </w:r>
          </w:p>
        </w:tc>
      </w:tr>
      <w:tr>
        <w:trPr>
          <w:trHeight w:val="257"/>
        </w:trPr>
        <w:tc>
          <w:tcPr>
            <w:tcW w:w="2880" w:type="dxa"/>
            <w:vAlign w:val="bottom"/>
            <w:gridSpan w:val="2"/>
          </w:tcPr>
          <w:p>
            <w:pPr>
              <w:spacing w:after="0"/>
              <w:rPr>
                <w:sz w:val="20"/>
                <w:szCs w:val="20"/>
                <w:color w:val="auto"/>
              </w:rPr>
            </w:pPr>
            <w:r>
              <w:rPr>
                <w:rFonts w:ascii="Arial" w:cs="Arial" w:eastAsia="Arial" w:hAnsi="Arial"/>
                <w:sz w:val="18"/>
                <w:szCs w:val="18"/>
                <w:color w:val="auto"/>
              </w:rPr>
              <w:t>Mariola Fotin-Mleczek, Ph.D.</w:t>
            </w:r>
          </w:p>
        </w:tc>
        <w:tc>
          <w:tcPr>
            <w:tcW w:w="260" w:type="dxa"/>
            <w:vAlign w:val="bottom"/>
          </w:tcPr>
          <w:p>
            <w:pPr>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2"/>
                <w:szCs w:val="22"/>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9/2015 – Present</w:t>
            </w:r>
          </w:p>
        </w:tc>
        <w:tc>
          <w:tcPr>
            <w:tcW w:w="1080" w:type="dxa"/>
            <w:vAlign w:val="bottom"/>
          </w:tcPr>
          <w:p>
            <w:pPr>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2"/>
                <w:szCs w:val="22"/>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Chief Technology Officer</w:t>
            </w:r>
          </w:p>
        </w:tc>
      </w:tr>
      <w:tr>
        <w:trPr>
          <w:trHeight w:val="232"/>
        </w:trPr>
        <w:tc>
          <w:tcPr>
            <w:tcW w:w="2880" w:type="dxa"/>
            <w:vAlign w:val="bottom"/>
            <w:gridSpan w:val="2"/>
          </w:tcPr>
          <w:p>
            <w:pPr>
              <w:spacing w:after="0"/>
              <w:rPr>
                <w:sz w:val="20"/>
                <w:szCs w:val="20"/>
                <w:color w:val="auto"/>
              </w:rPr>
            </w:pPr>
            <w:r>
              <w:rPr>
                <w:rFonts w:ascii="Arial" w:cs="Arial" w:eastAsia="Arial" w:hAnsi="Arial"/>
                <w:sz w:val="18"/>
                <w:szCs w:val="18"/>
                <w:color w:val="auto"/>
              </w:rPr>
              <w:t>Pierre Kemula, B.Sc.</w:t>
            </w:r>
          </w:p>
        </w:tc>
        <w:tc>
          <w:tcPr>
            <w:tcW w:w="260" w:type="dxa"/>
            <w:vAlign w:val="bottom"/>
          </w:tcPr>
          <w:p>
            <w:pPr>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11/2016 – Present</w:t>
            </w:r>
          </w:p>
        </w:tc>
        <w:tc>
          <w:tcPr>
            <w:tcW w:w="1080" w:type="dxa"/>
            <w:vAlign w:val="bottom"/>
          </w:tcPr>
          <w:p>
            <w:pPr>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93"/>
        </w:trPr>
        <w:tc>
          <w:tcPr>
            <w:tcW w:w="2880" w:type="dxa"/>
            <w:vAlign w:val="bottom"/>
            <w:gridSpan w:val="2"/>
          </w:tcPr>
          <w:p>
            <w:pPr>
              <w:spacing w:after="0" w:line="293" w:lineRule="exact"/>
              <w:rPr>
                <w:sz w:val="20"/>
                <w:szCs w:val="20"/>
                <w:color w:val="auto"/>
              </w:rPr>
            </w:pPr>
            <w:r>
              <w:rPr>
                <w:rFonts w:ascii="Arial" w:cs="Arial" w:eastAsia="Arial" w:hAnsi="Arial"/>
                <w:sz w:val="18"/>
                <w:szCs w:val="18"/>
                <w:color w:val="auto"/>
              </w:rPr>
              <w:t>Antony Blanc, Ph.D.</w:t>
            </w:r>
            <w:r>
              <w:rPr>
                <w:rFonts w:ascii="Arial" w:cs="Arial" w:eastAsia="Arial" w:hAnsi="Arial"/>
                <w:sz w:val="26"/>
                <w:szCs w:val="26"/>
                <w:color w:val="auto"/>
                <w:vertAlign w:val="superscript"/>
              </w:rPr>
              <w:t>(1)</w:t>
            </w:r>
          </w:p>
        </w:tc>
        <w:tc>
          <w:tcPr>
            <w:tcW w:w="260" w:type="dxa"/>
            <w:vAlign w:val="bottom"/>
          </w:tcPr>
          <w:p>
            <w:pPr>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4"/>
                <w:szCs w:val="24"/>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12/2020 – Present</w:t>
            </w:r>
          </w:p>
        </w:tc>
        <w:tc>
          <w:tcPr>
            <w:tcW w:w="1080" w:type="dxa"/>
            <w:vAlign w:val="bottom"/>
          </w:tcPr>
          <w:p>
            <w:pPr>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Chief Business Officer /</w:t>
            </w:r>
          </w:p>
        </w:tc>
      </w:tr>
      <w:tr>
        <w:trPr>
          <w:trHeight w:val="230"/>
        </w:trPr>
        <w:tc>
          <w:tcPr>
            <w:tcW w:w="2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Chief Commercial Officer</w:t>
            </w:r>
          </w:p>
        </w:tc>
      </w:tr>
      <w:tr>
        <w:trPr>
          <w:trHeight w:val="310"/>
        </w:trPr>
        <w:tc>
          <w:tcPr>
            <w:tcW w:w="2880" w:type="dxa"/>
            <w:vAlign w:val="bottom"/>
            <w:gridSpan w:val="2"/>
          </w:tcPr>
          <w:p>
            <w:pPr>
              <w:spacing w:after="0"/>
              <w:rPr>
                <w:sz w:val="20"/>
                <w:szCs w:val="20"/>
                <w:color w:val="auto"/>
              </w:rPr>
            </w:pPr>
            <w:r>
              <w:rPr>
                <w:rFonts w:ascii="Arial" w:cs="Arial" w:eastAsia="Arial" w:hAnsi="Arial"/>
                <w:sz w:val="18"/>
                <w:szCs w:val="18"/>
                <w:color w:val="auto"/>
              </w:rPr>
              <w:t>Bernd Winterhalter, MD, Ph.D.</w:t>
            </w:r>
            <w:r>
              <w:rPr>
                <w:rFonts w:ascii="Arial" w:cs="Arial" w:eastAsia="Arial" w:hAnsi="Arial"/>
                <w:sz w:val="26"/>
                <w:szCs w:val="26"/>
                <w:color w:val="auto"/>
                <w:vertAlign w:val="superscript"/>
              </w:rPr>
              <w:t>(2)</w:t>
            </w:r>
          </w:p>
        </w:tc>
        <w:tc>
          <w:tcPr>
            <w:tcW w:w="260" w:type="dxa"/>
            <w:vAlign w:val="bottom"/>
          </w:tcPr>
          <w:p>
            <w:pPr>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4"/>
                <w:szCs w:val="24"/>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6/2018 – Present</w:t>
            </w:r>
          </w:p>
        </w:tc>
        <w:tc>
          <w:tcPr>
            <w:tcW w:w="1180" w:type="dxa"/>
            <w:vAlign w:val="bottom"/>
            <w:gridSpan w:val="2"/>
          </w:tcPr>
          <w:p>
            <w:pPr>
              <w:spacing w:after="0"/>
              <w:rPr>
                <w:sz w:val="20"/>
                <w:szCs w:val="20"/>
                <w:color w:val="auto"/>
              </w:rPr>
            </w:pPr>
            <w:r>
              <w:rPr>
                <w:rFonts w:ascii="Arial" w:cs="Arial" w:eastAsia="Arial" w:hAnsi="Arial"/>
                <w:sz w:val="18"/>
                <w:szCs w:val="18"/>
                <w:color w:val="auto"/>
              </w:rPr>
              <w:t>Not Defined</w:t>
            </w:r>
          </w:p>
        </w:tc>
        <w:tc>
          <w:tcPr>
            <w:tcW w:w="2160" w:type="dxa"/>
            <w:vAlign w:val="bottom"/>
          </w:tcPr>
          <w:p>
            <w:pPr>
              <w:spacing w:after="0"/>
              <w:rPr>
                <w:sz w:val="20"/>
                <w:szCs w:val="20"/>
                <w:color w:val="auto"/>
              </w:rPr>
            </w:pPr>
            <w:r>
              <w:rPr>
                <w:rFonts w:ascii="Arial" w:cs="Arial" w:eastAsia="Arial" w:hAnsi="Arial"/>
                <w:sz w:val="18"/>
                <w:szCs w:val="18"/>
                <w:color w:val="auto"/>
              </w:rPr>
              <w:t>Chief Development Officer</w:t>
            </w:r>
          </w:p>
        </w:tc>
      </w:tr>
      <w:tr>
        <w:trPr>
          <w:trHeight w:val="230"/>
        </w:trPr>
        <w:tc>
          <w:tcPr>
            <w:tcW w:w="2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(Interim)</w:t>
            </w:r>
          </w:p>
        </w:tc>
      </w:tr>
      <w:tr>
        <w:trPr>
          <w:trHeight w:val="283"/>
        </w:trPr>
        <w:tc>
          <w:tcPr>
            <w:tcW w:w="2880" w:type="dxa"/>
            <w:vAlign w:val="bottom"/>
            <w:gridSpan w:val="2"/>
          </w:tcPr>
          <w:p>
            <w:pPr>
              <w:spacing w:after="0"/>
              <w:rPr>
                <w:sz w:val="20"/>
                <w:szCs w:val="20"/>
                <w:color w:val="auto"/>
              </w:rPr>
            </w:pPr>
            <w:r>
              <w:rPr>
                <w:rFonts w:ascii="Arial" w:cs="Arial" w:eastAsia="Arial" w:hAnsi="Arial"/>
                <w:sz w:val="18"/>
                <w:szCs w:val="18"/>
                <w:color w:val="auto"/>
              </w:rPr>
              <w:t>Igor Splawski, Ph.D., MSc</w:t>
            </w:r>
          </w:p>
        </w:tc>
        <w:tc>
          <w:tcPr>
            <w:tcW w:w="260" w:type="dxa"/>
            <w:vAlign w:val="bottom"/>
          </w:tcPr>
          <w:p>
            <w:pPr>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4"/>
                <w:szCs w:val="24"/>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7/2020 – Present</w:t>
            </w:r>
          </w:p>
        </w:tc>
        <w:tc>
          <w:tcPr>
            <w:tcW w:w="1080" w:type="dxa"/>
            <w:vAlign w:val="bottom"/>
          </w:tcPr>
          <w:p>
            <w:pPr>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Chief Scientific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128905</wp:posOffset>
            </wp:positionV>
            <wp:extent cx="164592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17" w:lineRule="exact"/>
        <w:rPr>
          <w:sz w:val="20"/>
          <w:szCs w:val="20"/>
          <w:color w:val="auto"/>
        </w:rPr>
      </w:pPr>
    </w:p>
    <w:p>
      <w:pPr>
        <w:ind w:left="1900" w:right="599" w:hanging="640"/>
        <w:spacing w:after="0" w:line="277" w:lineRule="auto"/>
        <w:tabs>
          <w:tab w:leader="none" w:pos="1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We consider Mr. Blanc an executive officer and a member of our senior management team, but he has not yet been formally appointed as a managing director of CureVac N.V.</w:t>
      </w:r>
    </w:p>
    <w:p>
      <w:pPr>
        <w:spacing w:after="0" w:line="35" w:lineRule="exact"/>
        <w:rPr>
          <w:rFonts w:ascii="Arial" w:cs="Arial" w:eastAsia="Arial" w:hAnsi="Arial"/>
          <w:sz w:val="18"/>
          <w:szCs w:val="18"/>
          <w:color w:val="auto"/>
        </w:rPr>
      </w:pPr>
    </w:p>
    <w:p>
      <w:pPr>
        <w:ind w:left="1900" w:right="419" w:hanging="640"/>
        <w:spacing w:after="0" w:line="257" w:lineRule="auto"/>
        <w:tabs>
          <w:tab w:leader="none" w:pos="1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We consider Mr. Winterhalter an executive officer and a member of our senior management team but he is not registered in Germany as a member of the management board of CureVac AG and is not a member of the management board of CureVac N.V. He serves as our interim chief development officer under a consulting agreement that specifies his service is indefinite and may be terminated by either party with four weeks’ notice.</w:t>
      </w:r>
    </w:p>
    <w:p>
      <w:pPr>
        <w:spacing w:after="0" w:line="107" w:lineRule="exact"/>
        <w:rPr>
          <w:sz w:val="20"/>
          <w:szCs w:val="20"/>
          <w:color w:val="auto"/>
        </w:rPr>
      </w:pPr>
    </w:p>
    <w:p>
      <w:pPr>
        <w:jc w:val="both"/>
        <w:ind w:left="1260" w:right="539" w:firstLine="648"/>
        <w:spacing w:after="0" w:line="286" w:lineRule="auto"/>
        <w:rPr>
          <w:sz w:val="20"/>
          <w:szCs w:val="20"/>
          <w:color w:val="auto"/>
        </w:rPr>
      </w:pPr>
      <w:r>
        <w:rPr>
          <w:rFonts w:ascii="Arial" w:cs="Arial" w:eastAsia="Arial" w:hAnsi="Arial"/>
          <w:sz w:val="17"/>
          <w:szCs w:val="17"/>
          <w:color w:val="auto"/>
        </w:rPr>
        <w:t>The following is a brief summary of the prior business experience and principal business activities performed outside of CureVac of our managing directors. Unless otherwise indicated, the current business addresses for each managing director is Friedrich-Miescher-Strasse 15, 72076 Tübingen, Germany.</w:t>
      </w:r>
    </w:p>
    <w:p>
      <w:pPr>
        <w:spacing w:after="0" w:line="94" w:lineRule="exact"/>
        <w:rPr>
          <w:sz w:val="20"/>
          <w:szCs w:val="20"/>
          <w:color w:val="auto"/>
        </w:rPr>
      </w:pPr>
    </w:p>
    <w:p>
      <w:pPr>
        <w:jc w:val="both"/>
        <w:ind w:left="1260" w:right="599" w:firstLine="648"/>
        <w:spacing w:after="0" w:line="261" w:lineRule="auto"/>
        <w:rPr>
          <w:sz w:val="20"/>
          <w:szCs w:val="20"/>
          <w:color w:val="auto"/>
        </w:rPr>
      </w:pPr>
      <w:r>
        <w:rPr>
          <w:rFonts w:ascii="Arial" w:cs="Arial" w:eastAsia="Arial" w:hAnsi="Arial"/>
          <w:sz w:val="18"/>
          <w:szCs w:val="18"/>
          <w:b w:val="1"/>
          <w:bCs w:val="1"/>
          <w:color w:val="auto"/>
        </w:rPr>
        <w:t xml:space="preserve">Franz-Werner Haas, LLD, LLM </w:t>
      </w:r>
      <w:r>
        <w:rPr>
          <w:rFonts w:ascii="Arial" w:cs="Arial" w:eastAsia="Arial" w:hAnsi="Arial"/>
          <w:sz w:val="18"/>
          <w:szCs w:val="18"/>
          <w:color w:val="auto"/>
        </w:rPr>
        <w:t>has been our chief executive officer and chief operating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since August 2020 and June 2018, respectively. Mr. Haas was our chief corporate officer from 2012 until 2018 and our deputy chief executive officer from March 2020 until August 2020. Before joining CureVac, he was</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44" w:name="page245"/>
    <w:bookmarkEnd w:id="2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79"/>
        <w:spacing w:after="0" w:line="268" w:lineRule="auto"/>
        <w:rPr>
          <w:sz w:val="20"/>
          <w:szCs w:val="20"/>
          <w:color w:val="auto"/>
        </w:rPr>
      </w:pPr>
      <w:r>
        <w:rPr>
          <w:rFonts w:ascii="Arial" w:cs="Arial" w:eastAsia="Arial" w:hAnsi="Arial"/>
          <w:sz w:val="17"/>
          <w:szCs w:val="17"/>
          <w:color w:val="auto"/>
        </w:rPr>
        <w:t>Vice President of Operations and Chief Compliance Officer of SYGNIS Pharma AG from May 2005 until March 2012, where he was responsible for the execution of M&amp;A and capital market transactions. Mr. Haas started his professional career as an Assistant to the Executive Board of a privately held international commercial and service enterprise before assuming several management positions in the life science industry, including Vice President and General Counsel of LION bioscience from 2002 until</w:t>
      </w:r>
    </w:p>
    <w:p>
      <w:pPr>
        <w:spacing w:after="0" w:line="3" w:lineRule="exact"/>
        <w:rPr>
          <w:sz w:val="20"/>
          <w:szCs w:val="20"/>
          <w:color w:val="auto"/>
        </w:rPr>
      </w:pPr>
    </w:p>
    <w:p>
      <w:pPr>
        <w:jc w:val="both"/>
        <w:ind w:left="1260" w:right="519"/>
        <w:spacing w:after="0" w:line="255" w:lineRule="auto"/>
        <w:rPr>
          <w:sz w:val="20"/>
          <w:szCs w:val="20"/>
          <w:color w:val="auto"/>
        </w:rPr>
      </w:pPr>
      <w:r>
        <w:rPr>
          <w:rFonts w:ascii="Arial" w:cs="Arial" w:eastAsia="Arial" w:hAnsi="Arial"/>
          <w:sz w:val="18"/>
          <w:szCs w:val="18"/>
          <w:color w:val="auto"/>
        </w:rPr>
        <w:t>December 2004. Mr. Haas also served as the General Counsel of Sirona Dental Systems from January 2005 to May 2005. He studied law at the University of Saarbruecken, K.U. Leuven and also holds an LLM from the University of Edinburgh.</w:t>
      </w:r>
    </w:p>
    <w:p>
      <w:pPr>
        <w:spacing w:after="0" w:line="118" w:lineRule="exact"/>
        <w:rPr>
          <w:sz w:val="20"/>
          <w:szCs w:val="20"/>
          <w:color w:val="auto"/>
        </w:rPr>
      </w:pPr>
    </w:p>
    <w:p>
      <w:pPr>
        <w:ind w:left="1260" w:right="439" w:firstLine="648"/>
        <w:spacing w:after="0" w:line="272" w:lineRule="auto"/>
        <w:rPr>
          <w:sz w:val="20"/>
          <w:szCs w:val="20"/>
          <w:color w:val="auto"/>
        </w:rPr>
      </w:pPr>
      <w:r>
        <w:rPr>
          <w:rFonts w:ascii="Arial" w:cs="Arial" w:eastAsia="Arial" w:hAnsi="Arial"/>
          <w:sz w:val="17"/>
          <w:szCs w:val="17"/>
          <w:b w:val="1"/>
          <w:bCs w:val="1"/>
          <w:color w:val="auto"/>
        </w:rPr>
        <w:t xml:space="preserve">Florian von der Mülbe, Ph.D., MBA </w:t>
      </w:r>
      <w:r>
        <w:rPr>
          <w:rFonts w:ascii="Arial" w:cs="Arial" w:eastAsia="Arial" w:hAnsi="Arial"/>
          <w:sz w:val="17"/>
          <w:szCs w:val="17"/>
          <w:color w:val="auto"/>
        </w:rPr>
        <w:t>is our chief production officer since October 2018 and</w:t>
      </w:r>
      <w:r>
        <w:rPr>
          <w:rFonts w:ascii="Arial" w:cs="Arial" w:eastAsia="Arial" w:hAnsi="Arial"/>
          <w:sz w:val="17"/>
          <w:szCs w:val="17"/>
          <w:b w:val="1"/>
          <w:bCs w:val="1"/>
          <w:color w:val="auto"/>
        </w:rPr>
        <w:t xml:space="preserve"> </w:t>
      </w:r>
      <w:r>
        <w:rPr>
          <w:rFonts w:ascii="Arial" w:cs="Arial" w:eastAsia="Arial" w:hAnsi="Arial"/>
          <w:sz w:val="17"/>
          <w:szCs w:val="17"/>
          <w:color w:val="auto"/>
        </w:rPr>
        <w:t>managing director of CureVac Real Estate GmbH since February 2017. Dr. von der Mülbe founded CureVac in 2000 together with Dr. Hoerr. Prior to his current position as chief production officer, Dr. von der Mülbe served as our chief operating officer, accountable for a variety of internal functions such as IT, project management, quality, including technical development and manufacturing, where he established the first GMP production for mRNA worldwide. He started his professional career as a trainee at Roche AG. Dr. von der Mülbe is trained in biochemistry and business administration, and he received his Ph.D. in biochemistry from Tübingen University and an MBA from the European School of Business in Reutlingen.</w:t>
      </w:r>
    </w:p>
    <w:p>
      <w:pPr>
        <w:spacing w:after="0" w:line="104" w:lineRule="exact"/>
        <w:rPr>
          <w:sz w:val="20"/>
          <w:szCs w:val="20"/>
          <w:color w:val="auto"/>
        </w:rPr>
      </w:pPr>
    </w:p>
    <w:p>
      <w:pPr>
        <w:ind w:left="1260" w:right="439" w:firstLine="648"/>
        <w:spacing w:after="0" w:line="255" w:lineRule="auto"/>
        <w:rPr>
          <w:sz w:val="20"/>
          <w:szCs w:val="20"/>
          <w:color w:val="auto"/>
        </w:rPr>
      </w:pPr>
      <w:r>
        <w:rPr>
          <w:rFonts w:ascii="Arial" w:cs="Arial" w:eastAsia="Arial" w:hAnsi="Arial"/>
          <w:sz w:val="18"/>
          <w:szCs w:val="18"/>
          <w:b w:val="1"/>
          <w:bCs w:val="1"/>
          <w:color w:val="auto"/>
        </w:rPr>
        <w:t xml:space="preserve">Mariola Fotin-Mleczek, Ph.D. </w:t>
      </w:r>
      <w:r>
        <w:rPr>
          <w:rFonts w:ascii="Arial" w:cs="Arial" w:eastAsia="Arial" w:hAnsi="Arial"/>
          <w:sz w:val="18"/>
          <w:szCs w:val="18"/>
          <w:color w:val="auto"/>
        </w:rPr>
        <w:t>is our chief technology officer since October 2018. She joined</w:t>
      </w:r>
      <w:r>
        <w:rPr>
          <w:rFonts w:ascii="Arial" w:cs="Arial" w:eastAsia="Arial" w:hAnsi="Arial"/>
          <w:sz w:val="18"/>
          <w:szCs w:val="18"/>
          <w:b w:val="1"/>
          <w:bCs w:val="1"/>
          <w:color w:val="auto"/>
        </w:rPr>
        <w:t xml:space="preserve"> </w:t>
      </w:r>
      <w:r>
        <w:rPr>
          <w:rFonts w:ascii="Arial" w:cs="Arial" w:eastAsia="Arial" w:hAnsi="Arial"/>
          <w:sz w:val="18"/>
          <w:szCs w:val="18"/>
          <w:color w:val="auto"/>
        </w:rPr>
        <w:t>CureVac in May 2006 and was responsible for the development and preclinical testing of mRNA technology applied in different therapeutic areas such as: infectious diseases, oncology and protein delivery. Her scientific expertise includes immunology, cell biology, signal transduction, apoptosis and mechanism of cellular uptake. Dr. Fotin-Mleczek was trained in biology at the University of Stuttgart. She is the inventor of multiple mRNA technology-related key patents and she authored more than 30 scientific publications with a focus on mRNA technology.</w:t>
      </w:r>
    </w:p>
    <w:p>
      <w:pPr>
        <w:spacing w:after="0" w:line="108" w:lineRule="exact"/>
        <w:rPr>
          <w:sz w:val="20"/>
          <w:szCs w:val="20"/>
          <w:color w:val="auto"/>
        </w:rPr>
      </w:pPr>
    </w:p>
    <w:p>
      <w:pPr>
        <w:ind w:left="1260" w:right="419" w:firstLine="648"/>
        <w:spacing w:after="0" w:line="273" w:lineRule="auto"/>
        <w:rPr>
          <w:sz w:val="20"/>
          <w:szCs w:val="20"/>
          <w:color w:val="auto"/>
        </w:rPr>
      </w:pPr>
      <w:r>
        <w:rPr>
          <w:rFonts w:ascii="Arial" w:cs="Arial" w:eastAsia="Arial" w:hAnsi="Arial"/>
          <w:sz w:val="17"/>
          <w:szCs w:val="17"/>
          <w:b w:val="1"/>
          <w:bCs w:val="1"/>
          <w:color w:val="auto"/>
        </w:rPr>
        <w:t xml:space="preserve">Pierre Kemula, B.Sc. </w:t>
      </w:r>
      <w:r>
        <w:rPr>
          <w:rFonts w:ascii="Arial" w:cs="Arial" w:eastAsia="Arial" w:hAnsi="Arial"/>
          <w:sz w:val="17"/>
          <w:szCs w:val="17"/>
          <w:color w:val="auto"/>
        </w:rPr>
        <w:t>is our chief financial officer since 2016. Previously, he was the chief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of Pixium Vision from 2014 until 2016, where he successfully contributed to the listing of the company on Euronext in Paris, and Vice President of Corporate Finance, Treasury and Financial Markets, as well as Director of Investor Relations, Vice-President of Investor Relations and Investor Relations Officer at Ipsen from 2008 until 2014. Earlier in his career, Mr. Kemula worked with major strategy consulting firms (Roland Berger, Bossard Consultants and Gemini Consulting). He holds a Bachelor of Science in Management Sciences from the London School of Economics, or LSE, in the United Kingdom.</w:t>
      </w:r>
    </w:p>
    <w:p>
      <w:pPr>
        <w:spacing w:after="0" w:line="104" w:lineRule="exact"/>
        <w:rPr>
          <w:sz w:val="20"/>
          <w:szCs w:val="20"/>
          <w:color w:val="auto"/>
        </w:rPr>
      </w:pPr>
    </w:p>
    <w:p>
      <w:pPr>
        <w:ind w:left="1260" w:right="519" w:firstLine="648"/>
        <w:spacing w:after="0" w:line="270" w:lineRule="auto"/>
        <w:rPr>
          <w:sz w:val="20"/>
          <w:szCs w:val="20"/>
          <w:color w:val="auto"/>
        </w:rPr>
      </w:pPr>
      <w:r>
        <w:rPr>
          <w:rFonts w:ascii="Arial" w:cs="Arial" w:eastAsia="Arial" w:hAnsi="Arial"/>
          <w:sz w:val="17"/>
          <w:szCs w:val="17"/>
          <w:b w:val="1"/>
          <w:bCs w:val="1"/>
          <w:color w:val="auto"/>
        </w:rPr>
        <w:t xml:space="preserve">Bernd Winterhalter, MD, Ph.D. </w:t>
      </w:r>
      <w:r>
        <w:rPr>
          <w:rFonts w:ascii="Arial" w:cs="Arial" w:eastAsia="Arial" w:hAnsi="Arial"/>
          <w:sz w:val="17"/>
          <w:szCs w:val="17"/>
          <w:color w:val="auto"/>
        </w:rPr>
        <w:t>is our interim chief development officer since December 2019. He</w:t>
      </w:r>
      <w:r>
        <w:rPr>
          <w:rFonts w:ascii="Arial" w:cs="Arial" w:eastAsia="Arial" w:hAnsi="Arial"/>
          <w:sz w:val="17"/>
          <w:szCs w:val="17"/>
          <w:b w:val="1"/>
          <w:bCs w:val="1"/>
          <w:color w:val="auto"/>
        </w:rPr>
        <w:t xml:space="preserve"> </w:t>
      </w:r>
      <w:r>
        <w:rPr>
          <w:rFonts w:ascii="Arial" w:cs="Arial" w:eastAsia="Arial" w:hAnsi="Arial"/>
          <w:sz w:val="17"/>
          <w:szCs w:val="17"/>
          <w:color w:val="auto"/>
        </w:rPr>
        <w:t>has served as a consultant and interim manager of CureVac since June 2018. Previously, Dr. Winterhalter was the executive medical director of Bristol-Myers Squibb for European markets, Turkey and Russia from 2012 until 2018 and executive medical director for Germany from 2004 until 2011, where he successfully contributed to the clinical development and market introduction of 15 new products in multiple therapeutic areas, as well as Vice President Medical and Science and Health Economics at Pharmacia (Pfizer) in Germany from 1997 to 2003. Earlier in his career, Dr. Winterhalter worked as ward physician at the department of internal medicine I (medical oncology and hematology) at the university hospital of Albert Ludwigs University Freiburg. He is a board-certified specialist of internal medicine since 1993 and holds a Ph.D. and an MD degree from Albert Ludwigs University in Freiburg.</w:t>
      </w:r>
    </w:p>
    <w:p>
      <w:pPr>
        <w:spacing w:after="0" w:line="109"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 xml:space="preserve">Igor Splawski, Ph.D., MSc </w:t>
      </w:r>
      <w:r>
        <w:rPr>
          <w:rFonts w:ascii="Arial" w:cs="Arial" w:eastAsia="Arial" w:hAnsi="Arial"/>
          <w:sz w:val="18"/>
          <w:szCs w:val="18"/>
          <w:color w:val="auto"/>
        </w:rPr>
        <w:t>is our chief scientific officer since July 2020. Prior to joining us,</w:t>
      </w:r>
    </w:p>
    <w:p>
      <w:pPr>
        <w:spacing w:after="0" w:line="27" w:lineRule="exact"/>
        <w:rPr>
          <w:sz w:val="20"/>
          <w:szCs w:val="20"/>
          <w:color w:val="auto"/>
        </w:rPr>
      </w:pPr>
    </w:p>
    <w:p>
      <w:pPr>
        <w:ind w:left="1260" w:right="439"/>
        <w:spacing w:after="0" w:line="267" w:lineRule="auto"/>
        <w:rPr>
          <w:sz w:val="20"/>
          <w:szCs w:val="20"/>
          <w:color w:val="auto"/>
        </w:rPr>
      </w:pPr>
      <w:r>
        <w:rPr>
          <w:rFonts w:ascii="Arial" w:cs="Arial" w:eastAsia="Arial" w:hAnsi="Arial"/>
          <w:sz w:val="17"/>
          <w:szCs w:val="17"/>
          <w:color w:val="auto"/>
        </w:rPr>
        <w:t>Dr. Splawski was an executive director at the Novartis Institutes for BioMedical Research (NIBR) Biologic Center since 2018, and director from 2016 until 2018. Previously, he was a director in the cardiovascular and metabolism disease area at NIBR from 2009 until 2016 and a senior investigator in ophthalmology at NIBR from 2005 to 2009. At NIBR, Dr. Splawski successfully led over 100 scientists in identifying and evaluating protein, mRNA and AAV targets, and discovered mRNA technology for antibody generation. His work at Novartis contributed to 10 clinical antibodies and proteins, which have achieved eight positive proof-of-concept trials. Earlier in his career, he served as an associate at both the Howard Hughes Medical Institute and the Children’s Hospital in Boston. Dr. Splawski acted as an assistant professor and instructor at Harvard Medical School, where he identified genes for inherited and drug-induced disorders. Dr. Splawski is the inventor on 26 patents and author of 22 research publications. Dr. Splawski holds a Ph.D. in human genetics from the University of Utah and an MSc in biotechnology from Sofia University.</w:t>
      </w:r>
    </w:p>
    <w:p>
      <w:pPr>
        <w:sectPr>
          <w:pgSz w:w="11900" w:h="16838" w:orient="portrait"/>
          <w:cols w:equalWidth="0" w:num="1">
            <w:col w:w="9879"/>
          </w:cols>
          <w:pgMar w:left="580" w:top="132" w:right="1440" w:bottom="1440" w:gutter="0" w:footer="0" w:header="0"/>
        </w:sectPr>
      </w:pPr>
    </w:p>
    <w:p>
      <w:pPr>
        <w:spacing w:after="0" w:line="36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45" w:name="page246"/>
    <w:bookmarkEnd w:id="2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right="539" w:firstLine="648"/>
        <w:spacing w:after="0" w:line="269" w:lineRule="auto"/>
        <w:rPr>
          <w:sz w:val="20"/>
          <w:szCs w:val="20"/>
          <w:color w:val="auto"/>
        </w:rPr>
      </w:pPr>
      <w:r>
        <w:rPr>
          <w:rFonts w:ascii="Arial" w:cs="Arial" w:eastAsia="Arial" w:hAnsi="Arial"/>
          <w:sz w:val="17"/>
          <w:szCs w:val="17"/>
          <w:b w:val="1"/>
          <w:bCs w:val="1"/>
          <w:color w:val="auto"/>
        </w:rPr>
        <w:t xml:space="preserve">Antony Blanc, Ph.D. </w:t>
      </w:r>
      <w:r>
        <w:rPr>
          <w:rFonts w:ascii="Arial" w:cs="Arial" w:eastAsia="Arial" w:hAnsi="Arial"/>
          <w:sz w:val="17"/>
          <w:szCs w:val="17"/>
          <w:color w:val="auto"/>
        </w:rPr>
        <w:t>is our chief business officer and our chief commercial officer since</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2020. Previously, Dr. Blanc served biotech clients in Europe as consultant and as an Associate Partner with McKinsey &amp; Company. Between 2009 and 2017, Dr. Blanc developed deep and broad cross-functional expertise in vaccines by serving in several senior roles at GSK Vaccines, including leading strategic marketing, strategic pricing, joint ventures and the integration of the Novartis Vaccines business unit. From 2000 to 2009, Dr. Blanc held leadership roles in several biotechs companies as Chief Business Officer, such as Synosia, as the Head of Biopharma at Syngenta, where he built a business unit of over 100 people focusing on biologicals and plant-made antibodies, and as VP Business Development at Synt:em. Dr. Blanc started his career at the strategy consulting firm McKinsey &amp; Company in 1994, focusing on pharma and biotech. He holds a Ph.D. in Molecular Biology (control of mRNA translation) and a BS.c. in Biochemistry from McGill University in Montreal, Canada.</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Supervisory Board</w:t>
      </w:r>
    </w:p>
    <w:p>
      <w:pPr>
        <w:spacing w:after="0" w:line="162" w:lineRule="exact"/>
        <w:rPr>
          <w:sz w:val="20"/>
          <w:szCs w:val="20"/>
          <w:color w:val="auto"/>
        </w:rPr>
      </w:pPr>
    </w:p>
    <w:p>
      <w:pPr>
        <w:ind w:left="1260" w:right="459" w:firstLine="648"/>
        <w:spacing w:after="0" w:line="259" w:lineRule="auto"/>
        <w:rPr>
          <w:sz w:val="20"/>
          <w:szCs w:val="20"/>
          <w:color w:val="auto"/>
        </w:rPr>
      </w:pPr>
      <w:r>
        <w:rPr>
          <w:rFonts w:ascii="Arial" w:cs="Arial" w:eastAsia="Arial" w:hAnsi="Arial"/>
          <w:sz w:val="18"/>
          <w:szCs w:val="18"/>
          <w:color w:val="auto"/>
        </w:rPr>
        <w:t>Our supervisory board is composed of eight members. Each supervisory director holds office for the term set by our general meeting (as set forth in the table below), except in the case of his or her earlier death, resignation or removal. Our supervisory directors do not have a retirement age requirement under our articles of association.</w:t>
      </w:r>
    </w:p>
    <w:p>
      <w:pPr>
        <w:spacing w:after="0" w:line="119" w:lineRule="exact"/>
        <w:rPr>
          <w:sz w:val="20"/>
          <w:szCs w:val="20"/>
          <w:color w:val="auto"/>
        </w:rPr>
      </w:pPr>
    </w:p>
    <w:p>
      <w:pPr>
        <w:ind w:left="1260" w:right="699" w:firstLine="648"/>
        <w:spacing w:after="0" w:line="308" w:lineRule="auto"/>
        <w:rPr>
          <w:sz w:val="20"/>
          <w:szCs w:val="20"/>
          <w:color w:val="auto"/>
        </w:rPr>
      </w:pPr>
      <w:r>
        <w:rPr>
          <w:rFonts w:ascii="Arial" w:cs="Arial" w:eastAsia="Arial" w:hAnsi="Arial"/>
          <w:sz w:val="17"/>
          <w:szCs w:val="17"/>
          <w:color w:val="auto"/>
        </w:rPr>
        <w:t>The following table sets forth the names and functions of our current supervisory directors, their ages, term served and the year of expiration of their term as supervisory directors of CureVac N.V.:</w:t>
      </w:r>
    </w:p>
    <w:p>
      <w:pPr>
        <w:spacing w:after="0" w:line="9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Year in</w:t>
            </w:r>
          </w:p>
        </w:tc>
        <w:tc>
          <w:tcPr>
            <w:tcW w:w="2580" w:type="dxa"/>
            <w:vAlign w:val="bottom"/>
          </w:tcPr>
          <w:p>
            <w:pPr>
              <w:spacing w:after="0"/>
              <w:rPr>
                <w:sz w:val="14"/>
                <w:szCs w:val="14"/>
                <w:color w:val="auto"/>
              </w:rPr>
            </w:pPr>
          </w:p>
        </w:tc>
      </w:tr>
      <w:tr>
        <w:trPr>
          <w:trHeight w:val="162"/>
        </w:trPr>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which</w:t>
            </w:r>
          </w:p>
        </w:tc>
        <w:tc>
          <w:tcPr>
            <w:tcW w:w="2580" w:type="dxa"/>
            <w:vAlign w:val="bottom"/>
          </w:tcPr>
          <w:p>
            <w:pPr>
              <w:spacing w:after="0"/>
              <w:rPr>
                <w:sz w:val="14"/>
                <w:szCs w:val="14"/>
                <w:color w:val="auto"/>
              </w:rPr>
            </w:pPr>
          </w:p>
        </w:tc>
      </w:tr>
      <w:tr>
        <w:trPr>
          <w:trHeight w:val="162"/>
        </w:trPr>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Term</w:t>
            </w:r>
          </w:p>
        </w:tc>
        <w:tc>
          <w:tcPr>
            <w:tcW w:w="2580" w:type="dxa"/>
            <w:vAlign w:val="bottom"/>
          </w:tcPr>
          <w:p>
            <w:pPr>
              <w:spacing w:after="0"/>
              <w:rPr>
                <w:sz w:val="14"/>
                <w:szCs w:val="14"/>
                <w:color w:val="auto"/>
              </w:rPr>
            </w:pPr>
          </w:p>
        </w:tc>
      </w:tr>
      <w:tr>
        <w:trPr>
          <w:trHeight w:val="186"/>
        </w:trPr>
        <w:tc>
          <w:tcPr>
            <w:tcW w:w="30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gridSpan w:val="2"/>
          </w:tcPr>
          <w:p>
            <w:pPr>
              <w:ind w:left="20"/>
              <w:spacing w:after="0"/>
              <w:rPr>
                <w:sz w:val="20"/>
                <w:szCs w:val="20"/>
                <w:color w:val="auto"/>
              </w:rPr>
            </w:pPr>
            <w:r>
              <w:rPr>
                <w:rFonts w:ascii="Arial" w:cs="Arial" w:eastAsia="Arial" w:hAnsi="Arial"/>
                <w:sz w:val="14"/>
                <w:szCs w:val="14"/>
                <w:b w:val="1"/>
                <w:bCs w:val="1"/>
                <w:color w:val="auto"/>
              </w:rPr>
              <w:t>Age</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Term Served</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Expires</w:t>
            </w:r>
          </w:p>
        </w:tc>
        <w:tc>
          <w:tcPr>
            <w:tcW w:w="2580" w:type="dxa"/>
            <w:vAlign w:val="bottom"/>
          </w:tcPr>
          <w:p>
            <w:pPr>
              <w:ind w:left="1000"/>
              <w:spacing w:after="0"/>
              <w:rPr>
                <w:sz w:val="20"/>
                <w:szCs w:val="20"/>
                <w:color w:val="auto"/>
              </w:rPr>
            </w:pPr>
            <w:r>
              <w:rPr>
                <w:rFonts w:ascii="Arial" w:cs="Arial" w:eastAsia="Arial" w:hAnsi="Arial"/>
                <w:sz w:val="14"/>
                <w:szCs w:val="14"/>
                <w:b w:val="1"/>
                <w:bCs w:val="1"/>
                <w:color w:val="auto"/>
              </w:rPr>
              <w:t>Functions</w:t>
            </w:r>
          </w:p>
        </w:tc>
      </w:tr>
      <w:tr>
        <w:trPr>
          <w:trHeight w:val="26"/>
        </w:trPr>
        <w:tc>
          <w:tcPr>
            <w:tcW w:w="2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22"/>
        </w:trPr>
        <w:tc>
          <w:tcPr>
            <w:tcW w:w="3020" w:type="dxa"/>
            <w:vAlign w:val="bottom"/>
            <w:gridSpan w:val="2"/>
          </w:tcPr>
          <w:p>
            <w:pPr>
              <w:spacing w:after="0"/>
              <w:rPr>
                <w:sz w:val="20"/>
                <w:szCs w:val="20"/>
                <w:color w:val="auto"/>
              </w:rPr>
            </w:pPr>
            <w:r>
              <w:rPr>
                <w:rFonts w:ascii="Arial" w:cs="Arial" w:eastAsia="Arial" w:hAnsi="Arial"/>
                <w:sz w:val="18"/>
                <w:szCs w:val="18"/>
                <w:color w:val="auto"/>
              </w:rPr>
              <w:t>Baron Jean Stéphenne, MSc, MBA</w:t>
            </w:r>
          </w:p>
        </w:tc>
        <w:tc>
          <w:tcPr>
            <w:tcW w:w="240" w:type="dxa"/>
            <w:vAlign w:val="bottom"/>
          </w:tcPr>
          <w:p>
            <w:pPr>
              <w:ind w:left="40"/>
              <w:spacing w:after="0"/>
              <w:rPr>
                <w:sz w:val="20"/>
                <w:szCs w:val="20"/>
                <w:color w:val="auto"/>
              </w:rPr>
            </w:pPr>
            <w:r>
              <w:rPr>
                <w:rFonts w:ascii="Arial" w:cs="Arial" w:eastAsia="Arial" w:hAnsi="Arial"/>
                <w:sz w:val="18"/>
                <w:szCs w:val="18"/>
                <w:color w:val="auto"/>
                <w:w w:val="89"/>
              </w:rPr>
              <w:t>71</w:t>
            </w:r>
          </w:p>
        </w:tc>
        <w:tc>
          <w:tcPr>
            <w:tcW w:w="120" w:type="dxa"/>
            <w:vAlign w:val="bottom"/>
          </w:tcPr>
          <w:p>
            <w:pPr>
              <w:spacing w:after="0"/>
              <w:rPr>
                <w:sz w:val="19"/>
                <w:szCs w:val="19"/>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8/2015 – Present</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12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Chairman and Supervisory</w:t>
            </w:r>
          </w:p>
        </w:tc>
      </w:tr>
      <w:tr>
        <w:trPr>
          <w:trHeight w:val="230"/>
        </w:trPr>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3020" w:type="dxa"/>
            <w:vAlign w:val="bottom"/>
            <w:gridSpan w:val="2"/>
          </w:tcPr>
          <w:p>
            <w:pPr>
              <w:spacing w:after="0"/>
              <w:rPr>
                <w:sz w:val="20"/>
                <w:szCs w:val="20"/>
                <w:color w:val="auto"/>
              </w:rPr>
            </w:pPr>
            <w:r>
              <w:rPr>
                <w:rFonts w:ascii="Arial" w:cs="Arial" w:eastAsia="Arial" w:hAnsi="Arial"/>
                <w:sz w:val="18"/>
                <w:szCs w:val="18"/>
                <w:color w:val="auto"/>
              </w:rPr>
              <w:t>Ralf Clemens, MD, Ph.D.</w:t>
            </w:r>
          </w:p>
        </w:tc>
        <w:tc>
          <w:tcPr>
            <w:tcW w:w="240" w:type="dxa"/>
            <w:vAlign w:val="bottom"/>
          </w:tcPr>
          <w:p>
            <w:pPr>
              <w:ind w:left="40"/>
              <w:spacing w:after="0"/>
              <w:rPr>
                <w:sz w:val="20"/>
                <w:szCs w:val="20"/>
                <w:color w:val="auto"/>
              </w:rPr>
            </w:pPr>
            <w:r>
              <w:rPr>
                <w:rFonts w:ascii="Arial" w:cs="Arial" w:eastAsia="Arial" w:hAnsi="Arial"/>
                <w:sz w:val="18"/>
                <w:szCs w:val="18"/>
                <w:color w:val="auto"/>
                <w:w w:val="89"/>
              </w:rPr>
              <w:t>68</w:t>
            </w:r>
          </w:p>
        </w:tc>
        <w:tc>
          <w:tcPr>
            <w:tcW w:w="120" w:type="dxa"/>
            <w:vAlign w:val="bottom"/>
          </w:tcPr>
          <w:p>
            <w:pPr>
              <w:spacing w:after="0"/>
              <w:rPr>
                <w:sz w:val="23"/>
                <w:szCs w:val="23"/>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8/2015 – Present</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120" w:type="dxa"/>
            <w:vAlign w:val="bottom"/>
          </w:tcPr>
          <w:p>
            <w:pPr>
              <w:spacing w:after="0"/>
              <w:rPr>
                <w:sz w:val="23"/>
                <w:szCs w:val="23"/>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Supervisory Director</w:t>
            </w:r>
          </w:p>
        </w:tc>
      </w:tr>
      <w:tr>
        <w:trPr>
          <w:trHeight w:val="257"/>
        </w:trPr>
        <w:tc>
          <w:tcPr>
            <w:tcW w:w="3020" w:type="dxa"/>
            <w:vAlign w:val="bottom"/>
            <w:gridSpan w:val="2"/>
          </w:tcPr>
          <w:p>
            <w:pPr>
              <w:spacing w:after="0"/>
              <w:rPr>
                <w:sz w:val="20"/>
                <w:szCs w:val="20"/>
                <w:color w:val="auto"/>
              </w:rPr>
            </w:pPr>
            <w:r>
              <w:rPr>
                <w:rFonts w:ascii="Arial" w:cs="Arial" w:eastAsia="Arial" w:hAnsi="Arial"/>
                <w:sz w:val="18"/>
                <w:szCs w:val="18"/>
                <w:color w:val="auto"/>
              </w:rPr>
              <w:t>Mathias Hothum, Ph.D.</w:t>
            </w:r>
          </w:p>
        </w:tc>
        <w:tc>
          <w:tcPr>
            <w:tcW w:w="240" w:type="dxa"/>
            <w:vAlign w:val="bottom"/>
          </w:tcPr>
          <w:p>
            <w:pPr>
              <w:ind w:left="40"/>
              <w:spacing w:after="0"/>
              <w:rPr>
                <w:sz w:val="20"/>
                <w:szCs w:val="20"/>
                <w:color w:val="auto"/>
              </w:rPr>
            </w:pPr>
            <w:r>
              <w:rPr>
                <w:rFonts w:ascii="Arial" w:cs="Arial" w:eastAsia="Arial" w:hAnsi="Arial"/>
                <w:sz w:val="18"/>
                <w:szCs w:val="18"/>
                <w:color w:val="auto"/>
                <w:w w:val="89"/>
              </w:rPr>
              <w:t>53</w:t>
            </w:r>
          </w:p>
        </w:tc>
        <w:tc>
          <w:tcPr>
            <w:tcW w:w="120" w:type="dxa"/>
            <w:vAlign w:val="bottom"/>
          </w:tcPr>
          <w:p>
            <w:pPr>
              <w:spacing w:after="0"/>
              <w:rPr>
                <w:sz w:val="22"/>
                <w:szCs w:val="22"/>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8/2015 – Present</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120" w:type="dxa"/>
            <w:vAlign w:val="bottom"/>
          </w:tcPr>
          <w:p>
            <w:pPr>
              <w:spacing w:after="0"/>
              <w:rPr>
                <w:sz w:val="22"/>
                <w:szCs w:val="22"/>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Supervisory Director</w:t>
            </w:r>
          </w:p>
        </w:tc>
      </w:tr>
      <w:tr>
        <w:trPr>
          <w:trHeight w:val="256"/>
        </w:trPr>
        <w:tc>
          <w:tcPr>
            <w:tcW w:w="3020" w:type="dxa"/>
            <w:vAlign w:val="bottom"/>
            <w:gridSpan w:val="2"/>
          </w:tcPr>
          <w:p>
            <w:pPr>
              <w:spacing w:after="0"/>
              <w:rPr>
                <w:sz w:val="20"/>
                <w:szCs w:val="20"/>
                <w:color w:val="auto"/>
              </w:rPr>
            </w:pPr>
            <w:r>
              <w:rPr>
                <w:rFonts w:ascii="Arial" w:cs="Arial" w:eastAsia="Arial" w:hAnsi="Arial"/>
                <w:sz w:val="18"/>
                <w:szCs w:val="18"/>
                <w:color w:val="auto"/>
              </w:rPr>
              <w:t>Hans Christoph Tanner, Ph.D.</w:t>
            </w:r>
          </w:p>
        </w:tc>
        <w:tc>
          <w:tcPr>
            <w:tcW w:w="240" w:type="dxa"/>
            <w:vAlign w:val="bottom"/>
          </w:tcPr>
          <w:p>
            <w:pPr>
              <w:ind w:left="40"/>
              <w:spacing w:after="0"/>
              <w:rPr>
                <w:sz w:val="20"/>
                <w:szCs w:val="20"/>
                <w:color w:val="auto"/>
              </w:rPr>
            </w:pPr>
            <w:r>
              <w:rPr>
                <w:rFonts w:ascii="Arial" w:cs="Arial" w:eastAsia="Arial" w:hAnsi="Arial"/>
                <w:sz w:val="18"/>
                <w:szCs w:val="18"/>
                <w:color w:val="auto"/>
                <w:w w:val="89"/>
              </w:rPr>
              <w:t>69</w:t>
            </w:r>
          </w:p>
        </w:tc>
        <w:tc>
          <w:tcPr>
            <w:tcW w:w="120" w:type="dxa"/>
            <w:vAlign w:val="bottom"/>
          </w:tcPr>
          <w:p>
            <w:pPr>
              <w:spacing w:after="0"/>
              <w:rPr>
                <w:sz w:val="22"/>
                <w:szCs w:val="22"/>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8/2015 – Present</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120" w:type="dxa"/>
            <w:vAlign w:val="bottom"/>
          </w:tcPr>
          <w:p>
            <w:pPr>
              <w:spacing w:after="0"/>
              <w:rPr>
                <w:sz w:val="22"/>
                <w:szCs w:val="22"/>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Supervisory Director</w:t>
            </w:r>
          </w:p>
        </w:tc>
      </w:tr>
      <w:tr>
        <w:trPr>
          <w:trHeight w:val="229"/>
        </w:trPr>
        <w:tc>
          <w:tcPr>
            <w:tcW w:w="3020" w:type="dxa"/>
            <w:vAlign w:val="bottom"/>
            <w:gridSpan w:val="2"/>
          </w:tcPr>
          <w:p>
            <w:pPr>
              <w:spacing w:after="0"/>
              <w:rPr>
                <w:sz w:val="20"/>
                <w:szCs w:val="20"/>
                <w:color w:val="auto"/>
              </w:rPr>
            </w:pPr>
            <w:r>
              <w:rPr>
                <w:rFonts w:ascii="Arial" w:cs="Arial" w:eastAsia="Arial" w:hAnsi="Arial"/>
                <w:sz w:val="18"/>
                <w:szCs w:val="18"/>
                <w:color w:val="auto"/>
              </w:rPr>
              <w:t>Friedrich von Bohlen und Halbach,</w:t>
            </w:r>
          </w:p>
        </w:tc>
        <w:tc>
          <w:tcPr>
            <w:tcW w:w="240" w:type="dxa"/>
            <w:vAlign w:val="bottom"/>
          </w:tcPr>
          <w:p>
            <w:pPr>
              <w:ind w:left="40"/>
              <w:spacing w:after="0"/>
              <w:rPr>
                <w:sz w:val="20"/>
                <w:szCs w:val="20"/>
                <w:color w:val="auto"/>
              </w:rPr>
            </w:pPr>
            <w:r>
              <w:rPr>
                <w:rFonts w:ascii="Arial" w:cs="Arial" w:eastAsia="Arial" w:hAnsi="Arial"/>
                <w:sz w:val="18"/>
                <w:szCs w:val="18"/>
                <w:color w:val="auto"/>
                <w:w w:val="89"/>
              </w:rPr>
              <w:t>58</w:t>
            </w:r>
          </w:p>
        </w:tc>
        <w:tc>
          <w:tcPr>
            <w:tcW w:w="120" w:type="dxa"/>
            <w:vAlign w:val="bottom"/>
          </w:tcPr>
          <w:p>
            <w:pPr>
              <w:spacing w:after="0"/>
              <w:rPr>
                <w:sz w:val="19"/>
                <w:szCs w:val="19"/>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8/2015 – Present</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2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Vice Chairman and Supervisory</w:t>
            </w:r>
          </w:p>
        </w:tc>
      </w:tr>
      <w:tr>
        <w:trPr>
          <w:trHeight w:val="271"/>
        </w:trPr>
        <w:tc>
          <w:tcPr>
            <w:tcW w:w="3020" w:type="dxa"/>
            <w:vAlign w:val="bottom"/>
            <w:gridSpan w:val="2"/>
          </w:tcPr>
          <w:p>
            <w:pPr>
              <w:spacing w:after="0"/>
              <w:rPr>
                <w:sz w:val="20"/>
                <w:szCs w:val="20"/>
                <w:color w:val="auto"/>
              </w:rPr>
            </w:pPr>
            <w:r>
              <w:rPr>
                <w:rFonts w:ascii="Arial" w:cs="Arial" w:eastAsia="Arial" w:hAnsi="Arial"/>
                <w:sz w:val="18"/>
                <w:szCs w:val="18"/>
                <w:color w:val="auto"/>
              </w:rPr>
              <w:t>Ph.D.</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Director</w:t>
            </w:r>
          </w:p>
        </w:tc>
      </w:tr>
      <w:tr>
        <w:trPr>
          <w:trHeight w:val="284"/>
        </w:trPr>
        <w:tc>
          <w:tcPr>
            <w:tcW w:w="3020" w:type="dxa"/>
            <w:vAlign w:val="bottom"/>
            <w:gridSpan w:val="2"/>
          </w:tcPr>
          <w:p>
            <w:pPr>
              <w:spacing w:after="0"/>
              <w:rPr>
                <w:sz w:val="20"/>
                <w:szCs w:val="20"/>
                <w:color w:val="auto"/>
              </w:rPr>
            </w:pPr>
            <w:r>
              <w:rPr>
                <w:rFonts w:ascii="Arial" w:cs="Arial" w:eastAsia="Arial" w:hAnsi="Arial"/>
                <w:sz w:val="18"/>
                <w:szCs w:val="18"/>
                <w:color w:val="auto"/>
              </w:rPr>
              <w:t>Timothy M. Wright, MD</w:t>
            </w:r>
          </w:p>
        </w:tc>
        <w:tc>
          <w:tcPr>
            <w:tcW w:w="240" w:type="dxa"/>
            <w:vAlign w:val="bottom"/>
          </w:tcPr>
          <w:p>
            <w:pPr>
              <w:ind w:left="40"/>
              <w:spacing w:after="0"/>
              <w:rPr>
                <w:sz w:val="20"/>
                <w:szCs w:val="20"/>
                <w:color w:val="auto"/>
              </w:rPr>
            </w:pPr>
            <w:r>
              <w:rPr>
                <w:rFonts w:ascii="Arial" w:cs="Arial" w:eastAsia="Arial" w:hAnsi="Arial"/>
                <w:sz w:val="18"/>
                <w:szCs w:val="18"/>
                <w:color w:val="auto"/>
                <w:w w:val="89"/>
              </w:rPr>
              <w:t>65</w:t>
            </w:r>
          </w:p>
        </w:tc>
        <w:tc>
          <w:tcPr>
            <w:tcW w:w="120" w:type="dxa"/>
            <w:vAlign w:val="bottom"/>
          </w:tcPr>
          <w:p>
            <w:pPr>
              <w:spacing w:after="0"/>
              <w:rPr>
                <w:sz w:val="24"/>
                <w:szCs w:val="24"/>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6/2019 – Present</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20" w:type="dxa"/>
            <w:vAlign w:val="bottom"/>
          </w:tcPr>
          <w:p>
            <w:pPr>
              <w:spacing w:after="0"/>
              <w:rPr>
                <w:sz w:val="24"/>
                <w:szCs w:val="24"/>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Supervisory Director</w:t>
            </w:r>
          </w:p>
        </w:tc>
      </w:tr>
      <w:tr>
        <w:trPr>
          <w:trHeight w:val="256"/>
        </w:trPr>
        <w:tc>
          <w:tcPr>
            <w:tcW w:w="3020" w:type="dxa"/>
            <w:vAlign w:val="bottom"/>
            <w:gridSpan w:val="2"/>
          </w:tcPr>
          <w:p>
            <w:pPr>
              <w:spacing w:after="0"/>
              <w:rPr>
                <w:sz w:val="20"/>
                <w:szCs w:val="20"/>
                <w:color w:val="auto"/>
              </w:rPr>
            </w:pPr>
            <w:r>
              <w:rPr>
                <w:rFonts w:ascii="Arial" w:cs="Arial" w:eastAsia="Arial" w:hAnsi="Arial"/>
                <w:sz w:val="18"/>
                <w:szCs w:val="18"/>
                <w:color w:val="auto"/>
              </w:rPr>
              <w:t>Craig A. Tooman, MBA</w:t>
            </w:r>
          </w:p>
        </w:tc>
        <w:tc>
          <w:tcPr>
            <w:tcW w:w="240" w:type="dxa"/>
            <w:vAlign w:val="bottom"/>
          </w:tcPr>
          <w:p>
            <w:pPr>
              <w:ind w:left="40"/>
              <w:spacing w:after="0"/>
              <w:rPr>
                <w:sz w:val="20"/>
                <w:szCs w:val="20"/>
                <w:color w:val="auto"/>
              </w:rPr>
            </w:pPr>
            <w:r>
              <w:rPr>
                <w:rFonts w:ascii="Arial" w:cs="Arial" w:eastAsia="Arial" w:hAnsi="Arial"/>
                <w:sz w:val="18"/>
                <w:szCs w:val="18"/>
                <w:color w:val="auto"/>
                <w:w w:val="89"/>
              </w:rPr>
              <w:t>55</w:t>
            </w:r>
          </w:p>
        </w:tc>
        <w:tc>
          <w:tcPr>
            <w:tcW w:w="120" w:type="dxa"/>
            <w:vAlign w:val="bottom"/>
          </w:tcPr>
          <w:p>
            <w:pPr>
              <w:spacing w:after="0"/>
              <w:rPr>
                <w:sz w:val="22"/>
                <w:szCs w:val="22"/>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6/2019 – Present</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20" w:type="dxa"/>
            <w:vAlign w:val="bottom"/>
          </w:tcPr>
          <w:p>
            <w:pPr>
              <w:spacing w:after="0"/>
              <w:rPr>
                <w:sz w:val="22"/>
                <w:szCs w:val="22"/>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Supervisory Director</w:t>
            </w:r>
          </w:p>
        </w:tc>
      </w:tr>
      <w:tr>
        <w:trPr>
          <w:trHeight w:val="257"/>
        </w:trPr>
        <w:tc>
          <w:tcPr>
            <w:tcW w:w="3020" w:type="dxa"/>
            <w:vAlign w:val="bottom"/>
            <w:gridSpan w:val="2"/>
          </w:tcPr>
          <w:p>
            <w:pPr>
              <w:spacing w:after="0"/>
              <w:rPr>
                <w:sz w:val="20"/>
                <w:szCs w:val="20"/>
                <w:color w:val="auto"/>
              </w:rPr>
            </w:pPr>
            <w:r>
              <w:rPr>
                <w:rFonts w:ascii="Arial" w:cs="Arial" w:eastAsia="Arial" w:hAnsi="Arial"/>
                <w:sz w:val="18"/>
                <w:szCs w:val="18"/>
                <w:color w:val="auto"/>
              </w:rPr>
              <w:t>Viola Bronsema, Ph.D.</w:t>
            </w:r>
          </w:p>
        </w:tc>
        <w:tc>
          <w:tcPr>
            <w:tcW w:w="240" w:type="dxa"/>
            <w:vAlign w:val="bottom"/>
          </w:tcPr>
          <w:p>
            <w:pPr>
              <w:ind w:left="40"/>
              <w:spacing w:after="0"/>
              <w:rPr>
                <w:sz w:val="20"/>
                <w:szCs w:val="20"/>
                <w:color w:val="auto"/>
              </w:rPr>
            </w:pPr>
            <w:r>
              <w:rPr>
                <w:rFonts w:ascii="Arial" w:cs="Arial" w:eastAsia="Arial" w:hAnsi="Arial"/>
                <w:sz w:val="18"/>
                <w:szCs w:val="18"/>
                <w:color w:val="auto"/>
                <w:w w:val="89"/>
              </w:rPr>
              <w:t>57</w:t>
            </w:r>
          </w:p>
        </w:tc>
        <w:tc>
          <w:tcPr>
            <w:tcW w:w="120" w:type="dxa"/>
            <w:vAlign w:val="bottom"/>
          </w:tcPr>
          <w:p>
            <w:pPr>
              <w:spacing w:after="0"/>
              <w:rPr>
                <w:sz w:val="22"/>
                <w:szCs w:val="22"/>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8/2020 – Present</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120" w:type="dxa"/>
            <w:vAlign w:val="bottom"/>
          </w:tcPr>
          <w:p>
            <w:pPr>
              <w:spacing w:after="0"/>
              <w:rPr>
                <w:sz w:val="22"/>
                <w:szCs w:val="22"/>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Supervisory Director</w:t>
            </w:r>
          </w:p>
        </w:tc>
      </w:tr>
    </w:tbl>
    <w:p>
      <w:pPr>
        <w:spacing w:after="0" w:line="134" w:lineRule="exact"/>
        <w:rPr>
          <w:sz w:val="20"/>
          <w:szCs w:val="20"/>
          <w:color w:val="auto"/>
        </w:rPr>
      </w:pPr>
    </w:p>
    <w:p>
      <w:pPr>
        <w:ind w:left="1260" w:right="479" w:firstLine="648"/>
        <w:spacing w:after="0" w:line="259" w:lineRule="auto"/>
        <w:rPr>
          <w:sz w:val="20"/>
          <w:szCs w:val="20"/>
          <w:color w:val="auto"/>
        </w:rPr>
      </w:pPr>
      <w:r>
        <w:rPr>
          <w:rFonts w:ascii="Arial" w:cs="Arial" w:eastAsia="Arial" w:hAnsi="Arial"/>
          <w:sz w:val="18"/>
          <w:szCs w:val="18"/>
          <w:color w:val="auto"/>
        </w:rPr>
        <w:t>The following is a brief summary of the prior business experience and principal business activities performed outside of CureVac of our supervisory directors. Unless otherwise indicated, the current business addresses for each of the our supervisory directors is Friedrich-Miescher-Strasse 15, 72076 Tübingen, Germany.</w:t>
      </w:r>
    </w:p>
    <w:p>
      <w:pPr>
        <w:spacing w:after="0" w:line="102" w:lineRule="exact"/>
        <w:rPr>
          <w:sz w:val="20"/>
          <w:szCs w:val="20"/>
          <w:color w:val="auto"/>
        </w:rPr>
      </w:pPr>
    </w:p>
    <w:p>
      <w:pPr>
        <w:ind w:left="1260" w:right="519" w:firstLine="648"/>
        <w:spacing w:after="0" w:line="272" w:lineRule="auto"/>
        <w:rPr>
          <w:sz w:val="20"/>
          <w:szCs w:val="20"/>
          <w:color w:val="auto"/>
        </w:rPr>
      </w:pPr>
      <w:r>
        <w:rPr>
          <w:rFonts w:ascii="Arial" w:cs="Arial" w:eastAsia="Arial" w:hAnsi="Arial"/>
          <w:sz w:val="17"/>
          <w:szCs w:val="17"/>
          <w:b w:val="1"/>
          <w:bCs w:val="1"/>
          <w:color w:val="auto"/>
        </w:rPr>
        <w:t xml:space="preserve">Baron Jean Stéphenne, MSc, MBA </w:t>
      </w:r>
      <w:r>
        <w:rPr>
          <w:rFonts w:ascii="Arial" w:cs="Arial" w:eastAsia="Arial" w:hAnsi="Arial"/>
          <w:sz w:val="17"/>
          <w:szCs w:val="17"/>
          <w:color w:val="auto"/>
        </w:rPr>
        <w:t>has served as a supervisory director since 2015. Since 2018</w:t>
      </w:r>
      <w:r>
        <w:rPr>
          <w:rFonts w:ascii="Arial" w:cs="Arial" w:eastAsia="Arial" w:hAnsi="Arial"/>
          <w:sz w:val="17"/>
          <w:szCs w:val="17"/>
          <w:b w:val="1"/>
          <w:bCs w:val="1"/>
          <w:color w:val="auto"/>
        </w:rPr>
        <w:t xml:space="preserve"> </w:t>
      </w:r>
      <w:r>
        <w:rPr>
          <w:rFonts w:ascii="Arial" w:cs="Arial" w:eastAsia="Arial" w:hAnsi="Arial"/>
          <w:sz w:val="17"/>
          <w:szCs w:val="17"/>
          <w:color w:val="auto"/>
        </w:rPr>
        <w:t>Mr. Stéphenne serves as the Chairman of the board at Bone Therapeutics. Mr. Stéphenne was the CEO of GSK Biologicals from 1989 until 2012 and the President of GSK Biologicals from 2002 until 2012, where he was instrumental in building one of the world’s leading vaccine companies. In 1974, Mr. Stéphenne joined SmithKline-Rit, as engineer in biology in research and development. He also served as the President of UWE (Union Wallonne des Entreprises) from 1997 until 2000. Mr. Stéphenne was the chairman of BESIX Group S.A./N.V. and TiGenix N.V., IBA Wallonia Foreign Trade and Investment Agency, Henogen S.A., Aseptic Technologies. He was also a director of Fortis bank, GBL and Bone Therapeutics.</w:t>
      </w:r>
    </w:p>
    <w:p>
      <w:pPr>
        <w:spacing w:after="0" w:line="104" w:lineRule="exact"/>
        <w:rPr>
          <w:sz w:val="20"/>
          <w:szCs w:val="20"/>
          <w:color w:val="auto"/>
        </w:rPr>
      </w:pPr>
    </w:p>
    <w:p>
      <w:pPr>
        <w:ind w:left="1260" w:right="579" w:firstLine="648"/>
        <w:spacing w:after="0" w:line="276" w:lineRule="auto"/>
        <w:rPr>
          <w:sz w:val="20"/>
          <w:szCs w:val="20"/>
          <w:color w:val="auto"/>
        </w:rPr>
      </w:pPr>
      <w:r>
        <w:rPr>
          <w:rFonts w:ascii="Arial" w:cs="Arial" w:eastAsia="Arial" w:hAnsi="Arial"/>
          <w:sz w:val="17"/>
          <w:szCs w:val="17"/>
          <w:b w:val="1"/>
          <w:bCs w:val="1"/>
          <w:color w:val="auto"/>
        </w:rPr>
        <w:t xml:space="preserve">Ralf Clemens, MD, Ph.D. </w:t>
      </w:r>
      <w:r>
        <w:rPr>
          <w:rFonts w:ascii="Arial" w:cs="Arial" w:eastAsia="Arial" w:hAnsi="Arial"/>
          <w:sz w:val="17"/>
          <w:szCs w:val="17"/>
          <w:color w:val="auto"/>
        </w:rPr>
        <w:t>has served as a supervisory director since 2015. Dr. Clemens is principal</w:t>
      </w:r>
      <w:r>
        <w:rPr>
          <w:rFonts w:ascii="Arial" w:cs="Arial" w:eastAsia="Arial" w:hAnsi="Arial"/>
          <w:sz w:val="17"/>
          <w:szCs w:val="17"/>
          <w:b w:val="1"/>
          <w:bCs w:val="1"/>
          <w:color w:val="auto"/>
        </w:rPr>
        <w:t xml:space="preserve"> </w:t>
      </w:r>
      <w:r>
        <w:rPr>
          <w:rFonts w:ascii="Arial" w:cs="Arial" w:eastAsia="Arial" w:hAnsi="Arial"/>
          <w:sz w:val="17"/>
          <w:szCs w:val="17"/>
          <w:color w:val="auto"/>
        </w:rPr>
        <w:t>and founder of Grid Europe Ltd. Consulting (Global Research in Infectious Diseases) since 2015.</w:t>
      </w:r>
    </w:p>
    <w:p>
      <w:pPr>
        <w:spacing w:after="0" w:line="1" w:lineRule="exact"/>
        <w:rPr>
          <w:sz w:val="20"/>
          <w:szCs w:val="20"/>
          <w:color w:val="auto"/>
        </w:rPr>
      </w:pPr>
    </w:p>
    <w:p>
      <w:pPr>
        <w:jc w:val="both"/>
        <w:ind w:left="1260" w:right="639"/>
        <w:spacing w:after="0" w:line="277" w:lineRule="auto"/>
        <w:rPr>
          <w:sz w:val="20"/>
          <w:szCs w:val="20"/>
          <w:color w:val="auto"/>
        </w:rPr>
      </w:pPr>
      <w:r>
        <w:rPr>
          <w:rFonts w:ascii="Arial" w:cs="Arial" w:eastAsia="Arial" w:hAnsi="Arial"/>
          <w:sz w:val="17"/>
          <w:szCs w:val="17"/>
          <w:color w:val="auto"/>
        </w:rPr>
        <w:t>Dr. Clemens has been working in the pharmaceutical industry since 1988 in various senior scientific and business positions. He led the global vaccine development at Novartis from 2006 until 2012. Prior to this position, Dr. Clemens served as a Senior Vice President and Head of Development for the Global Vaccine</w:t>
      </w:r>
    </w:p>
    <w:p>
      <w:pPr>
        <w:sectPr>
          <w:pgSz w:w="11900" w:h="16838" w:orient="portrait"/>
          <w:cols w:equalWidth="0" w:num="1">
            <w:col w:w="9879"/>
          </w:cols>
          <w:pgMar w:left="580" w:top="132" w:right="1440" w:bottom="1440" w:gutter="0" w:footer="0" w:header="0"/>
        </w:sectPr>
      </w:pPr>
    </w:p>
    <w:p>
      <w:pPr>
        <w:spacing w:after="0" w:line="348"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46" w:name="page247"/>
    <w:bookmarkEnd w:id="2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599"/>
        <w:spacing w:after="0" w:line="238" w:lineRule="auto"/>
        <w:rPr>
          <w:sz w:val="20"/>
          <w:szCs w:val="20"/>
          <w:color w:val="auto"/>
        </w:rPr>
      </w:pPr>
      <w:r>
        <w:rPr>
          <w:rFonts w:ascii="Arial" w:cs="Arial" w:eastAsia="Arial" w:hAnsi="Arial"/>
          <w:sz w:val="18"/>
          <w:szCs w:val="18"/>
          <w:color w:val="auto"/>
        </w:rPr>
        <w:t>Business Unit at Takeda Pharmaceuticals International, Inc. from 2012 until 2014 and as the Head of GSK Biologicals’ vaccine development and Latin American business strategy from 1992 until 2006. During these years, Mr. Clemens developed and brought to licensure more than 25 different vaccines globally. He currently serves as a Member of the Board of Trustees of the International Vaccine Institute IVI in Seoul, Korea and as external scientific advisor to the Bill &amp; Melinda Gates Foundation. He is a member of the Selection Committee of GHIT Tokyo, Japan and a member of the Scientific Committee of CEPI, Oslo, Norway. He graduated with an M.D. from the University of Mainz, Germany and holds an executive business degree from the Wharton Business School.</w:t>
      </w:r>
    </w:p>
    <w:p>
      <w:pPr>
        <w:spacing w:after="0" w:line="122" w:lineRule="exact"/>
        <w:rPr>
          <w:sz w:val="20"/>
          <w:szCs w:val="20"/>
          <w:color w:val="auto"/>
        </w:rPr>
      </w:pPr>
    </w:p>
    <w:p>
      <w:pPr>
        <w:ind w:left="1260" w:right="619" w:firstLine="648"/>
        <w:spacing w:after="0" w:line="252" w:lineRule="auto"/>
        <w:rPr>
          <w:sz w:val="20"/>
          <w:szCs w:val="20"/>
          <w:color w:val="auto"/>
        </w:rPr>
      </w:pPr>
      <w:r>
        <w:rPr>
          <w:rFonts w:ascii="Arial" w:cs="Arial" w:eastAsia="Arial" w:hAnsi="Arial"/>
          <w:sz w:val="17"/>
          <w:szCs w:val="17"/>
          <w:b w:val="1"/>
          <w:bCs w:val="1"/>
          <w:color w:val="auto"/>
        </w:rPr>
        <w:t xml:space="preserve">Mathias Hothum, Ph.D. </w:t>
      </w:r>
      <w:r>
        <w:rPr>
          <w:rFonts w:ascii="Arial" w:cs="Arial" w:eastAsia="Arial" w:hAnsi="Arial"/>
          <w:sz w:val="17"/>
          <w:szCs w:val="17"/>
          <w:color w:val="auto"/>
        </w:rPr>
        <w:t>has served as a supervisory director since 2015. Dr. Hothum is the</w:t>
      </w:r>
      <w:r>
        <w:rPr>
          <w:rFonts w:ascii="Arial" w:cs="Arial" w:eastAsia="Arial" w:hAnsi="Arial"/>
          <w:sz w:val="17"/>
          <w:szCs w:val="17"/>
          <w:b w:val="1"/>
          <w:bCs w:val="1"/>
          <w:color w:val="auto"/>
        </w:rPr>
        <w:t xml:space="preserve"> </w:t>
      </w:r>
      <w:r>
        <w:rPr>
          <w:rFonts w:ascii="Arial" w:cs="Arial" w:eastAsia="Arial" w:hAnsi="Arial"/>
          <w:sz w:val="17"/>
          <w:szCs w:val="17"/>
          <w:color w:val="auto"/>
        </w:rPr>
        <w:t>managing director of dievini Hopp BioTech holding GmbH &amp; Co. KG, or dievini. dievini manages the biotech investments of SAP co-founder Dietmar Hopp. For the past 25 years, Dr. Hothum has worked as a health economist in the healthcare, health services and life sciences sectors. Dr. Hothum specializes in financing, pricing, reimbursement and in the evaluation of mid-sized companies, as well as of publicly owned/ market-listed companies. He is the owner and founder of HMM-Consulting. Furthermore,</w:t>
      </w:r>
    </w:p>
    <w:p>
      <w:pPr>
        <w:spacing w:after="0" w:line="4" w:lineRule="exact"/>
        <w:rPr>
          <w:sz w:val="20"/>
          <w:szCs w:val="20"/>
          <w:color w:val="auto"/>
        </w:rPr>
      </w:pPr>
    </w:p>
    <w:p>
      <w:pPr>
        <w:ind w:left="1260" w:right="519"/>
        <w:spacing w:after="0" w:line="238" w:lineRule="auto"/>
        <w:rPr>
          <w:sz w:val="20"/>
          <w:szCs w:val="20"/>
          <w:color w:val="auto"/>
        </w:rPr>
      </w:pPr>
      <w:r>
        <w:rPr>
          <w:rFonts w:ascii="Arial" w:cs="Arial" w:eastAsia="Arial" w:hAnsi="Arial"/>
          <w:sz w:val="18"/>
          <w:szCs w:val="18"/>
          <w:color w:val="auto"/>
        </w:rPr>
        <w:t>Dr. Hothum serves as a supervisory director of a few biotech companies, including Heidelberg Pharma AG, Apogenix GmbH, Cytonet GmbH, Novaliq GmbH, Molecular Health GmbH and Joimax GmbH. He received his Ph.D. in economics from the University of Magdeburg and degree in Economics from the University of Mannheim.</w:t>
      </w:r>
    </w:p>
    <w:p>
      <w:pPr>
        <w:spacing w:after="0" w:line="117" w:lineRule="exact"/>
        <w:rPr>
          <w:sz w:val="20"/>
          <w:szCs w:val="20"/>
          <w:color w:val="auto"/>
        </w:rPr>
      </w:pPr>
    </w:p>
    <w:p>
      <w:pPr>
        <w:ind w:left="1260" w:right="459" w:firstLine="648"/>
        <w:spacing w:after="0" w:line="252" w:lineRule="auto"/>
        <w:rPr>
          <w:sz w:val="20"/>
          <w:szCs w:val="20"/>
          <w:color w:val="auto"/>
        </w:rPr>
      </w:pPr>
      <w:r>
        <w:rPr>
          <w:rFonts w:ascii="Arial" w:cs="Arial" w:eastAsia="Arial" w:hAnsi="Arial"/>
          <w:sz w:val="17"/>
          <w:szCs w:val="17"/>
          <w:b w:val="1"/>
          <w:bCs w:val="1"/>
          <w:color w:val="auto"/>
        </w:rPr>
        <w:t xml:space="preserve">Hans Christoph Tanner, Ph.D. </w:t>
      </w:r>
      <w:r>
        <w:rPr>
          <w:rFonts w:ascii="Arial" w:cs="Arial" w:eastAsia="Arial" w:hAnsi="Arial"/>
          <w:sz w:val="17"/>
          <w:szCs w:val="17"/>
          <w:color w:val="auto"/>
        </w:rPr>
        <w:t>has served as a supervisory director since 2015. Dr. Tanner served as</w:t>
      </w:r>
      <w:r>
        <w:rPr>
          <w:rFonts w:ascii="Arial" w:cs="Arial" w:eastAsia="Arial" w:hAnsi="Arial"/>
          <w:sz w:val="17"/>
          <w:szCs w:val="17"/>
          <w:b w:val="1"/>
          <w:bCs w:val="1"/>
          <w:color w:val="auto"/>
        </w:rPr>
        <w:t xml:space="preserve"> </w:t>
      </w:r>
      <w:r>
        <w:rPr>
          <w:rFonts w:ascii="Arial" w:cs="Arial" w:eastAsia="Arial" w:hAnsi="Arial"/>
          <w:sz w:val="17"/>
          <w:szCs w:val="17"/>
          <w:color w:val="auto"/>
        </w:rPr>
        <w:t>the chief financial officer and head of investor relations of Cassiopea S.p.A. from 2015 until December 31, 2020. He served as Cosmo Pharmaceuticals N.V.’s chief financial officer from 2006 until 2016, head of investor relations from 2006 until 2017 and head of transactions office from 2017-2020. Dr. Tanner has also served as a board member of Cosmo Pharmaceuticals N.V. since 2006, where in 2020 he became a Non-Executive Director. Dr. Tanner is also a member of the supervisory board or advisory board (Beirat) of DKSH AG, Paion AG since 2017, Qvanteq AG since 2011, and Joimax GmbH since 2003. He received his Ph.D. in economics and a diploma as an economist from the University of St. Gallen. From 1998 to 2001 he was a partner of Dr. Ernst Mueller-Moehl and co-founder of the 20 Minuten group of newspapers and founded A&amp;A Active Investor, a SIX listed investment company. From 1992 to 1998 Dr. Tanner was the head of corporate finance &amp; capital markets of UBS in Zurich and from 1976 to 1991 he had various functions in the Corporate Banking Department of UBS in Zurich, Madrid and Los Angeles.</w:t>
      </w:r>
    </w:p>
    <w:p>
      <w:pPr>
        <w:spacing w:after="0" w:line="102" w:lineRule="exact"/>
        <w:rPr>
          <w:sz w:val="20"/>
          <w:szCs w:val="20"/>
          <w:color w:val="auto"/>
        </w:rPr>
      </w:pPr>
    </w:p>
    <w:p>
      <w:pPr>
        <w:ind w:left="1260" w:right="419" w:firstLine="648"/>
        <w:spacing w:after="0" w:line="253" w:lineRule="auto"/>
        <w:rPr>
          <w:sz w:val="20"/>
          <w:szCs w:val="20"/>
          <w:color w:val="auto"/>
        </w:rPr>
      </w:pPr>
      <w:r>
        <w:rPr>
          <w:rFonts w:ascii="Arial" w:cs="Arial" w:eastAsia="Arial" w:hAnsi="Arial"/>
          <w:sz w:val="17"/>
          <w:szCs w:val="17"/>
          <w:b w:val="1"/>
          <w:bCs w:val="1"/>
          <w:color w:val="auto"/>
        </w:rPr>
        <w:t xml:space="preserve">Friedrich von Bohlen und Halbach, Ph.D. </w:t>
      </w:r>
      <w:r>
        <w:rPr>
          <w:rFonts w:ascii="Arial" w:cs="Arial" w:eastAsia="Arial" w:hAnsi="Arial"/>
          <w:sz w:val="17"/>
          <w:szCs w:val="17"/>
          <w:color w:val="auto"/>
        </w:rPr>
        <w:t>has served as a supervisory director since 2015. Dr. von</w:t>
      </w:r>
      <w:r>
        <w:rPr>
          <w:rFonts w:ascii="Arial" w:cs="Arial" w:eastAsia="Arial" w:hAnsi="Arial"/>
          <w:sz w:val="17"/>
          <w:szCs w:val="17"/>
          <w:b w:val="1"/>
          <w:bCs w:val="1"/>
          <w:color w:val="auto"/>
        </w:rPr>
        <w:t xml:space="preserve"> </w:t>
      </w:r>
      <w:r>
        <w:rPr>
          <w:rFonts w:ascii="Arial" w:cs="Arial" w:eastAsia="Arial" w:hAnsi="Arial"/>
          <w:sz w:val="17"/>
          <w:szCs w:val="17"/>
          <w:color w:val="auto"/>
        </w:rPr>
        <w:t>Bohlen und Halbach is the managing partner and co-founder of dievini. dievini manages the life science activities and investments of Dietmar Hopp, co-founder of SAP, and his family. Between 1992 to 1997 he held various positions at Fresenius AG, FAG Kugelfischer KGaA and WASAG Chemie AG. In 1997, Dr. von Bohlen und Halbach founded LION bioscience, AG and served as its CEO until 2003. He is chairman of the Board of Apogenix AG and Novaliq GmbH, and board member of AC Immune SA, CureVac AG, immatics biotechnologies GmbH, Heidelberg Pharma AG and Co-Chair of the Evaluation Board of the Wyss Translational Center Zurich. Friedrich is also co -founder and managing director of Molecular Health GmbH. Dr. von Bohlen und Halbach received his Ph.D. in neurobiology from the Swiss Federal Institute of Technology (ETH) in Zurich and a diploma in biochemistry from the University of Zurich.</w:t>
      </w:r>
    </w:p>
    <w:p>
      <w:pPr>
        <w:spacing w:after="0" w:line="113" w:lineRule="exact"/>
        <w:rPr>
          <w:sz w:val="20"/>
          <w:szCs w:val="20"/>
          <w:color w:val="auto"/>
        </w:rPr>
      </w:pPr>
    </w:p>
    <w:p>
      <w:pPr>
        <w:ind w:left="1260" w:right="539" w:firstLine="648"/>
        <w:spacing w:after="0" w:line="260" w:lineRule="auto"/>
        <w:rPr>
          <w:sz w:val="20"/>
          <w:szCs w:val="20"/>
          <w:color w:val="auto"/>
        </w:rPr>
      </w:pPr>
      <w:r>
        <w:rPr>
          <w:rFonts w:ascii="Arial" w:cs="Arial" w:eastAsia="Arial" w:hAnsi="Arial"/>
          <w:sz w:val="17"/>
          <w:szCs w:val="17"/>
          <w:b w:val="1"/>
          <w:bCs w:val="1"/>
          <w:color w:val="auto"/>
        </w:rPr>
        <w:t xml:space="preserve">Timothy M. Wright, MD </w:t>
      </w:r>
      <w:r>
        <w:rPr>
          <w:rFonts w:ascii="Arial" w:cs="Arial" w:eastAsia="Arial" w:hAnsi="Arial"/>
          <w:sz w:val="17"/>
          <w:szCs w:val="17"/>
          <w:color w:val="auto"/>
        </w:rPr>
        <w:t>has served as a supervisory director since 2019. Since 2019, Dr. Wright is</w:t>
      </w:r>
      <w:r>
        <w:rPr>
          <w:rFonts w:ascii="Arial" w:cs="Arial" w:eastAsia="Arial" w:hAnsi="Arial"/>
          <w:sz w:val="17"/>
          <w:szCs w:val="17"/>
          <w:b w:val="1"/>
          <w:bCs w:val="1"/>
          <w:color w:val="auto"/>
        </w:rPr>
        <w:t xml:space="preserve"> </w:t>
      </w:r>
      <w:r>
        <w:rPr>
          <w:rFonts w:ascii="Arial" w:cs="Arial" w:eastAsia="Arial" w:hAnsi="Arial"/>
          <w:sz w:val="17"/>
          <w:szCs w:val="17"/>
          <w:color w:val="auto"/>
        </w:rPr>
        <w:t>a General Partner at TIME BioVentures, and has also served as director of Schrodinger since 2015.</w:t>
      </w:r>
    </w:p>
    <w:p>
      <w:pPr>
        <w:spacing w:after="0" w:line="1" w:lineRule="exact"/>
        <w:rPr>
          <w:sz w:val="20"/>
          <w:szCs w:val="20"/>
          <w:color w:val="auto"/>
        </w:rPr>
      </w:pPr>
    </w:p>
    <w:p>
      <w:pPr>
        <w:ind w:left="1260" w:right="439"/>
        <w:spacing w:after="0" w:line="235" w:lineRule="auto"/>
        <w:rPr>
          <w:sz w:val="20"/>
          <w:szCs w:val="20"/>
          <w:color w:val="auto"/>
        </w:rPr>
      </w:pPr>
      <w:r>
        <w:rPr>
          <w:rFonts w:ascii="Arial" w:cs="Arial" w:eastAsia="Arial" w:hAnsi="Arial"/>
          <w:sz w:val="18"/>
          <w:szCs w:val="18"/>
          <w:color w:val="auto"/>
        </w:rPr>
        <w:t>Dr. Wright served as the Chief Research and Development Officer for Regulus Therapeutics from 2016 until 2019. Prior to Regulus, he served as Executive Vice President of Translational Science at California Institute for Biomedical Research Between from 2015 until 2016. Between 2004 to 2014, Dr. Wright held positions of increasing importance at Novartis and Novartis Institute for Biomedical Research, culminating as Global Head of Pharma Development. He also served in roles of increasing importance at Pfizer, ultimately as Senior Director, Clinical Sciences / Clinical Exploratory Head — Inflammation between 2001 until 2004. Dr. Wright was Assistant Professor, Associate Professor with tenure, Chief of Rheumatology and Clinical Immunology, and Director of the UPMC Arthritis Institute at the University of Pittsburgh from 1991 until 2001. From 1983 to 1991, Dr. Wright was a post-doctoral fellow, Instructor and Assistant Professor at the Johns Hopkins University School of Medicine. Dr. Wright received a B.A. in Biology from the University of Delaware and an M.D. from the Johns Hopkins University School of Medicine, where he also completed post-doctoral training.</w:t>
      </w:r>
    </w:p>
    <w:p>
      <w:pPr>
        <w:spacing w:after="0" w:line="37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47" w:name="page248"/>
    <w:bookmarkEnd w:id="2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right="499" w:firstLine="648"/>
        <w:spacing w:after="0" w:line="252" w:lineRule="auto"/>
        <w:rPr>
          <w:sz w:val="20"/>
          <w:szCs w:val="20"/>
          <w:color w:val="auto"/>
        </w:rPr>
      </w:pPr>
      <w:r>
        <w:rPr>
          <w:rFonts w:ascii="Arial" w:cs="Arial" w:eastAsia="Arial" w:hAnsi="Arial"/>
          <w:sz w:val="18"/>
          <w:szCs w:val="18"/>
          <w:b w:val="1"/>
          <w:bCs w:val="1"/>
          <w:color w:val="auto"/>
        </w:rPr>
        <w:t xml:space="preserve">Craig A. Tooman, MBA </w:t>
      </w:r>
      <w:r>
        <w:rPr>
          <w:rFonts w:ascii="Arial" w:cs="Arial" w:eastAsia="Arial" w:hAnsi="Arial"/>
          <w:sz w:val="18"/>
          <w:szCs w:val="18"/>
          <w:color w:val="auto"/>
        </w:rPr>
        <w:t>has served as a supervisory director since 2019. Since September of 2019,</w:t>
      </w:r>
      <w:r>
        <w:rPr>
          <w:rFonts w:ascii="Arial" w:cs="Arial" w:eastAsia="Arial" w:hAnsi="Arial"/>
          <w:sz w:val="18"/>
          <w:szCs w:val="18"/>
          <w:b w:val="1"/>
          <w:bCs w:val="1"/>
          <w:color w:val="auto"/>
        </w:rPr>
        <w:t xml:space="preserve"> </w:t>
      </w:r>
      <w:r>
        <w:rPr>
          <w:rFonts w:ascii="Arial" w:cs="Arial" w:eastAsia="Arial" w:hAnsi="Arial"/>
          <w:sz w:val="18"/>
          <w:szCs w:val="18"/>
          <w:color w:val="auto"/>
        </w:rPr>
        <w:t>Mr. Tooman has served as the COO/CFO of Vyome Therapeutics, Inc. Prior to this, he was the President, CEO and Board Director at Aratana Therapeutics Inc. and led the merger of Aratana with Elanco Animal Health in July of 2019. He has served at Aratana since 2013. From 2012 to 2014, Mr. Tooman served as the Chief Executive Officer and Treasurer of Avanzar Medical, Inc., a company focused on oncology. He also founded Stockbourne LLC in 2011 and remains a Principal. Mr. Tooman served as the Chief Financial Officer and Senior Vice President of Finance at Ikaria, Inc. from 2010 until 2011. Before that, he served as the Executive Vice President of Finance and Chief Financial Officer of Enzon Pharmaceuticals Inc. from 2005 until 2010 and played a key role in the merger with Sigma Tau. Mr. Tooman was the Senior Vice President of Strategic Planning and Corporate Communications of ILEX Oncology Inc., and led the integration of the company with the Genzyme Corporation in 2004. Prior to this, he served in senior positions of increasing responsibility, including Vice President of Investor Relations, at Pharmacia Corporation and its predecessor company, Pharmacia &amp; Upjohn. He received a Master of Business Administration degree in finance from the University of Chicago and a Bachelor of Arts degree in economics from Kalamazoo College.</w:t>
      </w:r>
    </w:p>
    <w:p>
      <w:pPr>
        <w:spacing w:after="0" w:line="128" w:lineRule="exact"/>
        <w:rPr>
          <w:sz w:val="20"/>
          <w:szCs w:val="20"/>
          <w:color w:val="auto"/>
        </w:rPr>
      </w:pPr>
    </w:p>
    <w:p>
      <w:pPr>
        <w:jc w:val="center"/>
        <w:ind w:right="-760"/>
        <w:spacing w:after="0"/>
        <w:rPr>
          <w:sz w:val="20"/>
          <w:szCs w:val="20"/>
          <w:color w:val="auto"/>
        </w:rPr>
      </w:pPr>
      <w:r>
        <w:rPr>
          <w:rFonts w:ascii="Arial" w:cs="Arial" w:eastAsia="Arial" w:hAnsi="Arial"/>
          <w:sz w:val="18"/>
          <w:szCs w:val="18"/>
          <w:b w:val="1"/>
          <w:bCs w:val="1"/>
          <w:color w:val="auto"/>
        </w:rPr>
        <w:t xml:space="preserve">Viola Bronsema, Ph.D. </w:t>
      </w:r>
      <w:r>
        <w:rPr>
          <w:rFonts w:ascii="Arial" w:cs="Arial" w:eastAsia="Arial" w:hAnsi="Arial"/>
          <w:sz w:val="18"/>
          <w:szCs w:val="18"/>
          <w:color w:val="auto"/>
        </w:rPr>
        <w:t>has served as a supervisory director since August 2020. Since 2006,</w:t>
      </w:r>
    </w:p>
    <w:p>
      <w:pPr>
        <w:spacing w:after="0" w:line="27" w:lineRule="exact"/>
        <w:rPr>
          <w:sz w:val="20"/>
          <w:szCs w:val="20"/>
          <w:color w:val="auto"/>
        </w:rPr>
      </w:pPr>
    </w:p>
    <w:p>
      <w:pPr>
        <w:ind w:left="1260" w:right="419"/>
        <w:spacing w:after="0" w:line="252" w:lineRule="auto"/>
        <w:rPr>
          <w:sz w:val="20"/>
          <w:szCs w:val="20"/>
          <w:color w:val="auto"/>
        </w:rPr>
      </w:pPr>
      <w:r>
        <w:rPr>
          <w:rFonts w:ascii="Arial" w:cs="Arial" w:eastAsia="Arial" w:hAnsi="Arial"/>
          <w:sz w:val="18"/>
          <w:szCs w:val="18"/>
          <w:color w:val="auto"/>
        </w:rPr>
        <w:t>Dr. Bronsema has been the Secretary General and CEO of BIO Deutschland e.V., Germany’s biotechnology industry association, which represents Germany’s innovative biotechnology small and mid-sized enterprises. Dr. Bronsema has worked as the EMEA Head of Communications at Roche Diagnostics and as the spokeswoman and Head of Press and Public Relations at Eli Lilly Germany. Prior to these positions, she served as spokeswoman, deputy press officer and editor at the German Cancer Research Center, or DKFZ, in Heidelberg. She received her Ph.D. at the Centre for Molecular Biology, or ZMBH, at the University of Heidelberg, Germany.</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Committees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58" w:lineRule="exact"/>
        <w:rPr>
          <w:sz w:val="20"/>
          <w:szCs w:val="20"/>
          <w:color w:val="auto"/>
        </w:rPr>
      </w:pPr>
    </w:p>
    <w:p>
      <w:pPr>
        <w:ind w:left="1260" w:right="459" w:firstLine="648"/>
        <w:spacing w:after="0" w:line="270" w:lineRule="auto"/>
        <w:rPr>
          <w:sz w:val="20"/>
          <w:szCs w:val="20"/>
          <w:color w:val="auto"/>
        </w:rPr>
      </w:pPr>
      <w:r>
        <w:rPr>
          <w:rFonts w:ascii="Arial" w:cs="Arial" w:eastAsia="Arial" w:hAnsi="Arial"/>
          <w:sz w:val="17"/>
          <w:szCs w:val="17"/>
          <w:color w:val="auto"/>
        </w:rPr>
        <w:t>The audit committee consists of Hans Christoph Tanner (as chairman), Jean Stéphenne, Mathias Hothum, Craig A. Tooman and Timothy M. Wright, MD. The audit comittee assists the supervisory board in overseeing our accounting and financial reporting processes and the audits of our financial statements. In addition, the audit committee is responsible for the appointment, compensation, retention and oversight of the work of our independent registered public accounting firm. Our supervisory board has determined that Hans Christoph Tanner, Baron Jean Stephenne and Craig A. Tooman satisfy the “independence” requirements set forth in Rule 10A-3 under the Exchange Act and qualifies as an “audit committee financial expert,” as such term is defined in the rules of the SEC. The composition of our audit committee is consistent with the best practice provisions of the DCGC.</w:t>
      </w:r>
    </w:p>
    <w:p>
      <w:pPr>
        <w:spacing w:after="0" w:line="100" w:lineRule="exact"/>
        <w:rPr>
          <w:sz w:val="20"/>
          <w:szCs w:val="20"/>
          <w:color w:val="auto"/>
        </w:rPr>
      </w:pPr>
    </w:p>
    <w:p>
      <w:pPr>
        <w:ind w:left="1260" w:right="419" w:firstLine="648"/>
        <w:spacing w:after="0" w:line="301" w:lineRule="auto"/>
        <w:rPr>
          <w:sz w:val="20"/>
          <w:szCs w:val="20"/>
          <w:color w:val="auto"/>
        </w:rPr>
      </w:pPr>
      <w:r>
        <w:rPr>
          <w:rFonts w:ascii="Arial" w:cs="Arial" w:eastAsia="Arial" w:hAnsi="Arial"/>
          <w:sz w:val="16"/>
          <w:szCs w:val="16"/>
          <w:color w:val="auto"/>
        </w:rPr>
        <w:t>We are relying on the phase-in rules of the SEC and Nasdaq with respect to the independence of our audit committee. These rules require that all members of our audit committee must meet the independence standard for audit committee membership by August 13, 2021. The audit committee is governed by a charter that complies with applicable Nasdaq rules, which charter has been posted on our website.</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58" w:lineRule="exact"/>
        <w:rPr>
          <w:sz w:val="20"/>
          <w:szCs w:val="20"/>
          <w:color w:val="auto"/>
        </w:rPr>
      </w:pPr>
    </w:p>
    <w:p>
      <w:pPr>
        <w:ind w:left="1260" w:right="419" w:firstLine="648"/>
        <w:spacing w:after="0" w:line="255" w:lineRule="auto"/>
        <w:rPr>
          <w:sz w:val="20"/>
          <w:szCs w:val="20"/>
          <w:color w:val="auto"/>
        </w:rPr>
      </w:pPr>
      <w:r>
        <w:rPr>
          <w:rFonts w:ascii="Arial" w:cs="Arial" w:eastAsia="Arial" w:hAnsi="Arial"/>
          <w:sz w:val="18"/>
          <w:szCs w:val="18"/>
          <w:color w:val="auto"/>
        </w:rPr>
        <w:t>The compensation committee consists of Mathias Hothum (as chairman), Friedrich von Bohlen und Halbach, Hans Christoph Tanner, Craig A. Tooman and Viola Bronsema. The compensation committee assists the supervisory board in determining compensation for our executive officers and our managing directors and supervisory directors. The composition of our compensation committee deviates from the best practice provisions of the DCGC, because half of its members are not independent within the meaning of the DCGC because of their affiliation with dievini.</w:t>
      </w:r>
    </w:p>
    <w:p>
      <w:pPr>
        <w:spacing w:after="0" w:line="125" w:lineRule="exact"/>
        <w:rPr>
          <w:sz w:val="20"/>
          <w:szCs w:val="20"/>
          <w:color w:val="auto"/>
        </w:rPr>
      </w:pPr>
    </w:p>
    <w:p>
      <w:pPr>
        <w:ind w:left="1260" w:right="439" w:firstLine="648"/>
        <w:spacing w:after="0" w:line="286" w:lineRule="auto"/>
        <w:rPr>
          <w:sz w:val="20"/>
          <w:szCs w:val="20"/>
          <w:color w:val="auto"/>
        </w:rPr>
      </w:pPr>
      <w:r>
        <w:rPr>
          <w:rFonts w:ascii="Arial" w:cs="Arial" w:eastAsia="Arial" w:hAnsi="Arial"/>
          <w:sz w:val="17"/>
          <w:szCs w:val="17"/>
          <w:color w:val="auto"/>
        </w:rPr>
        <w:t>Under SEC and Nasdaq rules, there are heightened independence standards for members of the compensation committee, including a prohibition against the receipt of any compensation from us other than standard director fees. As permitted by the listing requirements of Nasdaq, we opted out of Nasdaq</w:t>
      </w:r>
    </w:p>
    <w:p>
      <w:pPr>
        <w:spacing w:after="0" w:line="34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48" w:name="page249"/>
    <w:bookmarkEnd w:id="2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63" w:lineRule="auto"/>
        <w:rPr>
          <w:sz w:val="20"/>
          <w:szCs w:val="20"/>
          <w:color w:val="auto"/>
        </w:rPr>
      </w:pPr>
      <w:r>
        <w:rPr>
          <w:rFonts w:ascii="Arial" w:cs="Arial" w:eastAsia="Arial" w:hAnsi="Arial"/>
          <w:sz w:val="18"/>
          <w:szCs w:val="18"/>
          <w:color w:val="auto"/>
        </w:rPr>
        <w:t>Listing Rule 5605(d), which requires that a compensation committee consist entirely of independent supervisory directors. The compensation committee is governed by a charter that has been posted on our website.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Nomination and Corporate Governance Committee</w:t>
      </w:r>
    </w:p>
    <w:p>
      <w:pPr>
        <w:spacing w:after="0" w:line="158" w:lineRule="exact"/>
        <w:rPr>
          <w:sz w:val="20"/>
          <w:szCs w:val="20"/>
          <w:color w:val="auto"/>
        </w:rPr>
      </w:pPr>
    </w:p>
    <w:p>
      <w:pPr>
        <w:ind w:left="1260" w:right="419" w:firstLine="648"/>
        <w:spacing w:after="0" w:line="254" w:lineRule="auto"/>
        <w:rPr>
          <w:sz w:val="20"/>
          <w:szCs w:val="20"/>
          <w:color w:val="auto"/>
        </w:rPr>
      </w:pPr>
      <w:r>
        <w:rPr>
          <w:rFonts w:ascii="Arial" w:cs="Arial" w:eastAsia="Arial" w:hAnsi="Arial"/>
          <w:sz w:val="18"/>
          <w:szCs w:val="18"/>
          <w:color w:val="auto"/>
        </w:rPr>
        <w:t>The nomination and corporate governance committee consists of Mathias Hothum (as chairman), Friedrich von Bohlen und Halbach, Hans Christoph Tanner, Craig A. Tooman and Viola Bronsema. The nomination and corporate governance committee assists our supervisory board in identifying individuals qualified to become our managing directors or supervisory directors consistent with criteria established by us and in developing our code of business conduct and ethics. The composition of our nomination and corporate governance committee deviates from the best practice provisions of the DCGC, because more than half of its members are not independent within the meaning of the DCGC because of their affiliation with dievini or KfW.</w:t>
      </w:r>
    </w:p>
    <w:p>
      <w:pPr>
        <w:spacing w:after="0" w:line="124" w:lineRule="exact"/>
        <w:rPr>
          <w:sz w:val="20"/>
          <w:szCs w:val="20"/>
          <w:color w:val="auto"/>
        </w:rPr>
      </w:pPr>
    </w:p>
    <w:p>
      <w:pPr>
        <w:ind w:left="1260" w:right="559" w:firstLine="648"/>
        <w:spacing w:after="0" w:line="263" w:lineRule="auto"/>
        <w:rPr>
          <w:sz w:val="20"/>
          <w:szCs w:val="20"/>
          <w:color w:val="auto"/>
        </w:rPr>
      </w:pPr>
      <w:r>
        <w:rPr>
          <w:rFonts w:ascii="Arial" w:cs="Arial" w:eastAsia="Arial" w:hAnsi="Arial"/>
          <w:sz w:val="18"/>
          <w:szCs w:val="18"/>
          <w:color w:val="auto"/>
        </w:rPr>
        <w:t>As permitted by the listing requirements of Nasdaq, we opted out of Nasdaq Listing Rule 5605(e), which requires independent director oversight of director nominations. The nominating and corporate governance committee is governed by a charter that is posted on our website.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Special Committee</w:t>
      </w:r>
    </w:p>
    <w:p>
      <w:pPr>
        <w:spacing w:after="0" w:line="148" w:lineRule="exact"/>
        <w:rPr>
          <w:sz w:val="20"/>
          <w:szCs w:val="20"/>
          <w:color w:val="auto"/>
        </w:rPr>
      </w:pPr>
    </w:p>
    <w:p>
      <w:pPr>
        <w:ind w:left="1260" w:right="419" w:firstLine="648"/>
        <w:spacing w:after="0" w:line="252" w:lineRule="auto"/>
        <w:rPr>
          <w:sz w:val="20"/>
          <w:szCs w:val="20"/>
          <w:color w:val="auto"/>
        </w:rPr>
      </w:pPr>
      <w:r>
        <w:rPr>
          <w:rFonts w:ascii="Arial" w:cs="Arial" w:eastAsia="Arial" w:hAnsi="Arial"/>
          <w:sz w:val="18"/>
          <w:szCs w:val="18"/>
          <w:color w:val="auto"/>
        </w:rPr>
        <w:t>Resolutions of our supervisory board to approve a resolution of our management board to exclude or limit pre-emption rights (except in connection with the ordinary operation of our equity incentive plans), or to issue shares against non-cash contribution, shall require the approval of a special committee consisting of one supervisory director nominated by dievini (or its legal successors or permitted assigns under the KfW dievini Shareholders’ Agreement) (during the initial nomination period for dievini), one supervisory director nominated by KfW (or its legal successors or permitted assigns under the KfW dievini Shareholders’ Agreement) (during the initial nomination period for KfW) and, if applicable, one supervisory director nominated by a nomination concert. In this special committee, the affirmative votes of one supervisory director nominated by dievini (or its legal successors or permitted assigns under the KfW dievini Shareholders’ Agreement) (during the initial nomination period for dievini) and the supervisory director nominated by KfW (or its legal successors or permitted assigns under the KfW dievini Shareholders’ Agreement) (during the initial nomination period for KfW) shall be required. See “Comparison of Dutch Corporate Law and U.S. Corporate Law — Corporate Governance — Duties of Managing and Supervisory Directors.”</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Remuneration and Other Benefits to Supervisory and Managing Directors as of December 31, 2020</w:t>
      </w:r>
    </w:p>
    <w:p>
      <w:pPr>
        <w:spacing w:after="0" w:line="162" w:lineRule="exact"/>
        <w:rPr>
          <w:sz w:val="20"/>
          <w:szCs w:val="20"/>
          <w:color w:val="auto"/>
        </w:rPr>
      </w:pPr>
    </w:p>
    <w:p>
      <w:pPr>
        <w:ind w:left="1260" w:right="499" w:firstLine="648"/>
        <w:spacing w:after="0" w:line="269" w:lineRule="auto"/>
        <w:rPr>
          <w:sz w:val="20"/>
          <w:szCs w:val="20"/>
          <w:color w:val="auto"/>
        </w:rPr>
      </w:pPr>
      <w:r>
        <w:rPr>
          <w:rFonts w:ascii="Arial" w:cs="Arial" w:eastAsia="Arial" w:hAnsi="Arial"/>
          <w:sz w:val="17"/>
          <w:szCs w:val="17"/>
          <w:color w:val="auto"/>
        </w:rPr>
        <w:t>As a foreign private issuer, in accordance with Nasdaq listing requirements, we will comply with home country compensation requirements and certain exemptions thereunder rather than complying with Nasdaq compensation requirements. Dutch law does not provide for limitations with respect to the aggregate annual compensation paid to our managing directors or supervisory directors, provided that such compensation is consistent with our compensation policy. Such compensation policy requires approval by our general meeting. The supervisory board determines the remuneration of individual managing directors with due observance of the compensation policy. A proposal with respect to remuneration schemes in the form of shares or rights to shares in which managing directors may participate is subject to approval by our general meeting. Such a proposal must set out at least the maximum number of shares or rights to subscribe for shares to be granted to the managing directors and the criteria for granting or amendment. The compensation for our supervisory directors is set by the general meeting.</w:t>
      </w:r>
    </w:p>
    <w:p>
      <w:pPr>
        <w:spacing w:after="0" w:line="114" w:lineRule="exact"/>
        <w:rPr>
          <w:sz w:val="20"/>
          <w:szCs w:val="20"/>
          <w:color w:val="auto"/>
        </w:rPr>
      </w:pPr>
    </w:p>
    <w:p>
      <w:pPr>
        <w:ind w:left="1260" w:right="879" w:firstLine="648"/>
        <w:spacing w:after="0" w:line="275" w:lineRule="auto"/>
        <w:rPr>
          <w:sz w:val="20"/>
          <w:szCs w:val="20"/>
          <w:color w:val="auto"/>
        </w:rPr>
      </w:pPr>
      <w:r>
        <w:rPr>
          <w:rFonts w:ascii="Arial" w:cs="Arial" w:eastAsia="Arial" w:hAnsi="Arial"/>
          <w:sz w:val="17"/>
          <w:szCs w:val="17"/>
          <w:color w:val="auto"/>
        </w:rPr>
        <w:t>Our compensation policy authorizes our supervisory board to determine the amount, level and structure of the compensation packages of our managing directors at the recommendation of our compensation committee. These compensation packages may consist of a mix of fixed and variable compensation components, including base salary, short-term incentives, long-term incentives, fringe benefits, severance pay and pension arrangements, as determined by our supervisory board.</w:t>
      </w:r>
    </w:p>
    <w:p>
      <w:pPr>
        <w:spacing w:after="0" w:line="35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49" w:name="page250"/>
    <w:bookmarkEnd w:id="2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Supervisory Board</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of Supervisory Directors</w:t>
      </w:r>
    </w:p>
    <w:p>
      <w:pPr>
        <w:spacing w:after="0" w:line="158" w:lineRule="exact"/>
        <w:rPr>
          <w:sz w:val="20"/>
          <w:szCs w:val="20"/>
          <w:color w:val="auto"/>
        </w:rPr>
      </w:pPr>
    </w:p>
    <w:p>
      <w:pPr>
        <w:jc w:val="both"/>
        <w:ind w:left="1260" w:right="1139" w:firstLine="648"/>
        <w:spacing w:after="0" w:line="259" w:lineRule="auto"/>
        <w:rPr>
          <w:sz w:val="20"/>
          <w:szCs w:val="20"/>
          <w:color w:val="auto"/>
        </w:rPr>
      </w:pPr>
      <w:r>
        <w:rPr>
          <w:rFonts w:ascii="Arial" w:cs="Arial" w:eastAsia="Arial" w:hAnsi="Arial"/>
          <w:sz w:val="18"/>
          <w:szCs w:val="18"/>
          <w:color w:val="auto"/>
        </w:rPr>
        <w:t>For the year ended December 31, 2020, the aggregate compensation accrued or paid to our supervisory directors for services in all capacities was €557,192. The following table sets forth the aggregate compensation and benefits provided to our supervisory board members in the year ended December 31, 2020.</w:t>
      </w:r>
    </w:p>
    <w:p>
      <w:pPr>
        <w:spacing w:after="0" w:line="13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7"/>
              </w:rPr>
              <w:t>Fixed</w:t>
            </w:r>
          </w:p>
        </w:tc>
        <w:tc>
          <w:tcPr>
            <w:tcW w:w="940" w:type="dxa"/>
            <w:vAlign w:val="bottom"/>
            <w:gridSpan w:val="2"/>
          </w:tcPr>
          <w:p>
            <w:pPr>
              <w:jc w:val="center"/>
              <w:ind w:left="95"/>
              <w:spacing w:after="0"/>
              <w:rPr>
                <w:sz w:val="20"/>
                <w:szCs w:val="20"/>
                <w:color w:val="auto"/>
              </w:rPr>
            </w:pPr>
            <w:r>
              <w:rPr>
                <w:rFonts w:ascii="Arial" w:cs="Arial" w:eastAsia="Arial" w:hAnsi="Arial"/>
                <w:sz w:val="14"/>
                <w:szCs w:val="14"/>
                <w:b w:val="1"/>
                <w:bCs w:val="1"/>
                <w:color w:val="auto"/>
                <w:w w:val="89"/>
              </w:rPr>
              <w:t>Attendance</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r>
      <w:tr>
        <w:trPr>
          <w:trHeight w:val="162"/>
        </w:trPr>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100" w:type="dxa"/>
            <w:vAlign w:val="bottom"/>
            <w:gridSpan w:val="2"/>
          </w:tcPr>
          <w:p>
            <w:pPr>
              <w:jc w:val="center"/>
              <w:ind w:left="92"/>
              <w:spacing w:after="0"/>
              <w:rPr>
                <w:sz w:val="20"/>
                <w:szCs w:val="20"/>
                <w:color w:val="auto"/>
              </w:rPr>
            </w:pPr>
            <w:r>
              <w:rPr>
                <w:rFonts w:ascii="Arial" w:cs="Arial" w:eastAsia="Arial" w:hAnsi="Arial"/>
                <w:sz w:val="14"/>
                <w:szCs w:val="14"/>
                <w:b w:val="1"/>
                <w:bCs w:val="1"/>
                <w:color w:val="auto"/>
                <w:w w:val="86"/>
              </w:rPr>
              <w:t>Compensation</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1"/>
              </w:rPr>
              <w:t>Fees</w:t>
            </w:r>
          </w:p>
        </w:tc>
        <w:tc>
          <w:tcPr>
            <w:tcW w:w="1100" w:type="dxa"/>
            <w:vAlign w:val="bottom"/>
            <w:gridSpan w:val="2"/>
          </w:tcPr>
          <w:p>
            <w:pPr>
              <w:jc w:val="center"/>
              <w:ind w:left="72"/>
              <w:spacing w:after="0"/>
              <w:rPr>
                <w:sz w:val="20"/>
                <w:szCs w:val="20"/>
                <w:color w:val="auto"/>
              </w:rPr>
            </w:pPr>
            <w:r>
              <w:rPr>
                <w:rFonts w:ascii="Arial" w:cs="Arial" w:eastAsia="Arial" w:hAnsi="Arial"/>
                <w:sz w:val="14"/>
                <w:szCs w:val="14"/>
                <w:b w:val="1"/>
                <w:bCs w:val="1"/>
                <w:color w:val="auto"/>
                <w:w w:val="88"/>
              </w:rPr>
              <w:t>Compensation</w:t>
            </w:r>
          </w:p>
        </w:tc>
      </w:tr>
      <w:tr>
        <w:trPr>
          <w:trHeight w:val="186"/>
        </w:trPr>
        <w:tc>
          <w:tcPr>
            <w:tcW w:w="4700" w:type="dxa"/>
            <w:vAlign w:val="bottom"/>
            <w:gridSpan w:val="3"/>
          </w:tcPr>
          <w:p>
            <w:pPr>
              <w:ind w:left="36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26"/>
        </w:trPr>
        <w:tc>
          <w:tcPr>
            <w:tcW w:w="36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Baron Jean Stéphenne</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102,747</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102,747</w:t>
            </w:r>
          </w:p>
        </w:tc>
      </w:tr>
      <w:tr>
        <w:trPr>
          <w:trHeight w:val="257"/>
        </w:trPr>
        <w:tc>
          <w:tcPr>
            <w:tcW w:w="4700" w:type="dxa"/>
            <w:vAlign w:val="bottom"/>
            <w:gridSpan w:val="3"/>
          </w:tcPr>
          <w:p>
            <w:pPr>
              <w:ind w:left="360"/>
              <w:spacing w:after="0"/>
              <w:rPr>
                <w:sz w:val="20"/>
                <w:szCs w:val="20"/>
                <w:color w:val="auto"/>
              </w:rPr>
            </w:pPr>
            <w:r>
              <w:rPr>
                <w:rFonts w:ascii="Arial" w:cs="Arial" w:eastAsia="Arial" w:hAnsi="Arial"/>
                <w:sz w:val="18"/>
                <w:szCs w:val="18"/>
                <w:color w:val="auto"/>
              </w:rPr>
              <w:t>Ralf Clemens</w:t>
            </w:r>
          </w:p>
        </w:tc>
        <w:tc>
          <w:tcPr>
            <w:tcW w:w="1100" w:type="dxa"/>
            <w:vAlign w:val="bottom"/>
            <w:gridSpan w:val="2"/>
          </w:tcPr>
          <w:p>
            <w:pPr>
              <w:jc w:val="right"/>
              <w:ind w:right="68"/>
              <w:spacing w:after="0"/>
              <w:rPr>
                <w:sz w:val="20"/>
                <w:szCs w:val="20"/>
                <w:color w:val="auto"/>
              </w:rPr>
            </w:pPr>
            <w:r>
              <w:rPr>
                <w:rFonts w:ascii="Arial" w:cs="Arial" w:eastAsia="Arial" w:hAnsi="Arial"/>
                <w:sz w:val="18"/>
                <w:szCs w:val="18"/>
                <w:color w:val="auto"/>
              </w:rPr>
              <w:t>55,000</w:t>
            </w:r>
          </w:p>
        </w:tc>
        <w:tc>
          <w:tcPr>
            <w:tcW w:w="940" w:type="dxa"/>
            <w:vAlign w:val="bottom"/>
            <w:gridSpan w:val="2"/>
          </w:tcPr>
          <w:p>
            <w:pPr>
              <w:jc w:val="right"/>
              <w:ind w:right="35"/>
              <w:spacing w:after="0"/>
              <w:rPr>
                <w:sz w:val="20"/>
                <w:szCs w:val="20"/>
                <w:color w:val="auto"/>
              </w:rPr>
            </w:pPr>
            <w:r>
              <w:rPr>
                <w:rFonts w:ascii="Arial" w:cs="Arial" w:eastAsia="Arial" w:hAnsi="Arial"/>
                <w:sz w:val="18"/>
                <w:szCs w:val="18"/>
                <w:color w:val="auto"/>
              </w:rPr>
              <w:t>27,500</w:t>
            </w:r>
          </w:p>
        </w:tc>
        <w:tc>
          <w:tcPr>
            <w:tcW w:w="1100" w:type="dxa"/>
            <w:vAlign w:val="bottom"/>
            <w:gridSpan w:val="2"/>
          </w:tcPr>
          <w:p>
            <w:pPr>
              <w:jc w:val="right"/>
              <w:ind w:right="68"/>
              <w:spacing w:after="0"/>
              <w:rPr>
                <w:sz w:val="20"/>
                <w:szCs w:val="20"/>
                <w:color w:val="auto"/>
              </w:rPr>
            </w:pPr>
            <w:r>
              <w:rPr>
                <w:rFonts w:ascii="Arial" w:cs="Arial" w:eastAsia="Arial" w:hAnsi="Arial"/>
                <w:sz w:val="18"/>
                <w:szCs w:val="18"/>
                <w:color w:val="auto"/>
              </w:rPr>
              <w:t>82,500</w:t>
            </w:r>
          </w:p>
        </w:tc>
      </w:tr>
      <w:tr>
        <w:trPr>
          <w:trHeight w:val="256"/>
        </w:trPr>
        <w:tc>
          <w:tcPr>
            <w:tcW w:w="360" w:type="dxa"/>
            <w:vAlign w:val="bottom"/>
          </w:tcPr>
          <w:p>
            <w:pPr>
              <w:spacing w:after="0"/>
              <w:rPr>
                <w:sz w:val="22"/>
                <w:szCs w:val="22"/>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Mathias Hothum</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55,000</w:t>
            </w:r>
          </w:p>
        </w:tc>
        <w:tc>
          <w:tcPr>
            <w:tcW w:w="94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27,500</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82,500</w:t>
            </w:r>
          </w:p>
        </w:tc>
      </w:tr>
      <w:tr>
        <w:trPr>
          <w:trHeight w:val="257"/>
        </w:trPr>
        <w:tc>
          <w:tcPr>
            <w:tcW w:w="4700" w:type="dxa"/>
            <w:vAlign w:val="bottom"/>
            <w:gridSpan w:val="3"/>
          </w:tcPr>
          <w:p>
            <w:pPr>
              <w:ind w:left="360"/>
              <w:spacing w:after="0"/>
              <w:rPr>
                <w:sz w:val="20"/>
                <w:szCs w:val="20"/>
                <w:color w:val="auto"/>
              </w:rPr>
            </w:pPr>
            <w:r>
              <w:rPr>
                <w:rFonts w:ascii="Arial" w:cs="Arial" w:eastAsia="Arial" w:hAnsi="Arial"/>
                <w:sz w:val="18"/>
                <w:szCs w:val="18"/>
                <w:color w:val="auto"/>
              </w:rPr>
              <w:t>Hans Cristoph Tanner</w:t>
            </w:r>
          </w:p>
        </w:tc>
        <w:tc>
          <w:tcPr>
            <w:tcW w:w="1100" w:type="dxa"/>
            <w:vAlign w:val="bottom"/>
            <w:gridSpan w:val="2"/>
          </w:tcPr>
          <w:p>
            <w:pPr>
              <w:jc w:val="right"/>
              <w:ind w:right="68"/>
              <w:spacing w:after="0"/>
              <w:rPr>
                <w:sz w:val="20"/>
                <w:szCs w:val="20"/>
                <w:color w:val="auto"/>
              </w:rPr>
            </w:pPr>
            <w:r>
              <w:rPr>
                <w:rFonts w:ascii="Arial" w:cs="Arial" w:eastAsia="Arial" w:hAnsi="Arial"/>
                <w:sz w:val="18"/>
                <w:szCs w:val="18"/>
                <w:color w:val="auto"/>
              </w:rPr>
              <w:t>55,000</w:t>
            </w:r>
          </w:p>
        </w:tc>
        <w:tc>
          <w:tcPr>
            <w:tcW w:w="940" w:type="dxa"/>
            <w:vAlign w:val="bottom"/>
            <w:gridSpan w:val="2"/>
          </w:tcPr>
          <w:p>
            <w:pPr>
              <w:jc w:val="right"/>
              <w:ind w:right="35"/>
              <w:spacing w:after="0"/>
              <w:rPr>
                <w:sz w:val="20"/>
                <w:szCs w:val="20"/>
                <w:color w:val="auto"/>
              </w:rPr>
            </w:pPr>
            <w:r>
              <w:rPr>
                <w:rFonts w:ascii="Arial" w:cs="Arial" w:eastAsia="Arial" w:hAnsi="Arial"/>
                <w:sz w:val="18"/>
                <w:szCs w:val="18"/>
                <w:color w:val="auto"/>
              </w:rPr>
              <w:t>27,500</w:t>
            </w:r>
          </w:p>
        </w:tc>
        <w:tc>
          <w:tcPr>
            <w:tcW w:w="1100" w:type="dxa"/>
            <w:vAlign w:val="bottom"/>
            <w:gridSpan w:val="2"/>
          </w:tcPr>
          <w:p>
            <w:pPr>
              <w:jc w:val="right"/>
              <w:ind w:right="68"/>
              <w:spacing w:after="0"/>
              <w:rPr>
                <w:sz w:val="20"/>
                <w:szCs w:val="20"/>
                <w:color w:val="auto"/>
              </w:rPr>
            </w:pPr>
            <w:r>
              <w:rPr>
                <w:rFonts w:ascii="Arial" w:cs="Arial" w:eastAsia="Arial" w:hAnsi="Arial"/>
                <w:sz w:val="18"/>
                <w:szCs w:val="18"/>
                <w:color w:val="auto"/>
              </w:rPr>
              <w:t>82,500</w:t>
            </w:r>
          </w:p>
        </w:tc>
      </w:tr>
      <w:tr>
        <w:trPr>
          <w:trHeight w:val="257"/>
        </w:trPr>
        <w:tc>
          <w:tcPr>
            <w:tcW w:w="360" w:type="dxa"/>
            <w:vAlign w:val="bottom"/>
          </w:tcPr>
          <w:p>
            <w:pPr>
              <w:spacing w:after="0"/>
              <w:rPr>
                <w:sz w:val="22"/>
                <w:szCs w:val="22"/>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Friedrich von Bohlen und Halbach</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55,000</w:t>
            </w: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55,000</w:t>
            </w:r>
          </w:p>
        </w:tc>
      </w:tr>
      <w:tr>
        <w:trPr>
          <w:trHeight w:val="270"/>
        </w:trPr>
        <w:tc>
          <w:tcPr>
            <w:tcW w:w="4700" w:type="dxa"/>
            <w:vAlign w:val="bottom"/>
            <w:gridSpan w:val="3"/>
          </w:tcPr>
          <w:p>
            <w:pPr>
              <w:ind w:left="360"/>
              <w:spacing w:after="0" w:line="270" w:lineRule="exact"/>
              <w:rPr>
                <w:sz w:val="20"/>
                <w:szCs w:val="20"/>
                <w:color w:val="auto"/>
              </w:rPr>
            </w:pPr>
            <w:r>
              <w:rPr>
                <w:rFonts w:ascii="Arial" w:cs="Arial" w:eastAsia="Arial" w:hAnsi="Arial"/>
                <w:sz w:val="18"/>
                <w:szCs w:val="18"/>
                <w:color w:val="auto"/>
              </w:rPr>
              <w:t>Ingmar Hoerr</w:t>
            </w:r>
            <w:r>
              <w:rPr>
                <w:rFonts w:ascii="Arial" w:cs="Arial" w:eastAsia="Arial" w:hAnsi="Arial"/>
                <w:sz w:val="26"/>
                <w:szCs w:val="26"/>
                <w:color w:val="auto"/>
                <w:vertAlign w:val="superscript"/>
              </w:rPr>
              <w:t>(1)</w:t>
            </w:r>
          </w:p>
        </w:tc>
        <w:tc>
          <w:tcPr>
            <w:tcW w:w="1100" w:type="dxa"/>
            <w:vAlign w:val="bottom"/>
            <w:gridSpan w:val="2"/>
          </w:tcPr>
          <w:p>
            <w:pPr>
              <w:jc w:val="right"/>
              <w:ind w:right="68"/>
              <w:spacing w:after="0"/>
              <w:rPr>
                <w:sz w:val="20"/>
                <w:szCs w:val="20"/>
                <w:color w:val="auto"/>
              </w:rPr>
            </w:pPr>
            <w:r>
              <w:rPr>
                <w:rFonts w:ascii="Arial" w:cs="Arial" w:eastAsia="Arial" w:hAnsi="Arial"/>
                <w:sz w:val="18"/>
                <w:szCs w:val="18"/>
                <w:color w:val="auto"/>
              </w:rPr>
              <w:t>21,301</w:t>
            </w:r>
          </w:p>
        </w:tc>
        <w:tc>
          <w:tcPr>
            <w:tcW w:w="220" w:type="dxa"/>
            <w:vAlign w:val="bottom"/>
          </w:tcPr>
          <w:p>
            <w:pPr>
              <w:spacing w:after="0"/>
              <w:rPr>
                <w:sz w:val="23"/>
                <w:szCs w:val="23"/>
                <w:color w:val="auto"/>
              </w:rPr>
            </w:pPr>
          </w:p>
        </w:tc>
        <w:tc>
          <w:tcPr>
            <w:tcW w:w="7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8"/>
              <w:spacing w:after="0"/>
              <w:rPr>
                <w:sz w:val="20"/>
                <w:szCs w:val="20"/>
                <w:color w:val="auto"/>
              </w:rPr>
            </w:pPr>
            <w:r>
              <w:rPr>
                <w:rFonts w:ascii="Arial" w:cs="Arial" w:eastAsia="Arial" w:hAnsi="Arial"/>
                <w:sz w:val="18"/>
                <w:szCs w:val="18"/>
                <w:color w:val="auto"/>
              </w:rPr>
              <w:t>21,301</w:t>
            </w:r>
          </w:p>
        </w:tc>
      </w:tr>
      <w:tr>
        <w:trPr>
          <w:trHeight w:val="270"/>
        </w:trPr>
        <w:tc>
          <w:tcPr>
            <w:tcW w:w="360" w:type="dxa"/>
            <w:vAlign w:val="bottom"/>
          </w:tcPr>
          <w:p>
            <w:pPr>
              <w:spacing w:after="0"/>
              <w:rPr>
                <w:sz w:val="23"/>
                <w:szCs w:val="23"/>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M. Wright</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55,000</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55,000</w:t>
            </w:r>
          </w:p>
        </w:tc>
      </w:tr>
      <w:tr>
        <w:trPr>
          <w:trHeight w:val="270"/>
        </w:trPr>
        <w:tc>
          <w:tcPr>
            <w:tcW w:w="4700" w:type="dxa"/>
            <w:vAlign w:val="bottom"/>
            <w:gridSpan w:val="3"/>
          </w:tcPr>
          <w:p>
            <w:pPr>
              <w:ind w:left="360"/>
              <w:spacing w:after="0"/>
              <w:rPr>
                <w:sz w:val="20"/>
                <w:szCs w:val="20"/>
                <w:color w:val="auto"/>
              </w:rPr>
            </w:pPr>
            <w:r>
              <w:rPr>
                <w:rFonts w:ascii="Arial" w:cs="Arial" w:eastAsia="Arial" w:hAnsi="Arial"/>
                <w:sz w:val="18"/>
                <w:szCs w:val="18"/>
                <w:color w:val="auto"/>
              </w:rPr>
              <w:t>Craig A. Tooman</w:t>
            </w:r>
          </w:p>
        </w:tc>
        <w:tc>
          <w:tcPr>
            <w:tcW w:w="1100" w:type="dxa"/>
            <w:vAlign w:val="bottom"/>
            <w:gridSpan w:val="2"/>
          </w:tcPr>
          <w:p>
            <w:pPr>
              <w:jc w:val="right"/>
              <w:ind w:right="68"/>
              <w:spacing w:after="0"/>
              <w:rPr>
                <w:sz w:val="20"/>
                <w:szCs w:val="20"/>
                <w:color w:val="auto"/>
              </w:rPr>
            </w:pPr>
            <w:r>
              <w:rPr>
                <w:rFonts w:ascii="Arial" w:cs="Arial" w:eastAsia="Arial" w:hAnsi="Arial"/>
                <w:sz w:val="18"/>
                <w:szCs w:val="18"/>
                <w:color w:val="auto"/>
              </w:rPr>
              <w:t>55,000</w:t>
            </w:r>
          </w:p>
        </w:tc>
        <w:tc>
          <w:tcPr>
            <w:tcW w:w="220" w:type="dxa"/>
            <w:vAlign w:val="bottom"/>
          </w:tcPr>
          <w:p>
            <w:pPr>
              <w:spacing w:after="0"/>
              <w:rPr>
                <w:sz w:val="23"/>
                <w:szCs w:val="23"/>
                <w:color w:val="auto"/>
              </w:rPr>
            </w:pPr>
          </w:p>
        </w:tc>
        <w:tc>
          <w:tcPr>
            <w:tcW w:w="7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8"/>
              <w:spacing w:after="0"/>
              <w:rPr>
                <w:sz w:val="20"/>
                <w:szCs w:val="20"/>
                <w:color w:val="auto"/>
              </w:rPr>
            </w:pPr>
            <w:r>
              <w:rPr>
                <w:rFonts w:ascii="Arial" w:cs="Arial" w:eastAsia="Arial" w:hAnsi="Arial"/>
                <w:sz w:val="18"/>
                <w:szCs w:val="18"/>
                <w:color w:val="auto"/>
              </w:rPr>
              <w:t>55,000</w:t>
            </w:r>
          </w:p>
        </w:tc>
      </w:tr>
      <w:tr>
        <w:trPr>
          <w:trHeight w:val="283"/>
        </w:trPr>
        <w:tc>
          <w:tcPr>
            <w:tcW w:w="360" w:type="dxa"/>
            <w:vAlign w:val="bottom"/>
          </w:tcPr>
          <w:p>
            <w:pPr>
              <w:spacing w:after="0"/>
              <w:rPr>
                <w:sz w:val="24"/>
                <w:szCs w:val="24"/>
                <w:color w:val="auto"/>
              </w:rPr>
            </w:pPr>
          </w:p>
        </w:tc>
        <w:tc>
          <w:tcPr>
            <w:tcW w:w="4340" w:type="dxa"/>
            <w:vAlign w:val="bottom"/>
            <w:gridSpan w:val="2"/>
            <w:shd w:val="clear" w:color="auto" w:fill="CCEEFF"/>
          </w:tcPr>
          <w:p>
            <w:pPr>
              <w:spacing w:after="0" w:line="283" w:lineRule="exact"/>
              <w:rPr>
                <w:sz w:val="20"/>
                <w:szCs w:val="20"/>
                <w:color w:val="auto"/>
              </w:rPr>
            </w:pPr>
            <w:r>
              <w:rPr>
                <w:rFonts w:ascii="Arial" w:cs="Arial" w:eastAsia="Arial" w:hAnsi="Arial"/>
                <w:sz w:val="18"/>
                <w:szCs w:val="18"/>
                <w:color w:val="auto"/>
              </w:rPr>
              <w:t>Dr. Viola Bronsema</w:t>
            </w:r>
            <w:r>
              <w:rPr>
                <w:rFonts w:ascii="Arial" w:cs="Arial" w:eastAsia="Arial" w:hAnsi="Arial"/>
                <w:sz w:val="26"/>
                <w:szCs w:val="26"/>
                <w:color w:val="auto"/>
                <w:vertAlign w:val="superscript"/>
              </w:rPr>
              <w:t>(2)</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20,644</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20,644</w:t>
            </w:r>
          </w:p>
        </w:tc>
      </w:tr>
      <w:tr>
        <w:trPr>
          <w:trHeight w:val="243"/>
        </w:trPr>
        <w:tc>
          <w:tcPr>
            <w:tcW w:w="36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2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5077460</wp:posOffset>
            </wp:positionH>
            <wp:positionV relativeFrom="paragraph">
              <wp:posOffset>-1679575</wp:posOffset>
            </wp:positionV>
            <wp:extent cx="13716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-1679575</wp:posOffset>
            </wp:positionV>
            <wp:extent cx="13716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3783330</wp:posOffset>
            </wp:positionH>
            <wp:positionV relativeFrom="paragraph">
              <wp:posOffset>-1679575</wp:posOffset>
            </wp:positionV>
            <wp:extent cx="13716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41" w:lineRule="exact"/>
        <w:rPr>
          <w:sz w:val="20"/>
          <w:szCs w:val="20"/>
          <w:color w:val="auto"/>
        </w:rPr>
      </w:pPr>
    </w:p>
    <w:p>
      <w:pPr>
        <w:jc w:val="both"/>
        <w:ind w:left="1900" w:right="1179" w:hanging="640"/>
        <w:spacing w:after="0" w:line="291" w:lineRule="auto"/>
        <w:tabs>
          <w:tab w:leader="none" w:pos="19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On March 10, 2020, the service agreement with Daniel Menichella (the former CEO) was discontinued. He was succeeded on the management board by Dr. Hoerr on that same day.</w:t>
      </w:r>
    </w:p>
    <w:p>
      <w:pPr>
        <w:ind w:left="1900" w:right="519"/>
        <w:spacing w:after="0" w:line="290" w:lineRule="auto"/>
        <w:rPr>
          <w:rFonts w:ascii="Arial" w:cs="Arial" w:eastAsia="Arial" w:hAnsi="Arial"/>
          <w:sz w:val="16"/>
          <w:szCs w:val="16"/>
          <w:color w:val="auto"/>
        </w:rPr>
      </w:pPr>
      <w:r>
        <w:rPr>
          <w:rFonts w:ascii="Arial" w:cs="Arial" w:eastAsia="Arial" w:hAnsi="Arial"/>
          <w:sz w:val="17"/>
          <w:szCs w:val="17"/>
          <w:color w:val="auto"/>
        </w:rPr>
        <w:t>Dr. Hoerr was a managing director of CureVac AG at the time of the Corporate Reorganization but is no longer a managing director of CureVac AG and is not a managing director of CureVac N.V.</w:t>
      </w:r>
    </w:p>
    <w:p>
      <w:pPr>
        <w:spacing w:after="0" w:line="53" w:lineRule="exact"/>
        <w:rPr>
          <w:rFonts w:ascii="Arial" w:cs="Arial" w:eastAsia="Arial" w:hAnsi="Arial"/>
          <w:sz w:val="16"/>
          <w:szCs w:val="16"/>
          <w:color w:val="auto"/>
        </w:rPr>
      </w:pPr>
    </w:p>
    <w:p>
      <w:pPr>
        <w:ind w:left="1900" w:hanging="640"/>
        <w:spacing w:after="0"/>
        <w:tabs>
          <w:tab w:leader="none" w:pos="1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Dr. Bronsema became a supervisory director in August 2020.</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Share Ownership of Supervisory Directors</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The following table sets forth the share ownership of our supervisory directors as of December 31,</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2020.</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420" w:type="dxa"/>
            <w:vAlign w:val="bottom"/>
          </w:tcPr>
          <w:p>
            <w:pPr>
              <w:spacing w:after="0"/>
              <w:rPr>
                <w:sz w:val="14"/>
                <w:szCs w:val="14"/>
                <w:color w:val="auto"/>
              </w:rPr>
            </w:pPr>
          </w:p>
        </w:tc>
      </w:tr>
      <w:tr>
        <w:trPr>
          <w:trHeight w:val="162"/>
        </w:trPr>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of Shares</w:t>
            </w: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7"/>
              </w:rPr>
              <w:t>Voting</w:t>
            </w:r>
          </w:p>
        </w:tc>
      </w:tr>
      <w:tr>
        <w:trPr>
          <w:trHeight w:val="186"/>
        </w:trPr>
        <w:tc>
          <w:tcPr>
            <w:tcW w:w="5480" w:type="dxa"/>
            <w:vAlign w:val="bottom"/>
            <w:gridSpan w:val="4"/>
          </w:tcPr>
          <w:p>
            <w:pPr>
              <w:ind w:left="360"/>
              <w:spacing w:after="0"/>
              <w:rPr>
                <w:sz w:val="20"/>
                <w:szCs w:val="20"/>
                <w:color w:val="auto"/>
              </w:rPr>
            </w:pPr>
            <w:r>
              <w:rPr>
                <w:rFonts w:ascii="Arial" w:cs="Arial" w:eastAsia="Arial" w:hAnsi="Arial"/>
                <w:sz w:val="14"/>
                <w:szCs w:val="14"/>
                <w:b w:val="1"/>
                <w:bCs w:val="1"/>
                <w:color w:val="auto"/>
              </w:rPr>
              <w:t>Name</w:t>
            </w: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Shares</w:t>
            </w: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Outstanding</w:t>
            </w: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7"/>
              </w:rPr>
              <w:t>Rights</w:t>
            </w:r>
          </w:p>
        </w:tc>
      </w:tr>
      <w:tr>
        <w:trPr>
          <w:trHeight w:val="25"/>
        </w:trPr>
        <w:tc>
          <w:tcPr>
            <w:tcW w:w="36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Baron Jean Stéphenne</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57"/>
        </w:trPr>
        <w:tc>
          <w:tcPr>
            <w:tcW w:w="5480" w:type="dxa"/>
            <w:vAlign w:val="bottom"/>
            <w:gridSpan w:val="4"/>
          </w:tcPr>
          <w:p>
            <w:pPr>
              <w:ind w:left="360"/>
              <w:spacing w:after="0"/>
              <w:rPr>
                <w:sz w:val="20"/>
                <w:szCs w:val="20"/>
                <w:color w:val="auto"/>
              </w:rPr>
            </w:pPr>
            <w:r>
              <w:rPr>
                <w:rFonts w:ascii="Arial" w:cs="Arial" w:eastAsia="Arial" w:hAnsi="Arial"/>
                <w:sz w:val="18"/>
                <w:szCs w:val="18"/>
                <w:color w:val="auto"/>
              </w:rPr>
              <w:t>Ralf Clemens</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56"/>
        </w:trPr>
        <w:tc>
          <w:tcPr>
            <w:tcW w:w="360" w:type="dxa"/>
            <w:vAlign w:val="bottom"/>
          </w:tcPr>
          <w:p>
            <w:pPr>
              <w:spacing w:after="0"/>
              <w:rPr>
                <w:sz w:val="22"/>
                <w:szCs w:val="22"/>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Mathias Hothum</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57"/>
        </w:trPr>
        <w:tc>
          <w:tcPr>
            <w:tcW w:w="5480" w:type="dxa"/>
            <w:vAlign w:val="bottom"/>
            <w:gridSpan w:val="4"/>
          </w:tcPr>
          <w:p>
            <w:pPr>
              <w:ind w:left="360"/>
              <w:spacing w:after="0"/>
              <w:rPr>
                <w:sz w:val="20"/>
                <w:szCs w:val="20"/>
                <w:color w:val="auto"/>
              </w:rPr>
            </w:pPr>
            <w:r>
              <w:rPr>
                <w:rFonts w:ascii="Arial" w:cs="Arial" w:eastAsia="Arial" w:hAnsi="Arial"/>
                <w:sz w:val="18"/>
                <w:szCs w:val="18"/>
                <w:color w:val="auto"/>
              </w:rPr>
              <w:t>Hans Cristoph Tanner</w:t>
            </w:r>
          </w:p>
        </w:tc>
        <w:tc>
          <w:tcPr>
            <w:tcW w:w="740" w:type="dxa"/>
            <w:vAlign w:val="bottom"/>
          </w:tcPr>
          <w:p>
            <w:pPr>
              <w:jc w:val="right"/>
              <w:spacing w:after="0"/>
              <w:rPr>
                <w:sz w:val="20"/>
                <w:szCs w:val="20"/>
                <w:color w:val="auto"/>
              </w:rPr>
            </w:pPr>
            <w:r>
              <w:rPr>
                <w:rFonts w:ascii="Arial" w:cs="Arial" w:eastAsia="Arial" w:hAnsi="Arial"/>
                <w:sz w:val="18"/>
                <w:szCs w:val="18"/>
                <w:color w:val="auto"/>
              </w:rPr>
              <w:t>188,172</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2"/>
                <w:szCs w:val="22"/>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56"/>
        </w:trPr>
        <w:tc>
          <w:tcPr>
            <w:tcW w:w="360" w:type="dxa"/>
            <w:vAlign w:val="bottom"/>
          </w:tcPr>
          <w:p>
            <w:pPr>
              <w:spacing w:after="0"/>
              <w:rPr>
                <w:sz w:val="22"/>
                <w:szCs w:val="22"/>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Friedrich von Bohlen und Halbach</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241,935</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5480" w:type="dxa"/>
            <w:vAlign w:val="bottom"/>
            <w:gridSpan w:val="4"/>
          </w:tcPr>
          <w:p>
            <w:pPr>
              <w:ind w:left="360"/>
              <w:spacing w:after="0" w:line="270" w:lineRule="exact"/>
              <w:rPr>
                <w:sz w:val="20"/>
                <w:szCs w:val="20"/>
                <w:color w:val="auto"/>
              </w:rPr>
            </w:pPr>
            <w:r>
              <w:rPr>
                <w:rFonts w:ascii="Arial" w:cs="Arial" w:eastAsia="Arial" w:hAnsi="Arial"/>
                <w:sz w:val="18"/>
                <w:szCs w:val="18"/>
                <w:color w:val="auto"/>
              </w:rPr>
              <w:t>Ingmar Hoerr</w:t>
            </w:r>
            <w:r>
              <w:rPr>
                <w:rFonts w:ascii="Arial" w:cs="Arial" w:eastAsia="Arial" w:hAnsi="Arial"/>
                <w:sz w:val="26"/>
                <w:szCs w:val="26"/>
                <w:color w:val="auto"/>
                <w:vertAlign w:val="superscript"/>
              </w:rPr>
              <w:t>(1)</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1,129,165</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0.63%</w:t>
            </w:r>
          </w:p>
        </w:tc>
        <w:tc>
          <w:tcPr>
            <w:tcW w:w="220" w:type="dxa"/>
            <w:vAlign w:val="bottom"/>
          </w:tcPr>
          <w:p>
            <w:pPr>
              <w:spacing w:after="0"/>
              <w:rPr>
                <w:sz w:val="23"/>
                <w:szCs w:val="23"/>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360" w:type="dxa"/>
            <w:vAlign w:val="bottom"/>
          </w:tcPr>
          <w:p>
            <w:pPr>
              <w:spacing w:after="0"/>
              <w:rPr>
                <w:sz w:val="23"/>
                <w:szCs w:val="23"/>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Timothy M. Wright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5480" w:type="dxa"/>
            <w:vAlign w:val="bottom"/>
            <w:gridSpan w:val="4"/>
          </w:tcPr>
          <w:p>
            <w:pPr>
              <w:ind w:left="360"/>
              <w:spacing w:after="0"/>
              <w:rPr>
                <w:sz w:val="20"/>
                <w:szCs w:val="20"/>
                <w:color w:val="auto"/>
              </w:rPr>
            </w:pPr>
            <w:r>
              <w:rPr>
                <w:rFonts w:ascii="Arial" w:cs="Arial" w:eastAsia="Arial" w:hAnsi="Arial"/>
                <w:sz w:val="18"/>
                <w:szCs w:val="18"/>
                <w:color w:val="auto"/>
              </w:rPr>
              <w:t>Craig A. Tooman</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83"/>
        </w:trPr>
        <w:tc>
          <w:tcPr>
            <w:tcW w:w="360" w:type="dxa"/>
            <w:vAlign w:val="bottom"/>
          </w:tcPr>
          <w:p>
            <w:pPr>
              <w:spacing w:after="0"/>
              <w:rPr>
                <w:sz w:val="24"/>
                <w:szCs w:val="24"/>
                <w:color w:val="auto"/>
              </w:rPr>
            </w:pPr>
          </w:p>
        </w:tc>
        <w:tc>
          <w:tcPr>
            <w:tcW w:w="5120" w:type="dxa"/>
            <w:vAlign w:val="bottom"/>
            <w:gridSpan w:val="3"/>
            <w:shd w:val="clear" w:color="auto" w:fill="CCEEFF"/>
          </w:tcPr>
          <w:p>
            <w:pPr>
              <w:spacing w:after="0" w:line="283" w:lineRule="exact"/>
              <w:rPr>
                <w:sz w:val="20"/>
                <w:szCs w:val="20"/>
                <w:color w:val="auto"/>
              </w:rPr>
            </w:pPr>
            <w:r>
              <w:rPr>
                <w:rFonts w:ascii="Arial" w:cs="Arial" w:eastAsia="Arial" w:hAnsi="Arial"/>
                <w:sz w:val="18"/>
                <w:szCs w:val="18"/>
                <w:color w:val="auto"/>
              </w:rPr>
              <w:t>Dr. Viola Bronsema</w:t>
            </w:r>
            <w:r>
              <w:rPr>
                <w:rFonts w:ascii="Arial" w:cs="Arial" w:eastAsia="Arial" w:hAnsi="Arial"/>
                <w:sz w:val="26"/>
                <w:szCs w:val="26"/>
                <w:color w:val="auto"/>
                <w:vertAlign w:val="superscript"/>
              </w:rPr>
              <w:t>(2)</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36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2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5368925</wp:posOffset>
            </wp:positionH>
            <wp:positionV relativeFrom="paragraph">
              <wp:posOffset>-1679575</wp:posOffset>
            </wp:positionV>
            <wp:extent cx="13716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-1679575</wp:posOffset>
            </wp:positionV>
            <wp:extent cx="13716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4143375</wp:posOffset>
            </wp:positionH>
            <wp:positionV relativeFrom="paragraph">
              <wp:posOffset>-1679575</wp:posOffset>
            </wp:positionV>
            <wp:extent cx="13716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41" w:lineRule="exact"/>
        <w:rPr>
          <w:sz w:val="20"/>
          <w:szCs w:val="20"/>
          <w:color w:val="auto"/>
        </w:rPr>
      </w:pPr>
    </w:p>
    <w:p>
      <w:pPr>
        <w:jc w:val="both"/>
        <w:ind w:left="1900" w:right="1179" w:hanging="640"/>
        <w:spacing w:after="0" w:line="291" w:lineRule="auto"/>
        <w:tabs>
          <w:tab w:leader="none" w:pos="19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On March 10, 2020, the service agreement with Daniel Menichella (the former CEO) was discontinued. He was succeeded on the management board by Dr. Hoerr on that same day.</w:t>
      </w:r>
    </w:p>
    <w:p>
      <w:pPr>
        <w:ind w:left="1900" w:right="439"/>
        <w:spacing w:after="0" w:line="260" w:lineRule="auto"/>
        <w:rPr>
          <w:rFonts w:ascii="Arial" w:cs="Arial" w:eastAsia="Arial" w:hAnsi="Arial"/>
          <w:sz w:val="16"/>
          <w:szCs w:val="16"/>
          <w:color w:val="auto"/>
        </w:rPr>
      </w:pPr>
      <w:r>
        <w:rPr>
          <w:rFonts w:ascii="Arial" w:cs="Arial" w:eastAsia="Arial" w:hAnsi="Arial"/>
          <w:sz w:val="18"/>
          <w:szCs w:val="18"/>
          <w:color w:val="auto"/>
        </w:rPr>
        <w:t>Dr. Hoerr was a managing director of CureVac AG at the time of the reogranization but is no longer a managing director of CureVac AG and is not a managing director of CureVac N.V.</w:t>
      </w:r>
    </w:p>
    <w:p>
      <w:pPr>
        <w:spacing w:after="0" w:line="77" w:lineRule="exact"/>
        <w:rPr>
          <w:rFonts w:ascii="Arial" w:cs="Arial" w:eastAsia="Arial" w:hAnsi="Arial"/>
          <w:sz w:val="16"/>
          <w:szCs w:val="16"/>
          <w:color w:val="auto"/>
        </w:rPr>
      </w:pPr>
    </w:p>
    <w:p>
      <w:pPr>
        <w:ind w:left="1900" w:hanging="640"/>
        <w:spacing w:after="0"/>
        <w:tabs>
          <w:tab w:leader="none" w:pos="1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Dr. Bronsema became a supervisory director in August 2020.</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50" w:name="page251"/>
    <w:bookmarkEnd w:id="2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Option Ownership of Supervisory Directors</w:t>
      </w:r>
    </w:p>
    <w:p>
      <w:pPr>
        <w:spacing w:after="0" w:line="158" w:lineRule="exact"/>
        <w:rPr>
          <w:sz w:val="20"/>
          <w:szCs w:val="20"/>
          <w:color w:val="auto"/>
        </w:rPr>
      </w:pPr>
    </w:p>
    <w:p>
      <w:pPr>
        <w:jc w:val="right"/>
        <w:ind w:right="439"/>
        <w:spacing w:after="0"/>
        <w:rPr>
          <w:sz w:val="20"/>
          <w:szCs w:val="20"/>
          <w:color w:val="auto"/>
        </w:rPr>
      </w:pPr>
      <w:r>
        <w:rPr>
          <w:rFonts w:ascii="Arial" w:cs="Arial" w:eastAsia="Arial" w:hAnsi="Arial"/>
          <w:sz w:val="18"/>
          <w:szCs w:val="18"/>
          <w:color w:val="auto"/>
        </w:rPr>
        <w:t>The following table sets forth the option ownership of our supervisory directors as of December 31,</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2020.</w:t>
      </w:r>
    </w:p>
    <w:p>
      <w:pPr>
        <w:spacing w:after="0" w:line="14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Amount</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3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Number</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of</w:t>
            </w: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Exercise</w:t>
            </w: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Purchase</w:t>
            </w:r>
          </w:p>
        </w:tc>
        <w:tc>
          <w:tcPr>
            <w:tcW w:w="980" w:type="dxa"/>
            <w:vAlign w:val="bottom"/>
          </w:tcPr>
          <w:p>
            <w:pPr>
              <w:spacing w:after="0"/>
              <w:rPr>
                <w:sz w:val="14"/>
                <w:szCs w:val="14"/>
                <w:color w:val="auto"/>
              </w:rPr>
            </w:pPr>
          </w:p>
        </w:tc>
      </w:tr>
      <w:tr>
        <w:trPr>
          <w:trHeight w:val="162"/>
        </w:trPr>
        <w:tc>
          <w:tcPr>
            <w:tcW w:w="3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of</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Securities</w:t>
            </w: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Price</w:t>
            </w: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Price</w:t>
            </w:r>
          </w:p>
        </w:tc>
        <w:tc>
          <w:tcPr>
            <w:tcW w:w="980" w:type="dxa"/>
            <w:vAlign w:val="bottom"/>
          </w:tcPr>
          <w:p>
            <w:pPr>
              <w:spacing w:after="0"/>
              <w:rPr>
                <w:sz w:val="14"/>
                <w:szCs w:val="14"/>
                <w:color w:val="auto"/>
              </w:rPr>
            </w:pPr>
          </w:p>
        </w:tc>
      </w:tr>
      <w:tr>
        <w:trPr>
          <w:trHeight w:val="186"/>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Options</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Title</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w:t>
            </w:r>
          </w:p>
        </w:tc>
        <w:tc>
          <w:tcPr>
            <w:tcW w:w="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w w:val="93"/>
              </w:rPr>
              <w:t>Expiration Date</w:t>
            </w:r>
          </w:p>
        </w:tc>
      </w:tr>
      <w:tr>
        <w:trPr>
          <w:trHeight w:val="26"/>
        </w:trPr>
        <w:tc>
          <w:tcPr>
            <w:tcW w:w="3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Baron Jean Stéphenne</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160" w:type="dxa"/>
            <w:vAlign w:val="bottom"/>
            <w:gridSpan w:val="2"/>
          </w:tcPr>
          <w:p>
            <w:pPr>
              <w:spacing w:after="0"/>
              <w:rPr>
                <w:sz w:val="20"/>
                <w:szCs w:val="20"/>
                <w:color w:val="auto"/>
              </w:rPr>
            </w:pPr>
            <w:r>
              <w:rPr>
                <w:rFonts w:ascii="Arial" w:cs="Arial" w:eastAsia="Arial" w:hAnsi="Arial"/>
                <w:sz w:val="18"/>
                <w:szCs w:val="18"/>
                <w:color w:val="auto"/>
              </w:rPr>
              <w:t>Ralf Clemens</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Mathias Hothum</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160" w:type="dxa"/>
            <w:vAlign w:val="bottom"/>
            <w:gridSpan w:val="2"/>
          </w:tcPr>
          <w:p>
            <w:pPr>
              <w:spacing w:after="0"/>
              <w:rPr>
                <w:sz w:val="20"/>
                <w:szCs w:val="20"/>
                <w:color w:val="auto"/>
              </w:rPr>
            </w:pPr>
            <w:r>
              <w:rPr>
                <w:rFonts w:ascii="Arial" w:cs="Arial" w:eastAsia="Arial" w:hAnsi="Arial"/>
                <w:sz w:val="18"/>
                <w:szCs w:val="18"/>
                <w:color w:val="auto"/>
              </w:rPr>
              <w:t>Hans Cristoph Tanner</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Friedrich von Bohlen und Halbach</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160" w:type="dxa"/>
            <w:vAlign w:val="bottom"/>
            <w:gridSpan w:val="2"/>
          </w:tcPr>
          <w:p>
            <w:pPr>
              <w:spacing w:after="0" w:line="228" w:lineRule="exact"/>
              <w:rPr>
                <w:sz w:val="20"/>
                <w:szCs w:val="20"/>
                <w:color w:val="auto"/>
              </w:rPr>
            </w:pPr>
            <w:r>
              <w:rPr>
                <w:rFonts w:ascii="Arial" w:cs="Arial" w:eastAsia="Arial" w:hAnsi="Arial"/>
                <w:sz w:val="18"/>
                <w:szCs w:val="18"/>
                <w:color w:val="auto"/>
              </w:rPr>
              <w:t>Ingmar Hoerr</w:t>
            </w:r>
            <w:r>
              <w:rPr>
                <w:rFonts w:ascii="Arial" w:cs="Arial" w:eastAsia="Arial" w:hAnsi="Arial"/>
                <w:sz w:val="26"/>
                <w:szCs w:val="26"/>
                <w:color w:val="auto"/>
                <w:vertAlign w:val="superscript"/>
              </w:rPr>
              <w:t>(1)</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369,423</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Share Option</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369,423</w:t>
            </w:r>
          </w:p>
        </w:tc>
        <w:tc>
          <w:tcPr>
            <w:tcW w:w="540" w:type="dxa"/>
            <w:vAlign w:val="bottom"/>
          </w:tcPr>
          <w:p>
            <w:pPr>
              <w:jc w:val="right"/>
              <w:ind w:right="35"/>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2,776</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12/31/2021</w:t>
            </w:r>
          </w:p>
        </w:tc>
      </w:tr>
      <w:tr>
        <w:trPr>
          <w:trHeight w:val="230"/>
        </w:trPr>
        <w:tc>
          <w:tcPr>
            <w:tcW w:w="3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Awards</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M. Wright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160" w:type="dxa"/>
            <w:vAlign w:val="bottom"/>
            <w:gridSpan w:val="2"/>
          </w:tcPr>
          <w:p>
            <w:pPr>
              <w:spacing w:after="0"/>
              <w:rPr>
                <w:sz w:val="20"/>
                <w:szCs w:val="20"/>
                <w:color w:val="auto"/>
              </w:rPr>
            </w:pPr>
            <w:r>
              <w:rPr>
                <w:rFonts w:ascii="Arial" w:cs="Arial" w:eastAsia="Arial" w:hAnsi="Arial"/>
                <w:sz w:val="18"/>
                <w:szCs w:val="18"/>
                <w:color w:val="auto"/>
              </w:rPr>
              <w:t>Craig A. Tooman</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3160" w:type="dxa"/>
            <w:vAlign w:val="bottom"/>
            <w:gridSpan w:val="2"/>
            <w:shd w:val="clear" w:color="auto" w:fill="CCEEFF"/>
          </w:tcPr>
          <w:p>
            <w:pPr>
              <w:spacing w:after="0" w:line="283" w:lineRule="exact"/>
              <w:rPr>
                <w:sz w:val="20"/>
                <w:szCs w:val="20"/>
                <w:color w:val="auto"/>
              </w:rPr>
            </w:pPr>
            <w:r>
              <w:rPr>
                <w:rFonts w:ascii="Arial" w:cs="Arial" w:eastAsia="Arial" w:hAnsi="Arial"/>
                <w:sz w:val="18"/>
                <w:szCs w:val="18"/>
                <w:color w:val="auto"/>
              </w:rPr>
              <w:t>Dr. Viola Bronsema</w:t>
            </w:r>
            <w:r>
              <w:rPr>
                <w:rFonts w:ascii="Arial" w:cs="Arial" w:eastAsia="Arial" w:hAnsi="Arial"/>
                <w:sz w:val="26"/>
                <w:szCs w:val="26"/>
                <w:color w:val="auto"/>
                <w:vertAlign w:val="superscript"/>
              </w:rPr>
              <w:t>(2)</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-1654175</wp:posOffset>
            </wp:positionV>
            <wp:extent cx="8572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-1654175</wp:posOffset>
            </wp:positionV>
            <wp:extent cx="8572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4417695</wp:posOffset>
            </wp:positionH>
            <wp:positionV relativeFrom="paragraph">
              <wp:posOffset>-1654175</wp:posOffset>
            </wp:positionV>
            <wp:extent cx="8572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-1654175</wp:posOffset>
            </wp:positionV>
            <wp:extent cx="8572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3191510</wp:posOffset>
            </wp:positionH>
            <wp:positionV relativeFrom="paragraph">
              <wp:posOffset>-1654175</wp:posOffset>
            </wp:positionV>
            <wp:extent cx="8572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-1654175</wp:posOffset>
            </wp:positionV>
            <wp:extent cx="8572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64592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44" w:lineRule="exact"/>
        <w:rPr>
          <w:sz w:val="20"/>
          <w:szCs w:val="20"/>
          <w:color w:val="auto"/>
        </w:rPr>
      </w:pPr>
    </w:p>
    <w:p>
      <w:pPr>
        <w:jc w:val="both"/>
        <w:ind w:left="1900" w:right="1179" w:hanging="640"/>
        <w:spacing w:after="0" w:line="291" w:lineRule="auto"/>
        <w:tabs>
          <w:tab w:leader="none" w:pos="19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On March 10, 2020, the service agreement with Daniel Menichella (the former CEO) was discontinued. He was succeeded on the management board by Dr. Hoerr on that same day.</w:t>
      </w:r>
    </w:p>
    <w:p>
      <w:pPr>
        <w:ind w:left="1900" w:right="519"/>
        <w:spacing w:after="0" w:line="289" w:lineRule="auto"/>
        <w:rPr>
          <w:rFonts w:ascii="Arial" w:cs="Arial" w:eastAsia="Arial" w:hAnsi="Arial"/>
          <w:sz w:val="16"/>
          <w:szCs w:val="16"/>
          <w:color w:val="auto"/>
        </w:rPr>
      </w:pPr>
      <w:r>
        <w:rPr>
          <w:rFonts w:ascii="Arial" w:cs="Arial" w:eastAsia="Arial" w:hAnsi="Arial"/>
          <w:sz w:val="17"/>
          <w:szCs w:val="17"/>
          <w:color w:val="auto"/>
        </w:rPr>
        <w:t>Dr. Hoerr was a managing director of CureVac AG at the time of the Corporate Reorganization but is no longer a managing director of CureVac AG and is not a managing director of CureVac N.V.</w:t>
      </w:r>
    </w:p>
    <w:p>
      <w:pPr>
        <w:ind w:left="1900" w:hanging="640"/>
        <w:spacing w:after="0"/>
        <w:tabs>
          <w:tab w:leader="none" w:pos="1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Dr. Bronsema became a supervisory director in August 2020.</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Management Board</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of Managing Directors</w:t>
      </w:r>
    </w:p>
    <w:p>
      <w:pPr>
        <w:spacing w:after="0" w:line="158" w:lineRule="exact"/>
        <w:rPr>
          <w:sz w:val="20"/>
          <w:szCs w:val="20"/>
          <w:color w:val="auto"/>
        </w:rPr>
      </w:pPr>
    </w:p>
    <w:p>
      <w:pPr>
        <w:ind w:left="1260" w:right="659" w:firstLine="648"/>
        <w:spacing w:after="0" w:line="241" w:lineRule="auto"/>
        <w:rPr>
          <w:sz w:val="20"/>
          <w:szCs w:val="20"/>
          <w:color w:val="auto"/>
        </w:rPr>
      </w:pPr>
      <w:r>
        <w:rPr>
          <w:rFonts w:ascii="Arial" w:cs="Arial" w:eastAsia="Arial" w:hAnsi="Arial"/>
          <w:sz w:val="18"/>
          <w:szCs w:val="18"/>
          <w:color w:val="auto"/>
        </w:rPr>
        <w:t>For the year ended December 31, 2020, the aggregate compensation accrued or paid to our managing directors for services in all capacities was €4,268,302 (including an approximate conversion of Mr. Menichella’s, Mr. Voliotis’s and Mr. Splawski’s compensation from USD) . The following table sets forth the compensation and benefits provided to our management board in the year ended December 31, 2020.</w:t>
      </w:r>
    </w:p>
    <w:p>
      <w:pPr>
        <w:spacing w:after="0" w:line="124"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All Other</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93"/>
        </w:trPr>
        <w:tc>
          <w:tcPr>
            <w:tcW w:w="4100" w:type="dxa"/>
            <w:vAlign w:val="bottom"/>
            <w:vMerge w:val="restart"/>
          </w:tcPr>
          <w:p>
            <w:pPr>
              <w:spacing w:after="0"/>
              <w:rPr>
                <w:sz w:val="20"/>
                <w:szCs w:val="20"/>
                <w:color w:val="auto"/>
              </w:rPr>
            </w:pPr>
            <w:r>
              <w:rPr>
                <w:rFonts w:ascii="Arial" w:cs="Arial" w:eastAsia="Arial" w:hAnsi="Arial"/>
                <w:sz w:val="14"/>
                <w:szCs w:val="14"/>
                <w:b w:val="1"/>
                <w:bCs w:val="1"/>
                <w:color w:val="auto"/>
              </w:rPr>
              <w:t>Name*</w:t>
            </w:r>
            <w:r>
              <w:rPr>
                <w:rFonts w:ascii="Arial" w:cs="Arial" w:eastAsia="Arial" w:hAnsi="Arial"/>
                <w:sz w:val="21"/>
                <w:szCs w:val="21"/>
                <w:b w:val="1"/>
                <w:bCs w:val="1"/>
                <w:color w:val="auto"/>
                <w:vertAlign w:val="superscript"/>
              </w:rPr>
              <w:t>(9)</w:t>
            </w:r>
          </w:p>
        </w:tc>
        <w:tc>
          <w:tcPr>
            <w:tcW w:w="220" w:type="dxa"/>
            <w:vAlign w:val="bottom"/>
            <w:vMerge w:val="restart"/>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Salary</w:t>
            </w:r>
          </w:p>
        </w:tc>
        <w:tc>
          <w:tcPr>
            <w:tcW w:w="820" w:type="dxa"/>
            <w:vAlign w:val="bottom"/>
            <w:gridSpan w:val="2"/>
          </w:tcPr>
          <w:p>
            <w:pPr>
              <w:ind w:left="40"/>
              <w:spacing w:after="0" w:line="194" w:lineRule="exact"/>
              <w:rPr>
                <w:sz w:val="20"/>
                <w:szCs w:val="20"/>
                <w:color w:val="auto"/>
              </w:rPr>
            </w:pPr>
            <w:r>
              <w:rPr>
                <w:rFonts w:ascii="Arial" w:cs="Arial" w:eastAsia="Arial" w:hAnsi="Arial"/>
                <w:sz w:val="14"/>
                <w:szCs w:val="14"/>
                <w:b w:val="1"/>
                <w:bCs w:val="1"/>
                <w:color w:val="auto"/>
              </w:rPr>
              <w:t>Bonus</w:t>
            </w:r>
            <w:r>
              <w:rPr>
                <w:rFonts w:ascii="Arial" w:cs="Arial" w:eastAsia="Arial" w:hAnsi="Arial"/>
                <w:sz w:val="21"/>
                <w:szCs w:val="21"/>
                <w:b w:val="1"/>
                <w:bCs w:val="1"/>
                <w:color w:val="auto"/>
                <w:vertAlign w:val="superscript"/>
              </w:rPr>
              <w:t>(1)</w:t>
            </w:r>
          </w:p>
        </w:tc>
        <w:tc>
          <w:tcPr>
            <w:tcW w:w="1240" w:type="dxa"/>
            <w:vAlign w:val="bottom"/>
            <w:gridSpan w:val="2"/>
          </w:tcPr>
          <w:p>
            <w:pPr>
              <w:jc w:val="center"/>
              <w:ind w:right="240"/>
              <w:spacing w:after="0" w:line="194" w:lineRule="exact"/>
              <w:rPr>
                <w:sz w:val="20"/>
                <w:szCs w:val="20"/>
                <w:color w:val="auto"/>
              </w:rPr>
            </w:pPr>
            <w:r>
              <w:rPr>
                <w:rFonts w:ascii="Arial" w:cs="Arial" w:eastAsia="Arial" w:hAnsi="Arial"/>
                <w:sz w:val="14"/>
                <w:szCs w:val="14"/>
                <w:b w:val="1"/>
                <w:bCs w:val="1"/>
                <w:color w:val="auto"/>
                <w:w w:val="83"/>
              </w:rPr>
              <w:t>Compensation</w:t>
            </w:r>
            <w:r>
              <w:rPr>
                <w:rFonts w:ascii="Arial" w:cs="Arial" w:eastAsia="Arial" w:hAnsi="Arial"/>
                <w:sz w:val="21"/>
                <w:szCs w:val="21"/>
                <w:b w:val="1"/>
                <w:bCs w:val="1"/>
                <w:color w:val="auto"/>
                <w:w w:val="83"/>
                <w:vertAlign w:val="superscript"/>
              </w:rPr>
              <w:t>(2)</w:t>
            </w:r>
          </w:p>
        </w:tc>
        <w:tc>
          <w:tcPr>
            <w:tcW w:w="1000" w:type="dxa"/>
            <w:vAlign w:val="bottom"/>
          </w:tcPr>
          <w:p>
            <w:pPr>
              <w:jc w:val="center"/>
              <w:spacing w:after="0" w:line="194" w:lineRule="exact"/>
              <w:rPr>
                <w:sz w:val="20"/>
                <w:szCs w:val="20"/>
                <w:color w:val="auto"/>
              </w:rPr>
            </w:pPr>
            <w:r>
              <w:rPr>
                <w:rFonts w:ascii="Arial" w:cs="Arial" w:eastAsia="Arial" w:hAnsi="Arial"/>
                <w:sz w:val="14"/>
                <w:szCs w:val="14"/>
                <w:b w:val="1"/>
                <w:bCs w:val="1"/>
                <w:color w:val="auto"/>
                <w:w w:val="85"/>
              </w:rPr>
              <w:t>Compensation</w:t>
            </w:r>
            <w:r>
              <w:rPr>
                <w:rFonts w:ascii="Arial" w:cs="Arial" w:eastAsia="Arial" w:hAnsi="Arial"/>
                <w:sz w:val="21"/>
                <w:szCs w:val="21"/>
                <w:b w:val="1"/>
                <w:bCs w:val="1"/>
                <w:color w:val="auto"/>
                <w:w w:val="85"/>
                <w:vertAlign w:val="superscript"/>
              </w:rPr>
              <w:t>(3)</w:t>
            </w:r>
          </w:p>
        </w:tc>
        <w:tc>
          <w:tcPr>
            <w:tcW w:w="0" w:type="dxa"/>
            <w:vAlign w:val="bottom"/>
          </w:tcPr>
          <w:p>
            <w:pPr>
              <w:spacing w:after="0"/>
              <w:rPr>
                <w:sz w:val="1"/>
                <w:szCs w:val="1"/>
                <w:color w:val="auto"/>
              </w:rPr>
            </w:pPr>
          </w:p>
        </w:tc>
      </w:tr>
      <w:tr>
        <w:trPr>
          <w:trHeight w:val="212"/>
        </w:trPr>
        <w:tc>
          <w:tcPr>
            <w:tcW w:w="410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CCEEFF"/>
            </w:tcBorders>
            <w:vMerge w:val="continue"/>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63"/>
        </w:trPr>
        <w:tc>
          <w:tcPr>
            <w:tcW w:w="4320" w:type="dxa"/>
            <w:vAlign w:val="bottom"/>
            <w:gridSpan w:val="2"/>
            <w:shd w:val="clear" w:color="auto" w:fill="CCEEFF"/>
          </w:tcPr>
          <w:p>
            <w:pPr>
              <w:spacing w:after="0" w:line="263" w:lineRule="exact"/>
              <w:rPr>
                <w:sz w:val="20"/>
                <w:szCs w:val="20"/>
                <w:color w:val="auto"/>
              </w:rPr>
            </w:pPr>
            <w:r>
              <w:rPr>
                <w:rFonts w:ascii="Arial" w:cs="Arial" w:eastAsia="Arial" w:hAnsi="Arial"/>
                <w:sz w:val="18"/>
                <w:szCs w:val="18"/>
                <w:color w:val="auto"/>
              </w:rPr>
              <w:t>Daniel L. Menichella</w:t>
            </w:r>
            <w:r>
              <w:rPr>
                <w:rFonts w:ascii="Arial" w:cs="Arial" w:eastAsia="Arial" w:hAnsi="Arial"/>
                <w:sz w:val="26"/>
                <w:szCs w:val="26"/>
                <w:color w:val="auto"/>
                <w:vertAlign w:val="superscript"/>
              </w:rPr>
              <w:t>(4)(5)</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129,843</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318,218</w:t>
            </w: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651,025</w:t>
            </w: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1,099,086</w:t>
            </w:r>
          </w:p>
        </w:tc>
        <w:tc>
          <w:tcPr>
            <w:tcW w:w="0" w:type="dxa"/>
            <w:vAlign w:val="bottom"/>
          </w:tcPr>
          <w:p>
            <w:pPr>
              <w:spacing w:after="0"/>
              <w:rPr>
                <w:sz w:val="1"/>
                <w:szCs w:val="1"/>
                <w:color w:val="auto"/>
              </w:rPr>
            </w:pPr>
          </w:p>
        </w:tc>
      </w:tr>
      <w:tr>
        <w:trPr>
          <w:trHeight w:val="257"/>
        </w:trPr>
        <w:tc>
          <w:tcPr>
            <w:tcW w:w="4320" w:type="dxa"/>
            <w:vAlign w:val="bottom"/>
            <w:gridSpan w:val="2"/>
          </w:tcPr>
          <w:p>
            <w:pPr>
              <w:spacing w:after="0"/>
              <w:rPr>
                <w:sz w:val="20"/>
                <w:szCs w:val="20"/>
                <w:color w:val="auto"/>
              </w:rPr>
            </w:pPr>
            <w:r>
              <w:rPr>
                <w:rFonts w:ascii="Arial" w:cs="Arial" w:eastAsia="Arial" w:hAnsi="Arial"/>
                <w:sz w:val="18"/>
                <w:szCs w:val="18"/>
                <w:color w:val="auto"/>
              </w:rPr>
              <w:t>Florian von der Mulbe</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258,533</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235,375</w:t>
            </w:r>
          </w:p>
        </w:tc>
        <w:tc>
          <w:tcPr>
            <w:tcW w:w="1020" w:type="dxa"/>
            <w:vAlign w:val="bottom"/>
          </w:tcPr>
          <w:p>
            <w:pPr>
              <w:jc w:val="right"/>
              <w:ind w:right="135"/>
              <w:spacing w:after="0"/>
              <w:rPr>
                <w:sz w:val="20"/>
                <w:szCs w:val="20"/>
                <w:color w:val="auto"/>
              </w:rPr>
            </w:pPr>
            <w:r>
              <w:rPr>
                <w:rFonts w:ascii="Arial" w:cs="Arial" w:eastAsia="Arial" w:hAnsi="Arial"/>
                <w:sz w:val="18"/>
                <w:szCs w:val="18"/>
                <w:color w:val="auto"/>
              </w:rPr>
              <w:t>25,482</w:t>
            </w:r>
          </w:p>
        </w:tc>
        <w:tc>
          <w:tcPr>
            <w:tcW w:w="220" w:type="dxa"/>
            <w:vAlign w:val="bottom"/>
          </w:tcPr>
          <w:p>
            <w:pPr>
              <w:spacing w:after="0"/>
              <w:rPr>
                <w:sz w:val="22"/>
                <w:szCs w:val="22"/>
                <w:color w:val="auto"/>
              </w:rPr>
            </w:pP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519,390</w:t>
            </w:r>
          </w:p>
        </w:tc>
        <w:tc>
          <w:tcPr>
            <w:tcW w:w="0" w:type="dxa"/>
            <w:vAlign w:val="bottom"/>
          </w:tcPr>
          <w:p>
            <w:pPr>
              <w:spacing w:after="0"/>
              <w:rPr>
                <w:sz w:val="1"/>
                <w:szCs w:val="1"/>
                <w:color w:val="auto"/>
              </w:rPr>
            </w:pPr>
          </w:p>
        </w:tc>
      </w:tr>
      <w:tr>
        <w:trPr>
          <w:trHeight w:val="25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Mariola Fotin-Mleczek</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226,866</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221,875</w:t>
            </w: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19,492</w:t>
            </w: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468,233</w:t>
            </w:r>
          </w:p>
        </w:tc>
        <w:tc>
          <w:tcPr>
            <w:tcW w:w="0" w:type="dxa"/>
            <w:vAlign w:val="bottom"/>
          </w:tcPr>
          <w:p>
            <w:pPr>
              <w:spacing w:after="0"/>
              <w:rPr>
                <w:sz w:val="1"/>
                <w:szCs w:val="1"/>
                <w:color w:val="auto"/>
              </w:rPr>
            </w:pPr>
          </w:p>
        </w:tc>
      </w:tr>
      <w:tr>
        <w:trPr>
          <w:trHeight w:val="257"/>
        </w:trPr>
        <w:tc>
          <w:tcPr>
            <w:tcW w:w="4320" w:type="dxa"/>
            <w:vAlign w:val="bottom"/>
            <w:gridSpan w:val="2"/>
          </w:tcPr>
          <w:p>
            <w:pPr>
              <w:spacing w:after="0"/>
              <w:rPr>
                <w:sz w:val="20"/>
                <w:szCs w:val="20"/>
                <w:color w:val="auto"/>
              </w:rPr>
            </w:pPr>
            <w:r>
              <w:rPr>
                <w:rFonts w:ascii="Arial" w:cs="Arial" w:eastAsia="Arial" w:hAnsi="Arial"/>
                <w:sz w:val="18"/>
                <w:szCs w:val="18"/>
                <w:color w:val="auto"/>
              </w:rPr>
              <w:t>Franz-Werner Haas</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264,866</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312,150</w:t>
            </w:r>
          </w:p>
        </w:tc>
        <w:tc>
          <w:tcPr>
            <w:tcW w:w="1020" w:type="dxa"/>
            <w:vAlign w:val="bottom"/>
          </w:tcPr>
          <w:p>
            <w:pPr>
              <w:jc w:val="right"/>
              <w:ind w:right="135"/>
              <w:spacing w:after="0"/>
              <w:rPr>
                <w:sz w:val="20"/>
                <w:szCs w:val="20"/>
                <w:color w:val="auto"/>
              </w:rPr>
            </w:pPr>
            <w:r>
              <w:rPr>
                <w:rFonts w:ascii="Arial" w:cs="Arial" w:eastAsia="Arial" w:hAnsi="Arial"/>
                <w:sz w:val="18"/>
                <w:szCs w:val="18"/>
                <w:color w:val="auto"/>
              </w:rPr>
              <w:t>24,865</w:t>
            </w:r>
          </w:p>
        </w:tc>
        <w:tc>
          <w:tcPr>
            <w:tcW w:w="220" w:type="dxa"/>
            <w:vAlign w:val="bottom"/>
          </w:tcPr>
          <w:p>
            <w:pPr>
              <w:spacing w:after="0"/>
              <w:rPr>
                <w:sz w:val="22"/>
                <w:szCs w:val="22"/>
                <w:color w:val="auto"/>
              </w:rPr>
            </w:pP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601,881</w:t>
            </w:r>
          </w:p>
        </w:tc>
        <w:tc>
          <w:tcPr>
            <w:tcW w:w="0" w:type="dxa"/>
            <w:vAlign w:val="bottom"/>
          </w:tcPr>
          <w:p>
            <w:pPr>
              <w:spacing w:after="0"/>
              <w:rPr>
                <w:sz w:val="1"/>
                <w:szCs w:val="1"/>
                <w:color w:val="auto"/>
              </w:rPr>
            </w:pPr>
          </w:p>
        </w:tc>
      </w:tr>
      <w:tr>
        <w:trPr>
          <w:trHeight w:val="25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Pierre Kemula</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250,199</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235,375</w:t>
            </w: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99,928</w:t>
            </w: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585,502</w:t>
            </w:r>
          </w:p>
        </w:tc>
        <w:tc>
          <w:tcPr>
            <w:tcW w:w="0" w:type="dxa"/>
            <w:vAlign w:val="bottom"/>
          </w:tcPr>
          <w:p>
            <w:pPr>
              <w:spacing w:after="0"/>
              <w:rPr>
                <w:sz w:val="1"/>
                <w:szCs w:val="1"/>
                <w:color w:val="auto"/>
              </w:rPr>
            </w:pPr>
          </w:p>
        </w:tc>
      </w:tr>
      <w:tr>
        <w:trPr>
          <w:trHeight w:val="270"/>
        </w:trPr>
        <w:tc>
          <w:tcPr>
            <w:tcW w:w="4320" w:type="dxa"/>
            <w:vAlign w:val="bottom"/>
            <w:gridSpan w:val="2"/>
          </w:tcPr>
          <w:p>
            <w:pPr>
              <w:spacing w:after="0" w:line="270" w:lineRule="exact"/>
              <w:rPr>
                <w:sz w:val="20"/>
                <w:szCs w:val="20"/>
                <w:color w:val="auto"/>
              </w:rPr>
            </w:pPr>
            <w:r>
              <w:rPr>
                <w:rFonts w:ascii="Arial" w:cs="Arial" w:eastAsia="Arial" w:hAnsi="Arial"/>
                <w:sz w:val="18"/>
                <w:szCs w:val="18"/>
                <w:color w:val="auto"/>
              </w:rPr>
              <w:t>Bernd Winterhalter</w:t>
            </w:r>
            <w:r>
              <w:rPr>
                <w:rFonts w:ascii="Arial" w:cs="Arial" w:eastAsia="Arial" w:hAnsi="Arial"/>
                <w:sz w:val="26"/>
                <w:szCs w:val="26"/>
                <w:color w:val="auto"/>
                <w:vertAlign w:val="superscript"/>
              </w:rPr>
              <w:t>(7)</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455,955</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455,955</w:t>
            </w:r>
          </w:p>
        </w:tc>
        <w:tc>
          <w:tcPr>
            <w:tcW w:w="0" w:type="dxa"/>
            <w:vAlign w:val="bottom"/>
          </w:tcPr>
          <w:p>
            <w:pPr>
              <w:spacing w:after="0"/>
              <w:rPr>
                <w:sz w:val="1"/>
                <w:szCs w:val="1"/>
                <w:color w:val="auto"/>
              </w:rPr>
            </w:pPr>
          </w:p>
        </w:tc>
      </w:tr>
      <w:tr>
        <w:trPr>
          <w:trHeight w:val="270"/>
        </w:trPr>
        <w:tc>
          <w:tcPr>
            <w:tcW w:w="432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Dimitris Voliotis</w:t>
            </w:r>
            <w:r>
              <w:rPr>
                <w:rFonts w:ascii="Arial" w:cs="Arial" w:eastAsia="Arial" w:hAnsi="Arial"/>
                <w:sz w:val="26"/>
                <w:szCs w:val="26"/>
                <w:color w:val="auto"/>
                <w:vertAlign w:val="superscript"/>
              </w:rPr>
              <w:t>(8)</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11,283</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306,935</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318,218</w:t>
            </w:r>
          </w:p>
        </w:tc>
        <w:tc>
          <w:tcPr>
            <w:tcW w:w="0" w:type="dxa"/>
            <w:vAlign w:val="bottom"/>
          </w:tcPr>
          <w:p>
            <w:pPr>
              <w:spacing w:after="0"/>
              <w:rPr>
                <w:sz w:val="1"/>
                <w:szCs w:val="1"/>
                <w:color w:val="auto"/>
              </w:rPr>
            </w:pPr>
          </w:p>
        </w:tc>
      </w:tr>
      <w:tr>
        <w:trPr>
          <w:trHeight w:val="355"/>
        </w:trPr>
        <w:tc>
          <w:tcPr>
            <w:tcW w:w="4320" w:type="dxa"/>
            <w:vAlign w:val="bottom"/>
            <w:gridSpan w:val="2"/>
          </w:tcPr>
          <w:p>
            <w:pPr>
              <w:spacing w:after="0"/>
              <w:rPr>
                <w:sz w:val="20"/>
                <w:szCs w:val="20"/>
                <w:color w:val="auto"/>
              </w:rPr>
            </w:pPr>
            <w:r>
              <w:rPr>
                <w:rFonts w:ascii="Arial" w:cs="Arial" w:eastAsia="Arial" w:hAnsi="Arial"/>
                <w:sz w:val="18"/>
                <w:szCs w:val="18"/>
                <w:color w:val="auto"/>
              </w:rPr>
              <w:t>Igor Splawski</w:t>
            </w:r>
            <w:r>
              <w:rPr>
                <w:rFonts w:ascii="Arial" w:cs="Arial" w:eastAsia="Arial" w:hAnsi="Arial"/>
                <w:sz w:val="26"/>
                <w:szCs w:val="26"/>
                <w:color w:val="auto"/>
                <w:vertAlign w:val="superscript"/>
              </w:rPr>
              <w:t>(10)(11)</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146,883</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5"/>
              <w:spacing w:after="0"/>
              <w:rPr>
                <w:sz w:val="20"/>
                <w:szCs w:val="20"/>
                <w:color w:val="auto"/>
              </w:rPr>
            </w:pPr>
            <w:r>
              <w:rPr>
                <w:rFonts w:ascii="Arial" w:cs="Arial" w:eastAsia="Arial" w:hAnsi="Arial"/>
                <w:sz w:val="18"/>
                <w:szCs w:val="18"/>
                <w:color w:val="auto"/>
              </w:rPr>
              <w:t>74,154</w:t>
            </w:r>
          </w:p>
        </w:tc>
        <w:tc>
          <w:tcPr>
            <w:tcW w:w="220" w:type="dxa"/>
            <w:vAlign w:val="bottom"/>
          </w:tcPr>
          <w:p>
            <w:pPr>
              <w:spacing w:after="0"/>
              <w:rPr>
                <w:sz w:val="24"/>
                <w:szCs w:val="24"/>
                <w:color w:val="auto"/>
              </w:rPr>
            </w:pP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220,037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5231765</wp:posOffset>
            </wp:positionH>
            <wp:positionV relativeFrom="paragraph">
              <wp:posOffset>-1399540</wp:posOffset>
            </wp:positionV>
            <wp:extent cx="13716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-1399540</wp:posOffset>
            </wp:positionV>
            <wp:extent cx="13716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-1399540</wp:posOffset>
            </wp:positionV>
            <wp:extent cx="13716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-1399540</wp:posOffset>
            </wp:positionV>
            <wp:extent cx="13716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91440</wp:posOffset>
            </wp:positionV>
            <wp:extent cx="164592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58" w:lineRule="exact"/>
        <w:rPr>
          <w:sz w:val="20"/>
          <w:szCs w:val="20"/>
          <w:color w:val="auto"/>
        </w:rPr>
      </w:pPr>
    </w:p>
    <w:p>
      <w:pPr>
        <w:ind w:left="1900" w:right="479" w:hanging="640"/>
        <w:spacing w:after="0" w:line="298" w:lineRule="auto"/>
        <w:tabs>
          <w:tab w:leader="none" w:pos="19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This amount represents the annual variable payment received based on a percentage of yearly gross remuneration for reaching certain targets agreed upon with the supervisory board.</w:t>
      </w:r>
    </w:p>
    <w:p>
      <w:pPr>
        <w:ind w:left="1900" w:right="999" w:hanging="640"/>
        <w:spacing w:after="0" w:line="277" w:lineRule="auto"/>
        <w:tabs>
          <w:tab w:leader="none" w:pos="1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All other compensation includes other monetary benefits and contributions to social security insurance, if any.</w:t>
      </w:r>
    </w:p>
    <w:p>
      <w:pPr>
        <w:spacing w:after="0" w:line="8" w:lineRule="exact"/>
        <w:rPr>
          <w:rFonts w:ascii="Arial" w:cs="Arial" w:eastAsia="Arial" w:hAnsi="Arial"/>
          <w:sz w:val="18"/>
          <w:szCs w:val="18"/>
          <w:color w:val="auto"/>
        </w:rPr>
      </w:pPr>
    </w:p>
    <w:p>
      <w:pPr>
        <w:ind w:left="1900" w:right="479" w:hanging="640"/>
        <w:spacing w:after="0" w:line="277" w:lineRule="auto"/>
        <w:tabs>
          <w:tab w:leader="none" w:pos="1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This column does not include the virtual shares held by certain of the management board members, as described in the virtual share chart below.</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286385</wp:posOffset>
            </wp:positionV>
            <wp:extent cx="6806565"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51" w:name="page252"/>
    <w:bookmarkEnd w:id="2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900" w:right="1179" w:hanging="640"/>
        <w:spacing w:after="0" w:line="291" w:lineRule="auto"/>
        <w:tabs>
          <w:tab w:leader="none" w:pos="19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On March 10, 2020, the service agreement with Daniel Menichella (the former CEO) was discontinued. He was succeeded on the management board by Dr. Hoerr on that same day.</w:t>
      </w:r>
    </w:p>
    <w:p>
      <w:pPr>
        <w:ind w:left="1900" w:right="519"/>
        <w:spacing w:after="0" w:line="290" w:lineRule="auto"/>
        <w:rPr>
          <w:rFonts w:ascii="Arial" w:cs="Arial" w:eastAsia="Arial" w:hAnsi="Arial"/>
          <w:sz w:val="16"/>
          <w:szCs w:val="16"/>
          <w:color w:val="auto"/>
        </w:rPr>
      </w:pPr>
      <w:r>
        <w:rPr>
          <w:rFonts w:ascii="Arial" w:cs="Arial" w:eastAsia="Arial" w:hAnsi="Arial"/>
          <w:sz w:val="17"/>
          <w:szCs w:val="17"/>
          <w:color w:val="auto"/>
        </w:rPr>
        <w:t>Dr. Hoerr was a managing director of CureVac AG at the time of the Corporate Reorganization but is no longer a managing director of CureVac AG and is not a managing director of CureVac N.V.</w:t>
      </w:r>
    </w:p>
    <w:p>
      <w:pPr>
        <w:spacing w:after="0" w:line="26" w:lineRule="exact"/>
        <w:rPr>
          <w:rFonts w:ascii="Arial" w:cs="Arial" w:eastAsia="Arial" w:hAnsi="Arial"/>
          <w:sz w:val="16"/>
          <w:szCs w:val="16"/>
          <w:color w:val="auto"/>
        </w:rPr>
      </w:pPr>
    </w:p>
    <w:p>
      <w:pPr>
        <w:ind w:left="1900" w:right="459" w:hanging="640"/>
        <w:spacing w:after="0" w:line="254" w:lineRule="auto"/>
        <w:tabs>
          <w:tab w:leader="none" w:pos="1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Mr. Menichella also held 29,053 options, which were exchanged for 3,866,309 options for common shares in CureVac N.V. in connection with the Corporate Reorganization, out of which he exercised 3,766,309 options between August 2020 and December 2020. See note 9.4 to our consolidated financial statements and note 5 of the unaudited interim condensed consolidated financial statements, contained elsewhere in this prospectus, for further information on Mr. Menichella’s options. During this period, he was paid in USD. The table reflects an approximate conversion of Mr. Menichella’s compensation in EUR.</w:t>
      </w:r>
    </w:p>
    <w:p>
      <w:pPr>
        <w:spacing w:after="0" w:line="46" w:lineRule="exact"/>
        <w:rPr>
          <w:rFonts w:ascii="Arial" w:cs="Arial" w:eastAsia="Arial" w:hAnsi="Arial"/>
          <w:sz w:val="18"/>
          <w:szCs w:val="18"/>
          <w:color w:val="auto"/>
        </w:rPr>
      </w:pPr>
    </w:p>
    <w:p>
      <w:pPr>
        <w:ind w:left="1900" w:right="499" w:hanging="640"/>
        <w:spacing w:after="0" w:line="274" w:lineRule="auto"/>
        <w:tabs>
          <w:tab w:leader="none" w:pos="190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This amount includes the $750,000 severance payment Mr. Menichella received in connection with the discontinuation of his service agreement. The table reflects an approximate conversion of</w:t>
      </w:r>
    </w:p>
    <w:p>
      <w:pPr>
        <w:ind w:left="1900"/>
        <w:spacing w:after="0"/>
        <w:rPr>
          <w:rFonts w:ascii="Arial" w:cs="Arial" w:eastAsia="Arial" w:hAnsi="Arial"/>
          <w:sz w:val="17"/>
          <w:szCs w:val="17"/>
          <w:color w:val="auto"/>
        </w:rPr>
      </w:pPr>
      <w:r>
        <w:rPr>
          <w:rFonts w:ascii="Arial" w:cs="Arial" w:eastAsia="Arial" w:hAnsi="Arial"/>
          <w:sz w:val="18"/>
          <w:szCs w:val="18"/>
          <w:color w:val="auto"/>
        </w:rPr>
        <w:t>Mr. Menichella’s severance payment in EUR.</w:t>
      </w:r>
    </w:p>
    <w:p>
      <w:pPr>
        <w:spacing w:after="0" w:line="62" w:lineRule="exact"/>
        <w:rPr>
          <w:rFonts w:ascii="Arial" w:cs="Arial" w:eastAsia="Arial" w:hAnsi="Arial"/>
          <w:sz w:val="17"/>
          <w:szCs w:val="17"/>
          <w:color w:val="auto"/>
        </w:rPr>
      </w:pPr>
    </w:p>
    <w:p>
      <w:pPr>
        <w:ind w:left="1900" w:right="499" w:hanging="640"/>
        <w:spacing w:after="0" w:line="254" w:lineRule="auto"/>
        <w:tabs>
          <w:tab w:leader="none" w:pos="1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We consider Mr. Winterhalter an executive officer and a member of our senior management team but he is not registered in Germany as a member of our management board and was not appointed as a member of the management board of CureVac N.V. upon the closing of the initial public offering. He serves as our interim chief development officer under a consulting agreement dated as of December 14, 2019 that specifies his service is indefinite and may be terminated by either party with four weeks’ notice. Amount included in his total compensation column includes reimbursement for travel and out-of-pocket expenses.</w:t>
      </w:r>
    </w:p>
    <w:p>
      <w:pPr>
        <w:spacing w:after="0" w:line="46" w:lineRule="exact"/>
        <w:rPr>
          <w:rFonts w:ascii="Arial" w:cs="Arial" w:eastAsia="Arial" w:hAnsi="Arial"/>
          <w:sz w:val="18"/>
          <w:szCs w:val="18"/>
          <w:color w:val="auto"/>
        </w:rPr>
      </w:pPr>
    </w:p>
    <w:p>
      <w:pPr>
        <w:ind w:left="1900" w:right="699" w:hanging="640"/>
        <w:spacing w:after="0" w:line="259" w:lineRule="auto"/>
        <w:tabs>
          <w:tab w:leader="none" w:pos="1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Mr. Voliotis commenced employment effective January 28, 2019 and resigned from our management board effective December 2019, with his actual employment ending on January 11, 2020. During this period, he was paid in USD. The table reflects an approximate conversion of Mr. Voliotis’ compensation in EUR.</w:t>
      </w:r>
    </w:p>
    <w:p>
      <w:pPr>
        <w:spacing w:after="0" w:line="38" w:lineRule="exact"/>
        <w:rPr>
          <w:rFonts w:ascii="Arial" w:cs="Arial" w:eastAsia="Arial" w:hAnsi="Arial"/>
          <w:sz w:val="18"/>
          <w:szCs w:val="18"/>
          <w:color w:val="auto"/>
        </w:rPr>
      </w:pPr>
    </w:p>
    <w:p>
      <w:pPr>
        <w:ind w:left="1900" w:right="479" w:hanging="640"/>
        <w:spacing w:after="0" w:line="274" w:lineRule="auto"/>
        <w:tabs>
          <w:tab w:leader="none" w:pos="190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This amount includes the $376,250 severance payment Mr. Voliotis received in connection with the discontinuation of his service agreement. The table reflects an approximate conversion of</w:t>
      </w:r>
    </w:p>
    <w:p>
      <w:pPr>
        <w:ind w:left="1900"/>
        <w:spacing w:after="0"/>
        <w:rPr>
          <w:rFonts w:ascii="Arial" w:cs="Arial" w:eastAsia="Arial" w:hAnsi="Arial"/>
          <w:sz w:val="17"/>
          <w:szCs w:val="17"/>
          <w:color w:val="auto"/>
        </w:rPr>
      </w:pPr>
      <w:r>
        <w:rPr>
          <w:rFonts w:ascii="Arial" w:cs="Arial" w:eastAsia="Arial" w:hAnsi="Arial"/>
          <w:sz w:val="18"/>
          <w:szCs w:val="18"/>
          <w:color w:val="auto"/>
        </w:rPr>
        <w:t>Mr. Voliotis’ severance payment in EUR.</w:t>
      </w:r>
    </w:p>
    <w:p>
      <w:pPr>
        <w:spacing w:after="0" w:line="62" w:lineRule="exact"/>
        <w:rPr>
          <w:rFonts w:ascii="Arial" w:cs="Arial" w:eastAsia="Arial" w:hAnsi="Arial"/>
          <w:sz w:val="17"/>
          <w:szCs w:val="17"/>
          <w:color w:val="auto"/>
        </w:rPr>
      </w:pPr>
    </w:p>
    <w:p>
      <w:pPr>
        <w:ind w:left="1900" w:hanging="640"/>
        <w:spacing w:after="0"/>
        <w:tabs>
          <w:tab w:leader="none" w:pos="1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Dr. Splawski became a managing director on July 15, 2020.</w:t>
      </w:r>
    </w:p>
    <w:p>
      <w:pPr>
        <w:spacing w:after="0" w:line="90" w:lineRule="exact"/>
        <w:rPr>
          <w:rFonts w:ascii="Arial" w:cs="Arial" w:eastAsia="Arial" w:hAnsi="Arial"/>
          <w:sz w:val="18"/>
          <w:szCs w:val="18"/>
          <w:color w:val="auto"/>
        </w:rPr>
      </w:pPr>
    </w:p>
    <w:p>
      <w:pPr>
        <w:ind w:left="1900" w:right="699" w:hanging="640"/>
        <w:spacing w:after="0" w:line="257" w:lineRule="auto"/>
        <w:tabs>
          <w:tab w:leader="none" w:pos="1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Compensation is expressed in EUR. Dr. Splawski was based in Boston and paid by CureVac Inc. from July 15, 2020 until August 31, 2020. During this period, he was paid in USD. Dr. Splawski moved to Tübingen and was paid by CureVac AG beginning on September 1, 2020. During this period, he was paid in EUR. The table reflects an approximate conversion of Dr. Splawski’s compensation in EUR.</w:t>
      </w:r>
    </w:p>
    <w:p>
      <w:pPr>
        <w:spacing w:after="0" w:line="39" w:lineRule="exact"/>
        <w:rPr>
          <w:sz w:val="20"/>
          <w:szCs w:val="20"/>
          <w:color w:val="auto"/>
        </w:rPr>
      </w:pPr>
    </w:p>
    <w:p>
      <w:pPr>
        <w:ind w:left="1900" w:right="1139" w:hanging="640"/>
        <w:spacing w:after="0" w:line="263" w:lineRule="auto"/>
        <w:tabs>
          <w:tab w:leader="none" w:pos="1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Dr. Blanc is not included in this table because he did not become a managing director of CureVac AG until November 30, 2020. Mr. Blanc has not yet been formally appointed as a managing director of CureVac N.V.</w:t>
      </w:r>
    </w:p>
    <w:p>
      <w:pPr>
        <w:spacing w:after="0" w:line="103" w:lineRule="exact"/>
        <w:rPr>
          <w:sz w:val="20"/>
          <w:szCs w:val="20"/>
          <w:color w:val="auto"/>
        </w:rPr>
      </w:pPr>
    </w:p>
    <w:p>
      <w:pPr>
        <w:ind w:left="1260" w:right="1279" w:firstLine="648"/>
        <w:spacing w:after="0" w:line="277" w:lineRule="auto"/>
        <w:rPr>
          <w:sz w:val="20"/>
          <w:szCs w:val="20"/>
          <w:color w:val="auto"/>
        </w:rPr>
      </w:pPr>
      <w:r>
        <w:rPr>
          <w:rFonts w:ascii="Arial" w:cs="Arial" w:eastAsia="Arial" w:hAnsi="Arial"/>
          <w:sz w:val="18"/>
          <w:szCs w:val="18"/>
          <w:color w:val="auto"/>
        </w:rPr>
        <w:t>We did not provide pension, retirement or similar benefits to our managing directors and supervisory directors board in the year ended December 31, 2020.</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Share Ownership of Managing Directors</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The following table sets forth the share ownership of our managing directors as of December 31,</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2020.</w:t>
      </w:r>
    </w:p>
    <w:p>
      <w:pPr>
        <w:spacing w:after="0" w:line="17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420" w:type="dxa"/>
            <w:vAlign w:val="bottom"/>
          </w:tcPr>
          <w:p>
            <w:pPr>
              <w:spacing w:after="0"/>
              <w:rPr>
                <w:sz w:val="14"/>
                <w:szCs w:val="14"/>
                <w:color w:val="auto"/>
              </w:rPr>
            </w:pPr>
          </w:p>
        </w:tc>
      </w:tr>
      <w:tr>
        <w:trPr>
          <w:trHeight w:val="162"/>
        </w:trPr>
        <w:tc>
          <w:tcPr>
            <w:tcW w:w="4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Number of</w:t>
            </w: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of Shares</w:t>
            </w: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7"/>
              </w:rPr>
              <w:t>Voting</w:t>
            </w:r>
          </w:p>
        </w:tc>
      </w:tr>
      <w:tr>
        <w:trPr>
          <w:trHeight w:val="186"/>
        </w:trPr>
        <w:tc>
          <w:tcPr>
            <w:tcW w:w="51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Shares</w:t>
            </w: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Outstanding</w:t>
            </w: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7"/>
              </w:rPr>
              <w:t>Rights</w:t>
            </w:r>
          </w:p>
        </w:tc>
      </w:tr>
      <w:tr>
        <w:trPr>
          <w:trHeight w:val="25"/>
        </w:trPr>
        <w:tc>
          <w:tcPr>
            <w:tcW w:w="4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50"/>
        </w:trPr>
        <w:tc>
          <w:tcPr>
            <w:tcW w:w="5180" w:type="dxa"/>
            <w:vAlign w:val="bottom"/>
            <w:gridSpan w:val="2"/>
            <w:shd w:val="clear" w:color="auto" w:fill="CCEEFF"/>
          </w:tcPr>
          <w:p>
            <w:pPr>
              <w:spacing w:after="0" w:line="250" w:lineRule="exact"/>
              <w:rPr>
                <w:sz w:val="20"/>
                <w:szCs w:val="20"/>
                <w:color w:val="auto"/>
              </w:rPr>
            </w:pPr>
            <w:r>
              <w:rPr>
                <w:rFonts w:ascii="Arial" w:cs="Arial" w:eastAsia="Arial" w:hAnsi="Arial"/>
                <w:sz w:val="18"/>
                <w:szCs w:val="18"/>
                <w:color w:val="auto"/>
              </w:rPr>
              <w:t>Daniel L. Menichella</w:t>
            </w:r>
            <w:r>
              <w:rPr>
                <w:rFonts w:ascii="Arial" w:cs="Arial" w:eastAsia="Arial" w:hAnsi="Arial"/>
                <w:sz w:val="26"/>
                <w:szCs w:val="26"/>
                <w:color w:val="auto"/>
                <w:vertAlign w:val="superscript"/>
              </w:rPr>
              <w:t>(1)</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5180" w:type="dxa"/>
            <w:vAlign w:val="bottom"/>
            <w:gridSpan w:val="2"/>
          </w:tcPr>
          <w:p>
            <w:pPr>
              <w:spacing w:after="0"/>
              <w:rPr>
                <w:sz w:val="20"/>
                <w:szCs w:val="20"/>
                <w:color w:val="auto"/>
              </w:rPr>
            </w:pPr>
            <w:r>
              <w:rPr>
                <w:rFonts w:ascii="Arial" w:cs="Arial" w:eastAsia="Arial" w:hAnsi="Arial"/>
                <w:sz w:val="18"/>
                <w:szCs w:val="18"/>
                <w:color w:val="auto"/>
              </w:rPr>
              <w:t>Florian von der Mulbe</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820,025</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0.45%</w:t>
            </w:r>
          </w:p>
        </w:tc>
        <w:tc>
          <w:tcPr>
            <w:tcW w:w="220" w:type="dxa"/>
            <w:vAlign w:val="bottom"/>
          </w:tcPr>
          <w:p>
            <w:pPr>
              <w:spacing w:after="0"/>
              <w:rPr>
                <w:sz w:val="21"/>
                <w:szCs w:val="21"/>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5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Mariola Fotin-Mleczek</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84"/>
        </w:trPr>
        <w:tc>
          <w:tcPr>
            <w:tcW w:w="5180" w:type="dxa"/>
            <w:vAlign w:val="bottom"/>
            <w:gridSpan w:val="2"/>
          </w:tcPr>
          <w:p>
            <w:pPr>
              <w:spacing w:after="0"/>
              <w:rPr>
                <w:sz w:val="20"/>
                <w:szCs w:val="20"/>
                <w:color w:val="auto"/>
              </w:rPr>
            </w:pPr>
            <w:r>
              <w:rPr>
                <w:rFonts w:ascii="Arial" w:cs="Arial" w:eastAsia="Arial" w:hAnsi="Arial"/>
                <w:sz w:val="18"/>
                <w:szCs w:val="18"/>
                <w:color w:val="auto"/>
              </w:rPr>
              <w:t>Franz-Werner Haas</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5368925</wp:posOffset>
            </wp:positionH>
            <wp:positionV relativeFrom="paragraph">
              <wp:posOffset>-668020</wp:posOffset>
            </wp:positionV>
            <wp:extent cx="13716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-668020</wp:posOffset>
            </wp:positionV>
            <wp:extent cx="13716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4177665</wp:posOffset>
            </wp:positionH>
            <wp:positionV relativeFrom="paragraph">
              <wp:posOffset>-668020</wp:posOffset>
            </wp:positionV>
            <wp:extent cx="13716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36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52" w:name="page253"/>
    <w:bookmarkEnd w:id="2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Percentage</w:t>
            </w:r>
          </w:p>
        </w:tc>
        <w:tc>
          <w:tcPr>
            <w:tcW w:w="420" w:type="dxa"/>
            <w:vAlign w:val="bottom"/>
          </w:tcPr>
          <w:p>
            <w:pPr>
              <w:spacing w:after="0"/>
              <w:rPr>
                <w:sz w:val="14"/>
                <w:szCs w:val="14"/>
                <w:color w:val="auto"/>
              </w:rPr>
            </w:pPr>
          </w:p>
        </w:tc>
      </w:tr>
      <w:tr>
        <w:trPr>
          <w:trHeight w:val="162"/>
        </w:trPr>
        <w:tc>
          <w:tcPr>
            <w:tcW w:w="4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w w:val="97"/>
              </w:rPr>
              <w:t>Number of</w:t>
            </w:r>
          </w:p>
        </w:tc>
        <w:tc>
          <w:tcPr>
            <w:tcW w:w="2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of Shares</w:t>
            </w: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7"/>
              </w:rPr>
              <w:t>Voting</w:t>
            </w:r>
          </w:p>
        </w:tc>
      </w:tr>
      <w:tr>
        <w:trPr>
          <w:trHeight w:val="186"/>
        </w:trPr>
        <w:tc>
          <w:tcPr>
            <w:tcW w:w="51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700" w:type="dxa"/>
            <w:vAlign w:val="bottom"/>
          </w:tcPr>
          <w:p>
            <w:pPr>
              <w:ind w:left="160"/>
              <w:spacing w:after="0"/>
              <w:rPr>
                <w:sz w:val="20"/>
                <w:szCs w:val="20"/>
                <w:color w:val="auto"/>
              </w:rPr>
            </w:pPr>
            <w:r>
              <w:rPr>
                <w:rFonts w:ascii="Arial" w:cs="Arial" w:eastAsia="Arial" w:hAnsi="Arial"/>
                <w:sz w:val="14"/>
                <w:szCs w:val="14"/>
                <w:b w:val="1"/>
                <w:bCs w:val="1"/>
                <w:color w:val="auto"/>
              </w:rPr>
              <w:t>Shares</w:t>
            </w: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Outstanding</w:t>
            </w: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7"/>
              </w:rPr>
              <w:t>Rights</w:t>
            </w:r>
          </w:p>
        </w:tc>
      </w:tr>
      <w:tr>
        <w:trPr>
          <w:trHeight w:val="26"/>
        </w:trPr>
        <w:tc>
          <w:tcPr>
            <w:tcW w:w="4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50"/>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Pierre Kemula</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5180" w:type="dxa"/>
            <w:vAlign w:val="bottom"/>
            <w:gridSpan w:val="2"/>
          </w:tcPr>
          <w:p>
            <w:pPr>
              <w:spacing w:after="0" w:line="270" w:lineRule="exact"/>
              <w:rPr>
                <w:sz w:val="20"/>
                <w:szCs w:val="20"/>
                <w:color w:val="auto"/>
              </w:rPr>
            </w:pPr>
            <w:r>
              <w:rPr>
                <w:rFonts w:ascii="Arial" w:cs="Arial" w:eastAsia="Arial" w:hAnsi="Arial"/>
                <w:sz w:val="18"/>
                <w:szCs w:val="18"/>
                <w:color w:val="auto"/>
              </w:rPr>
              <w:t>Bernd Winterhalter</w:t>
            </w:r>
            <w:r>
              <w:rPr>
                <w:rFonts w:ascii="Arial" w:cs="Arial" w:eastAsia="Arial" w:hAnsi="Arial"/>
                <w:sz w:val="26"/>
                <w:szCs w:val="26"/>
                <w:color w:val="auto"/>
                <w:vertAlign w:val="superscript"/>
              </w:rPr>
              <w:t>(2)</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57"/>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Dimitris Voliotis</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355"/>
        </w:trPr>
        <w:tc>
          <w:tcPr>
            <w:tcW w:w="5180" w:type="dxa"/>
            <w:vAlign w:val="bottom"/>
            <w:gridSpan w:val="2"/>
          </w:tcPr>
          <w:p>
            <w:pPr>
              <w:spacing w:after="0"/>
              <w:rPr>
                <w:sz w:val="20"/>
                <w:szCs w:val="20"/>
                <w:color w:val="auto"/>
              </w:rPr>
            </w:pPr>
            <w:r>
              <w:rPr>
                <w:rFonts w:ascii="Arial" w:cs="Arial" w:eastAsia="Arial" w:hAnsi="Arial"/>
                <w:sz w:val="18"/>
                <w:szCs w:val="18"/>
                <w:color w:val="auto"/>
              </w:rPr>
              <w:t>Igor Splawski</w:t>
            </w:r>
            <w:r>
              <w:rPr>
                <w:rFonts w:ascii="Arial" w:cs="Arial" w:eastAsia="Arial" w:hAnsi="Arial"/>
                <w:sz w:val="26"/>
                <w:szCs w:val="26"/>
                <w:color w:val="auto"/>
                <w:vertAlign w:val="superscript"/>
              </w:rPr>
              <w:t>(3)</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5368925</wp:posOffset>
            </wp:positionH>
            <wp:positionV relativeFrom="paragraph">
              <wp:posOffset>-730885</wp:posOffset>
            </wp:positionV>
            <wp:extent cx="13716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4760595</wp:posOffset>
            </wp:positionH>
            <wp:positionV relativeFrom="paragraph">
              <wp:posOffset>-730885</wp:posOffset>
            </wp:positionV>
            <wp:extent cx="13716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4185920</wp:posOffset>
            </wp:positionH>
            <wp:positionV relativeFrom="paragraph">
              <wp:posOffset>-730885</wp:posOffset>
            </wp:positionV>
            <wp:extent cx="13716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91440</wp:posOffset>
            </wp:positionV>
            <wp:extent cx="164592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72" w:lineRule="exact"/>
        <w:rPr>
          <w:sz w:val="20"/>
          <w:szCs w:val="20"/>
          <w:color w:val="auto"/>
        </w:rPr>
      </w:pPr>
    </w:p>
    <w:p>
      <w:pPr>
        <w:jc w:val="both"/>
        <w:ind w:left="1900" w:right="1179" w:hanging="640"/>
        <w:spacing w:after="0" w:line="291" w:lineRule="auto"/>
        <w:tabs>
          <w:tab w:leader="none" w:pos="19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On March 10, 2020, the service agreement with Daniel Menichella (the former CEO) was discontinued. He was succeeded on the management board by Dr. Hoerr on that same day.</w:t>
      </w:r>
    </w:p>
    <w:p>
      <w:pPr>
        <w:ind w:left="1900" w:right="519"/>
        <w:spacing w:after="0" w:line="290" w:lineRule="auto"/>
        <w:rPr>
          <w:rFonts w:ascii="Arial" w:cs="Arial" w:eastAsia="Arial" w:hAnsi="Arial"/>
          <w:sz w:val="16"/>
          <w:szCs w:val="16"/>
          <w:color w:val="auto"/>
        </w:rPr>
      </w:pPr>
      <w:r>
        <w:rPr>
          <w:rFonts w:ascii="Arial" w:cs="Arial" w:eastAsia="Arial" w:hAnsi="Arial"/>
          <w:sz w:val="17"/>
          <w:szCs w:val="17"/>
          <w:color w:val="auto"/>
        </w:rPr>
        <w:t>Dr. Hoerr was a managing director of CureVac AG at the time of the Corporate Reorganization but is no longer a managing director of CureVac AG and is not a managing director of CureVac N.V.</w:t>
      </w:r>
    </w:p>
    <w:p>
      <w:pPr>
        <w:spacing w:after="0" w:line="12" w:lineRule="exact"/>
        <w:rPr>
          <w:rFonts w:ascii="Arial" w:cs="Arial" w:eastAsia="Arial" w:hAnsi="Arial"/>
          <w:sz w:val="16"/>
          <w:szCs w:val="16"/>
          <w:color w:val="auto"/>
        </w:rPr>
      </w:pPr>
    </w:p>
    <w:p>
      <w:pPr>
        <w:ind w:left="1900" w:right="499" w:hanging="640"/>
        <w:spacing w:after="0" w:line="254" w:lineRule="auto"/>
        <w:tabs>
          <w:tab w:leader="none" w:pos="1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We consider Mr. Winterhalter an executive officer and a member of our senior management team but he is not registered in Germany as a member of our management board and was not appointed as a member of the management board of CureVac N.V. upon the closing of the initial public offering. He serves as our interim chief development officer under a consulting agreement dated as of December 14, 2019 that specifies his service is indefinite and may be terminated by either party with four weeks’ notice. Amount included in his total compensation column includes reimbursement for travel and out of pocket expenses.</w:t>
      </w:r>
    </w:p>
    <w:p>
      <w:pPr>
        <w:spacing w:after="0" w:line="59" w:lineRule="exact"/>
        <w:rPr>
          <w:rFonts w:ascii="Arial" w:cs="Arial" w:eastAsia="Arial" w:hAnsi="Arial"/>
          <w:sz w:val="18"/>
          <w:szCs w:val="18"/>
          <w:color w:val="auto"/>
        </w:rPr>
      </w:pPr>
    </w:p>
    <w:p>
      <w:pPr>
        <w:ind w:left="1900" w:hanging="640"/>
        <w:spacing w:after="0"/>
        <w:tabs>
          <w:tab w:leader="none" w:pos="1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Dr. Splawski became a managing director on July 15, 2020.</w:t>
      </w:r>
    </w:p>
    <w:p>
      <w:pPr>
        <w:spacing w:after="0" w:line="77" w:lineRule="exact"/>
        <w:rPr>
          <w:sz w:val="20"/>
          <w:szCs w:val="20"/>
          <w:color w:val="auto"/>
        </w:rPr>
      </w:pPr>
    </w:p>
    <w:p>
      <w:pPr>
        <w:ind w:left="1900" w:right="1139" w:hanging="640"/>
        <w:spacing w:after="0" w:line="263" w:lineRule="auto"/>
        <w:tabs>
          <w:tab w:leader="none" w:pos="1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Dr. Blanc is not included in this table because he did not become a managing director of CureVac AG until November 30, 2020. Mr. Blanc has not yet been formally appointed as a managing director of CureVac N.V.</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Option Ownership of Managing Directors</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The following table sets forth the option ownership of our managing directors as of December 31,</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2020.</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Amount</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of</w:t>
            </w: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Exercise</w:t>
            </w: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Purchase</w:t>
            </w:r>
          </w:p>
        </w:tc>
        <w:tc>
          <w:tcPr>
            <w:tcW w:w="820" w:type="dxa"/>
            <w:vAlign w:val="bottom"/>
          </w:tcPr>
          <w:p>
            <w:pPr>
              <w:spacing w:after="0"/>
              <w:rPr>
                <w:sz w:val="14"/>
                <w:szCs w:val="14"/>
                <w:color w:val="auto"/>
              </w:rPr>
            </w:pPr>
          </w:p>
        </w:tc>
      </w:tr>
      <w:tr>
        <w:trPr>
          <w:trHeight w:val="162"/>
        </w:trPr>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Number of</w:t>
            </w: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Securities</w:t>
            </w: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Price</w:t>
            </w:r>
          </w:p>
        </w:tc>
        <w:tc>
          <w:tcPr>
            <w:tcW w:w="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Price</w:t>
            </w:r>
          </w:p>
        </w:tc>
        <w:tc>
          <w:tcPr>
            <w:tcW w:w="820" w:type="dxa"/>
            <w:vAlign w:val="bottom"/>
          </w:tcPr>
          <w:p>
            <w:pPr>
              <w:jc w:val="right"/>
              <w:ind w:right="14"/>
              <w:spacing w:after="0"/>
              <w:rPr>
                <w:sz w:val="20"/>
                <w:szCs w:val="20"/>
                <w:color w:val="auto"/>
              </w:rPr>
            </w:pPr>
            <w:r>
              <w:rPr>
                <w:rFonts w:ascii="Arial" w:cs="Arial" w:eastAsia="Arial" w:hAnsi="Arial"/>
                <w:sz w:val="14"/>
                <w:szCs w:val="14"/>
                <w:b w:val="1"/>
                <w:bCs w:val="1"/>
                <w:color w:val="auto"/>
              </w:rPr>
              <w:t>Expiration</w:t>
            </w:r>
          </w:p>
        </w:tc>
      </w:tr>
      <w:tr>
        <w:trPr>
          <w:trHeight w:val="186"/>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Options</w:t>
            </w:r>
          </w:p>
        </w:tc>
        <w:tc>
          <w:tcPr>
            <w:tcW w:w="1760" w:type="dxa"/>
            <w:vAlign w:val="bottom"/>
            <w:gridSpan w:val="2"/>
          </w:tcPr>
          <w:p>
            <w:pPr>
              <w:ind w:left="700"/>
              <w:spacing w:after="0"/>
              <w:rPr>
                <w:sz w:val="20"/>
                <w:szCs w:val="20"/>
                <w:color w:val="auto"/>
              </w:rPr>
            </w:pPr>
            <w:r>
              <w:rPr>
                <w:rFonts w:ascii="Arial" w:cs="Arial" w:eastAsia="Arial" w:hAnsi="Arial"/>
                <w:sz w:val="14"/>
                <w:szCs w:val="14"/>
                <w:b w:val="1"/>
                <w:bCs w:val="1"/>
                <w:color w:val="auto"/>
              </w:rPr>
              <w:t>Title</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w:t>
            </w:r>
          </w:p>
        </w:tc>
        <w:tc>
          <w:tcPr>
            <w:tcW w:w="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w:t>
            </w:r>
          </w:p>
        </w:tc>
        <w:tc>
          <w:tcPr>
            <w:tcW w:w="820" w:type="dxa"/>
            <w:vAlign w:val="bottom"/>
          </w:tcPr>
          <w:p>
            <w:pPr>
              <w:jc w:val="right"/>
              <w:ind w:right="174"/>
              <w:spacing w:after="0"/>
              <w:rPr>
                <w:sz w:val="20"/>
                <w:szCs w:val="20"/>
                <w:color w:val="auto"/>
              </w:rPr>
            </w:pPr>
            <w:r>
              <w:rPr>
                <w:rFonts w:ascii="Arial" w:cs="Arial" w:eastAsia="Arial" w:hAnsi="Arial"/>
                <w:sz w:val="14"/>
                <w:szCs w:val="14"/>
                <w:b w:val="1"/>
                <w:bCs w:val="1"/>
                <w:color w:val="auto"/>
              </w:rPr>
              <w:t>Date</w:t>
            </w:r>
          </w:p>
        </w:tc>
      </w:tr>
      <w:tr>
        <w:trPr>
          <w:trHeight w:val="25"/>
        </w:trPr>
        <w:tc>
          <w:tcPr>
            <w:tcW w:w="2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3"/>
        </w:trPr>
        <w:tc>
          <w:tcPr>
            <w:tcW w:w="2660" w:type="dxa"/>
            <w:vAlign w:val="bottom"/>
            <w:shd w:val="clear" w:color="auto" w:fill="CCEEFF"/>
          </w:tcPr>
          <w:p>
            <w:pPr>
              <w:spacing w:after="0" w:line="263" w:lineRule="exact"/>
              <w:rPr>
                <w:sz w:val="20"/>
                <w:szCs w:val="20"/>
                <w:color w:val="auto"/>
              </w:rPr>
            </w:pPr>
            <w:r>
              <w:rPr>
                <w:rFonts w:ascii="Arial" w:cs="Arial" w:eastAsia="Arial" w:hAnsi="Arial"/>
                <w:sz w:val="18"/>
                <w:szCs w:val="18"/>
                <w:color w:val="auto"/>
              </w:rPr>
              <w:t>Daniel Menichella</w:t>
            </w:r>
            <w:r>
              <w:rPr>
                <w:rFonts w:ascii="Arial" w:cs="Arial" w:eastAsia="Arial" w:hAnsi="Arial"/>
                <w:sz w:val="26"/>
                <w:szCs w:val="26"/>
                <w:color w:val="auto"/>
                <w:vertAlign w:val="superscript"/>
              </w:rPr>
              <w:t>(1)</w:t>
            </w: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2760" w:type="dxa"/>
            <w:vAlign w:val="bottom"/>
            <w:gridSpan w:val="2"/>
          </w:tcPr>
          <w:p>
            <w:pPr>
              <w:spacing w:after="0"/>
              <w:rPr>
                <w:sz w:val="20"/>
                <w:szCs w:val="20"/>
                <w:color w:val="auto"/>
              </w:rPr>
            </w:pPr>
            <w:r>
              <w:rPr>
                <w:rFonts w:ascii="Arial" w:cs="Arial" w:eastAsia="Arial" w:hAnsi="Arial"/>
                <w:sz w:val="18"/>
                <w:szCs w:val="18"/>
                <w:color w:val="auto"/>
              </w:rPr>
              <w:t>Florian von der Mulbe</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268,417</w:t>
            </w:r>
          </w:p>
        </w:tc>
        <w:tc>
          <w:tcPr>
            <w:tcW w:w="100" w:type="dxa"/>
            <w:vAlign w:val="bottom"/>
          </w:tcPr>
          <w:p>
            <w:pPr>
              <w:spacing w:after="0"/>
              <w:rPr>
                <w:sz w:val="22"/>
                <w:szCs w:val="22"/>
                <w:color w:val="auto"/>
              </w:rPr>
            </w:pPr>
          </w:p>
        </w:tc>
        <w:tc>
          <w:tcPr>
            <w:tcW w:w="17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Share Option Awards</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268,417</w:t>
            </w:r>
          </w:p>
        </w:tc>
        <w:tc>
          <w:tcPr>
            <w:tcW w:w="5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12/31/2021</w:t>
            </w:r>
          </w:p>
        </w:tc>
      </w:tr>
      <w:tr>
        <w:trPr>
          <w:trHeight w:val="257"/>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Mariola Fotin-Mleczek</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760" w:type="dxa"/>
            <w:vAlign w:val="bottom"/>
            <w:gridSpan w:val="2"/>
          </w:tcPr>
          <w:p>
            <w:pPr>
              <w:spacing w:after="0"/>
              <w:rPr>
                <w:sz w:val="20"/>
                <w:szCs w:val="20"/>
                <w:color w:val="auto"/>
              </w:rPr>
            </w:pPr>
            <w:r>
              <w:rPr>
                <w:rFonts w:ascii="Arial" w:cs="Arial" w:eastAsia="Arial" w:hAnsi="Arial"/>
                <w:sz w:val="18"/>
                <w:szCs w:val="18"/>
                <w:color w:val="auto"/>
              </w:rPr>
              <w:t>Franz-Werner Haas</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Pierre Kemula</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760" w:type="dxa"/>
            <w:vAlign w:val="bottom"/>
            <w:gridSpan w:val="2"/>
          </w:tcPr>
          <w:p>
            <w:pPr>
              <w:spacing w:after="0" w:line="270" w:lineRule="exact"/>
              <w:rPr>
                <w:sz w:val="20"/>
                <w:szCs w:val="20"/>
                <w:color w:val="auto"/>
              </w:rPr>
            </w:pPr>
            <w:r>
              <w:rPr>
                <w:rFonts w:ascii="Arial" w:cs="Arial" w:eastAsia="Arial" w:hAnsi="Arial"/>
                <w:sz w:val="18"/>
                <w:szCs w:val="18"/>
                <w:color w:val="auto"/>
              </w:rPr>
              <w:t>Bernd Winterhalter</w:t>
            </w:r>
            <w:r>
              <w:rPr>
                <w:rFonts w:ascii="Arial" w:cs="Arial" w:eastAsia="Arial" w:hAnsi="Arial"/>
                <w:sz w:val="26"/>
                <w:szCs w:val="26"/>
                <w:color w:val="auto"/>
                <w:vertAlign w:val="superscript"/>
              </w:rPr>
              <w:t>(2)</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Dimitris Voliotis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55"/>
        </w:trPr>
        <w:tc>
          <w:tcPr>
            <w:tcW w:w="2760" w:type="dxa"/>
            <w:vAlign w:val="bottom"/>
            <w:gridSpan w:val="2"/>
          </w:tcPr>
          <w:p>
            <w:pPr>
              <w:spacing w:after="0"/>
              <w:rPr>
                <w:sz w:val="20"/>
                <w:szCs w:val="20"/>
                <w:color w:val="auto"/>
              </w:rPr>
            </w:pPr>
            <w:r>
              <w:rPr>
                <w:rFonts w:ascii="Arial" w:cs="Arial" w:eastAsia="Arial" w:hAnsi="Arial"/>
                <w:sz w:val="18"/>
                <w:szCs w:val="18"/>
                <w:color w:val="auto"/>
              </w:rPr>
              <w:t>Igor Splawski</w:t>
            </w:r>
            <w:r>
              <w:rPr>
                <w:rFonts w:ascii="Arial" w:cs="Arial" w:eastAsia="Arial" w:hAnsi="Arial"/>
                <w:sz w:val="26"/>
                <w:szCs w:val="26"/>
                <w:color w:val="auto"/>
                <w:vertAlign w:val="superscript"/>
              </w:rPr>
              <w:t>(3)(4)</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266,155</w:t>
            </w:r>
          </w:p>
        </w:tc>
        <w:tc>
          <w:tcPr>
            <w:tcW w:w="100" w:type="dxa"/>
            <w:vAlign w:val="bottom"/>
          </w:tcPr>
          <w:p>
            <w:pPr>
              <w:spacing w:after="0"/>
              <w:rPr>
                <w:sz w:val="24"/>
                <w:szCs w:val="24"/>
                <w:color w:val="auto"/>
              </w:rPr>
            </w:pPr>
          </w:p>
        </w:tc>
        <w:tc>
          <w:tcPr>
            <w:tcW w:w="1760" w:type="dxa"/>
            <w:vAlign w:val="bottom"/>
            <w:gridSpan w:val="2"/>
          </w:tcPr>
          <w:p>
            <w:pPr>
              <w:jc w:val="center"/>
              <w:ind w:right="40"/>
              <w:spacing w:after="0"/>
              <w:rPr>
                <w:sz w:val="20"/>
                <w:szCs w:val="20"/>
                <w:color w:val="auto"/>
              </w:rPr>
            </w:pPr>
            <w:r>
              <w:rPr>
                <w:rFonts w:ascii="Arial" w:cs="Arial" w:eastAsia="Arial" w:hAnsi="Arial"/>
                <w:sz w:val="18"/>
                <w:szCs w:val="18"/>
                <w:color w:val="auto"/>
                <w:w w:val="96"/>
              </w:rPr>
              <w:t>LTIP Option Awards</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266,155</w:t>
            </w:r>
          </w:p>
        </w:tc>
        <w:tc>
          <w:tcPr>
            <w:tcW w:w="540" w:type="dxa"/>
            <w:vAlign w:val="bottom"/>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7/14/2030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5412105</wp:posOffset>
            </wp:positionH>
            <wp:positionV relativeFrom="paragraph">
              <wp:posOffset>-1390650</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4974590</wp:posOffset>
            </wp:positionH>
            <wp:positionV relativeFrom="paragraph">
              <wp:posOffset>-1390650</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4563110</wp:posOffset>
            </wp:positionH>
            <wp:positionV relativeFrom="paragraph">
              <wp:posOffset>-1390650</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-1390650</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2994660</wp:posOffset>
            </wp:positionH>
            <wp:positionV relativeFrom="paragraph">
              <wp:posOffset>-1390650</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2488565</wp:posOffset>
            </wp:positionH>
            <wp:positionV relativeFrom="paragraph">
              <wp:posOffset>-1390650</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100330</wp:posOffset>
            </wp:positionV>
            <wp:extent cx="164592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85" w:lineRule="exact"/>
        <w:rPr>
          <w:sz w:val="20"/>
          <w:szCs w:val="20"/>
          <w:color w:val="auto"/>
        </w:rPr>
      </w:pPr>
    </w:p>
    <w:p>
      <w:pPr>
        <w:jc w:val="both"/>
        <w:ind w:left="1900" w:right="1179" w:hanging="640"/>
        <w:spacing w:after="0" w:line="291" w:lineRule="auto"/>
        <w:tabs>
          <w:tab w:leader="none" w:pos="190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On March 10, 2020, the service agreement with Daniel Menichella (the former CEO) was discontinued. He was succeeded on the management board by Dr. Hoerr on that same day.</w:t>
      </w:r>
    </w:p>
    <w:p>
      <w:pPr>
        <w:ind w:left="1900" w:right="459"/>
        <w:spacing w:after="0" w:line="268" w:lineRule="auto"/>
        <w:rPr>
          <w:rFonts w:ascii="Arial" w:cs="Arial" w:eastAsia="Arial" w:hAnsi="Arial"/>
          <w:sz w:val="16"/>
          <w:szCs w:val="16"/>
          <w:color w:val="auto"/>
        </w:rPr>
      </w:pPr>
      <w:r>
        <w:rPr>
          <w:rFonts w:ascii="Arial" w:cs="Arial" w:eastAsia="Arial" w:hAnsi="Arial"/>
          <w:sz w:val="17"/>
          <w:szCs w:val="17"/>
          <w:color w:val="auto"/>
        </w:rPr>
        <w:t>Dr. Hoerr was a managing director of CureVac AG at the time of the Corporate Reorganization but is no longer a managing director of CureVac AG and is not a managing director of CureVac N.V. Under the terms of the Menichella Employment Agreement, Mr. Menichella was entitled to receive up to 29,053 options, which were exchanged for 3,866,309 options for common shares in CureVac N.V. in connection with the Corporate Reorganization, out of which he exercised 3,766,309 options between August 2020 and December 2020. See note 9.4 to our consolidated financial statements and note 5 of the unaudited interim condensed consolidated financial statements, contained elsewhere in this prospectus, for further information on Mr. Menichella’s options.</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53" w:name="page254"/>
    <w:bookmarkEnd w:id="2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00" w:right="599" w:hanging="640"/>
        <w:spacing w:after="0" w:line="296" w:lineRule="auto"/>
        <w:tabs>
          <w:tab w:leader="none" w:pos="190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We consider Mr. Winterhalter an executive officer and a member of our senior management team but he is not registered in Germany as a member of our management board and was not appointed as a member of the management board of CureVac N.V. upon the closing of the initial public offering. He serves as our interim chief development officer under a consulting agreement that specifies his service is indefinite and may be terminated by either party with four weeks’ notice.</w:t>
      </w:r>
    </w:p>
    <w:p>
      <w:pPr>
        <w:spacing w:after="0" w:line="39" w:lineRule="exact"/>
        <w:rPr>
          <w:rFonts w:ascii="Arial" w:cs="Arial" w:eastAsia="Arial" w:hAnsi="Arial"/>
          <w:sz w:val="16"/>
          <w:szCs w:val="16"/>
          <w:color w:val="auto"/>
        </w:rPr>
      </w:pPr>
    </w:p>
    <w:p>
      <w:pPr>
        <w:ind w:left="1900" w:hanging="640"/>
        <w:spacing w:after="0"/>
        <w:tabs>
          <w:tab w:leader="none" w:pos="1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Dr. Splawski became a managing director on July 15, 2020.</w:t>
      </w:r>
    </w:p>
    <w:p>
      <w:pPr>
        <w:spacing w:after="0" w:line="103" w:lineRule="exact"/>
        <w:rPr>
          <w:rFonts w:ascii="Arial" w:cs="Arial" w:eastAsia="Arial" w:hAnsi="Arial"/>
          <w:sz w:val="18"/>
          <w:szCs w:val="18"/>
          <w:color w:val="auto"/>
        </w:rPr>
      </w:pPr>
    </w:p>
    <w:p>
      <w:pPr>
        <w:ind w:left="1900" w:right="819" w:hanging="640"/>
        <w:spacing w:after="0" w:line="277" w:lineRule="auto"/>
        <w:tabs>
          <w:tab w:leader="none" w:pos="1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number of options reflected for Dr. Splawski represents options granted under the Plan (as defined below) that was established in connection with our initial public offering.</w:t>
      </w:r>
    </w:p>
    <w:p>
      <w:pPr>
        <w:spacing w:after="0" w:line="49" w:lineRule="exact"/>
        <w:rPr>
          <w:sz w:val="20"/>
          <w:szCs w:val="20"/>
          <w:color w:val="auto"/>
        </w:rPr>
      </w:pPr>
    </w:p>
    <w:p>
      <w:pPr>
        <w:ind w:left="1900" w:right="879" w:hanging="640"/>
        <w:spacing w:after="0" w:line="263" w:lineRule="auto"/>
        <w:tabs>
          <w:tab w:leader="none" w:pos="1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Dr. Blanc is not included in this table because he did not become a managing director of CureVac AG until November 30, 2020. Mr. Blanc is not yet formally appointed as a managing director of CureVac N.V.</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Virtual Share, or VS, Ownership of Management Board Members from VSOP Programs as of December 31, 2020</w:t>
      </w:r>
    </w:p>
    <w:p>
      <w:pPr>
        <w:spacing w:after="0" w:line="21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Start of</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Vesting</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Period</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Grant date</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VS</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Max</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(Only</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 of</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Points</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Vested</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for New</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Allocation</w:t>
            </w:r>
          </w:p>
        </w:tc>
        <w:tc>
          <w:tcPr>
            <w:tcW w:w="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Vesting</w:t>
            </w: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VSOP</w:t>
            </w:r>
          </w:p>
        </w:tc>
        <w:tc>
          <w:tcPr>
            <w:tcW w:w="800" w:type="dxa"/>
            <w:vAlign w:val="bottom"/>
          </w:tcPr>
          <w:p>
            <w:pPr>
              <w:ind w:left="240"/>
              <w:spacing w:after="0"/>
              <w:rPr>
                <w:sz w:val="20"/>
                <w:szCs w:val="20"/>
                <w:color w:val="auto"/>
              </w:rPr>
            </w:pPr>
            <w:r>
              <w:rPr>
                <w:rFonts w:ascii="Arial" w:cs="Arial" w:eastAsia="Arial" w:hAnsi="Arial"/>
                <w:sz w:val="14"/>
                <w:szCs w:val="14"/>
                <w:b w:val="1"/>
                <w:bCs w:val="1"/>
                <w:color w:val="auto"/>
              </w:rPr>
              <w:t>Valid</w:t>
            </w:r>
          </w:p>
        </w:tc>
      </w:tr>
      <w:tr>
        <w:trPr>
          <w:trHeight w:val="186"/>
        </w:trPr>
        <w:tc>
          <w:tcPr>
            <w:tcW w:w="19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Program</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Granted</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Points</w:t>
            </w: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Participants)</w:t>
            </w: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Letter)</w:t>
            </w:r>
          </w:p>
        </w:tc>
        <w:tc>
          <w:tcPr>
            <w:tcW w:w="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Period</w:t>
            </w:r>
          </w:p>
        </w:tc>
        <w:tc>
          <w:tcPr>
            <w:tcW w:w="940" w:type="dxa"/>
            <w:vAlign w:val="bottom"/>
            <w:gridSpan w:val="2"/>
          </w:tcPr>
          <w:p>
            <w:pPr>
              <w:ind w:left="300"/>
              <w:spacing w:after="0"/>
              <w:rPr>
                <w:sz w:val="20"/>
                <w:szCs w:val="20"/>
                <w:color w:val="auto"/>
              </w:rPr>
            </w:pPr>
            <w:r>
              <w:rPr>
                <w:rFonts w:ascii="Arial" w:cs="Arial" w:eastAsia="Arial" w:hAnsi="Arial"/>
                <w:sz w:val="14"/>
                <w:szCs w:val="14"/>
                <w:b w:val="1"/>
                <w:bCs w:val="1"/>
                <w:color w:val="auto"/>
              </w:rPr>
              <w:t>Plan</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until</w:t>
            </w:r>
          </w:p>
        </w:tc>
      </w:tr>
      <w:tr>
        <w:trPr>
          <w:trHeight w:val="26"/>
        </w:trPr>
        <w:tc>
          <w:tcPr>
            <w:tcW w:w="1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3"/>
        </w:trPr>
        <w:tc>
          <w:tcPr>
            <w:tcW w:w="1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Florian von der Mulbe</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VS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103,534</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103,534</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center"/>
              <w:ind w:right="60"/>
              <w:spacing w:after="0"/>
              <w:rPr>
                <w:sz w:val="20"/>
                <w:szCs w:val="20"/>
                <w:color w:val="auto"/>
              </w:rPr>
            </w:pPr>
            <w:r>
              <w:rPr>
                <w:rFonts w:ascii="Arial" w:cs="Arial" w:eastAsia="Arial" w:hAnsi="Arial"/>
                <w:sz w:val="17"/>
                <w:szCs w:val="17"/>
                <w:color w:val="auto"/>
                <w:w w:val="91"/>
              </w:rPr>
              <w:t>01.01.2009</w:t>
            </w:r>
          </w:p>
        </w:tc>
        <w:tc>
          <w:tcPr>
            <w:tcW w:w="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36</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Prior VSOP</w:t>
            </w:r>
          </w:p>
        </w:tc>
        <w:tc>
          <w:tcPr>
            <w:tcW w:w="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31.12.2025</w:t>
            </w:r>
          </w:p>
        </w:tc>
      </w:tr>
      <w:tr>
        <w:trPr>
          <w:trHeight w:val="229"/>
        </w:trPr>
        <w:tc>
          <w:tcPr>
            <w:tcW w:w="1940" w:type="dxa"/>
            <w:vAlign w:val="bottom"/>
            <w:gridSpan w:val="2"/>
          </w:tcPr>
          <w:p>
            <w:pPr>
              <w:spacing w:after="0"/>
              <w:rPr>
                <w:sz w:val="20"/>
                <w:szCs w:val="20"/>
                <w:color w:val="auto"/>
              </w:rPr>
            </w:pPr>
            <w:r>
              <w:rPr>
                <w:rFonts w:ascii="Arial" w:cs="Arial" w:eastAsia="Arial" w:hAnsi="Arial"/>
                <w:sz w:val="17"/>
                <w:szCs w:val="17"/>
                <w:color w:val="auto"/>
              </w:rPr>
              <w:t>Florian von der Mulbe</w:t>
            </w:r>
          </w:p>
        </w:tc>
        <w:tc>
          <w:tcPr>
            <w:tcW w:w="640" w:type="dxa"/>
            <w:vAlign w:val="bottom"/>
            <w:gridSpan w:val="2"/>
          </w:tcPr>
          <w:p>
            <w:pPr>
              <w:jc w:val="right"/>
              <w:ind w:right="240"/>
              <w:spacing w:after="0"/>
              <w:rPr>
                <w:sz w:val="20"/>
                <w:szCs w:val="20"/>
                <w:color w:val="auto"/>
              </w:rPr>
            </w:pPr>
            <w:r>
              <w:rPr>
                <w:rFonts w:ascii="Arial" w:cs="Arial" w:eastAsia="Arial" w:hAnsi="Arial"/>
                <w:sz w:val="17"/>
                <w:szCs w:val="17"/>
                <w:color w:val="auto"/>
              </w:rPr>
              <w:t>VS</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463,908</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463,908</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7"/>
                <w:szCs w:val="17"/>
                <w:color w:val="auto"/>
                <w:w w:val="89"/>
              </w:rPr>
              <w:t>01.01.2011</w:t>
            </w:r>
          </w:p>
        </w:tc>
        <w:tc>
          <w:tcPr>
            <w:tcW w:w="480" w:type="dxa"/>
            <w:vAlign w:val="bottom"/>
          </w:tcPr>
          <w:p>
            <w:pPr>
              <w:jc w:val="center"/>
              <w:spacing w:after="0"/>
              <w:rPr>
                <w:sz w:val="20"/>
                <w:szCs w:val="20"/>
                <w:color w:val="auto"/>
              </w:rPr>
            </w:pPr>
            <w:r>
              <w:rPr>
                <w:rFonts w:ascii="Arial" w:cs="Arial" w:eastAsia="Arial" w:hAnsi="Arial"/>
                <w:sz w:val="17"/>
                <w:szCs w:val="17"/>
                <w:color w:val="auto"/>
                <w:w w:val="84"/>
              </w:rPr>
              <w:t>36</w:t>
            </w:r>
          </w:p>
        </w:tc>
        <w:tc>
          <w:tcPr>
            <w:tcW w:w="80" w:type="dxa"/>
            <w:vAlign w:val="bottom"/>
          </w:tcPr>
          <w:p>
            <w:pPr>
              <w:spacing w:after="0"/>
              <w:rPr>
                <w:sz w:val="19"/>
                <w:szCs w:val="19"/>
                <w:color w:val="auto"/>
              </w:rPr>
            </w:pPr>
          </w:p>
        </w:tc>
        <w:tc>
          <w:tcPr>
            <w:tcW w:w="940" w:type="dxa"/>
            <w:vAlign w:val="bottom"/>
            <w:gridSpan w:val="2"/>
          </w:tcPr>
          <w:p>
            <w:pPr>
              <w:spacing w:after="0"/>
              <w:rPr>
                <w:sz w:val="20"/>
                <w:szCs w:val="20"/>
                <w:color w:val="auto"/>
              </w:rPr>
            </w:pPr>
            <w:r>
              <w:rPr>
                <w:rFonts w:ascii="Arial" w:cs="Arial" w:eastAsia="Arial" w:hAnsi="Arial"/>
                <w:sz w:val="17"/>
                <w:szCs w:val="17"/>
                <w:color w:val="auto"/>
              </w:rPr>
              <w:t>Prior VSOP</w:t>
            </w:r>
          </w:p>
        </w:tc>
        <w:tc>
          <w:tcPr>
            <w:tcW w:w="800" w:type="dxa"/>
            <w:vAlign w:val="bottom"/>
          </w:tcPr>
          <w:p>
            <w:pPr>
              <w:jc w:val="center"/>
              <w:spacing w:after="0"/>
              <w:rPr>
                <w:sz w:val="20"/>
                <w:szCs w:val="20"/>
                <w:color w:val="auto"/>
              </w:rPr>
            </w:pPr>
            <w:r>
              <w:rPr>
                <w:rFonts w:ascii="Arial" w:cs="Arial" w:eastAsia="Arial" w:hAnsi="Arial"/>
                <w:sz w:val="17"/>
                <w:szCs w:val="17"/>
                <w:color w:val="auto"/>
                <w:w w:val="89"/>
              </w:rPr>
              <w:t>31.12.2025</w:t>
            </w:r>
          </w:p>
        </w:tc>
      </w:tr>
      <w:tr>
        <w:trPr>
          <w:trHeight w:val="230"/>
        </w:trPr>
        <w:tc>
          <w:tcPr>
            <w:tcW w:w="1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Florian von der Mulbe</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VS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97,944</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97,944</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center"/>
              <w:ind w:right="60"/>
              <w:spacing w:after="0"/>
              <w:rPr>
                <w:sz w:val="20"/>
                <w:szCs w:val="20"/>
                <w:color w:val="auto"/>
              </w:rPr>
            </w:pPr>
            <w:r>
              <w:rPr>
                <w:rFonts w:ascii="Arial" w:cs="Arial" w:eastAsia="Arial" w:hAnsi="Arial"/>
                <w:sz w:val="17"/>
                <w:szCs w:val="17"/>
                <w:color w:val="auto"/>
                <w:w w:val="91"/>
              </w:rPr>
              <w:t>01.01.2013</w:t>
            </w:r>
          </w:p>
        </w:tc>
        <w:tc>
          <w:tcPr>
            <w:tcW w:w="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36</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Prior VSOP</w:t>
            </w:r>
          </w:p>
        </w:tc>
        <w:tc>
          <w:tcPr>
            <w:tcW w:w="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31.12.2025</w:t>
            </w:r>
          </w:p>
        </w:tc>
      </w:tr>
      <w:tr>
        <w:trPr>
          <w:trHeight w:val="229"/>
        </w:trPr>
        <w:tc>
          <w:tcPr>
            <w:tcW w:w="1940" w:type="dxa"/>
            <w:vAlign w:val="bottom"/>
            <w:gridSpan w:val="2"/>
          </w:tcPr>
          <w:p>
            <w:pPr>
              <w:spacing w:after="0"/>
              <w:rPr>
                <w:sz w:val="20"/>
                <w:szCs w:val="20"/>
                <w:color w:val="auto"/>
              </w:rPr>
            </w:pPr>
            <w:r>
              <w:rPr>
                <w:rFonts w:ascii="Arial" w:cs="Arial" w:eastAsia="Arial" w:hAnsi="Arial"/>
                <w:sz w:val="17"/>
                <w:szCs w:val="17"/>
                <w:color w:val="auto"/>
              </w:rPr>
              <w:t>Florian von der Mulbe</w:t>
            </w:r>
          </w:p>
        </w:tc>
        <w:tc>
          <w:tcPr>
            <w:tcW w:w="640" w:type="dxa"/>
            <w:vAlign w:val="bottom"/>
            <w:gridSpan w:val="2"/>
          </w:tcPr>
          <w:p>
            <w:pPr>
              <w:jc w:val="right"/>
              <w:ind w:right="240"/>
              <w:spacing w:after="0"/>
              <w:rPr>
                <w:sz w:val="20"/>
                <w:szCs w:val="20"/>
                <w:color w:val="auto"/>
              </w:rPr>
            </w:pPr>
            <w:r>
              <w:rPr>
                <w:rFonts w:ascii="Arial" w:cs="Arial" w:eastAsia="Arial" w:hAnsi="Arial"/>
                <w:sz w:val="17"/>
                <w:szCs w:val="17"/>
                <w:color w:val="auto"/>
              </w:rPr>
              <w:t>VS</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202,543</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202,543</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7"/>
                <w:szCs w:val="17"/>
                <w:color w:val="auto"/>
                <w:w w:val="91"/>
              </w:rPr>
              <w:t>01.01.2015</w:t>
            </w:r>
          </w:p>
        </w:tc>
        <w:tc>
          <w:tcPr>
            <w:tcW w:w="480" w:type="dxa"/>
            <w:vAlign w:val="bottom"/>
          </w:tcPr>
          <w:p>
            <w:pPr>
              <w:jc w:val="center"/>
              <w:spacing w:after="0"/>
              <w:rPr>
                <w:sz w:val="20"/>
                <w:szCs w:val="20"/>
                <w:color w:val="auto"/>
              </w:rPr>
            </w:pPr>
            <w:r>
              <w:rPr>
                <w:rFonts w:ascii="Arial" w:cs="Arial" w:eastAsia="Arial" w:hAnsi="Arial"/>
                <w:sz w:val="17"/>
                <w:szCs w:val="17"/>
                <w:color w:val="auto"/>
                <w:w w:val="84"/>
              </w:rPr>
              <w:t>12</w:t>
            </w:r>
          </w:p>
        </w:tc>
        <w:tc>
          <w:tcPr>
            <w:tcW w:w="80" w:type="dxa"/>
            <w:vAlign w:val="bottom"/>
          </w:tcPr>
          <w:p>
            <w:pPr>
              <w:spacing w:after="0"/>
              <w:rPr>
                <w:sz w:val="19"/>
                <w:szCs w:val="19"/>
                <w:color w:val="auto"/>
              </w:rPr>
            </w:pPr>
          </w:p>
        </w:tc>
        <w:tc>
          <w:tcPr>
            <w:tcW w:w="940" w:type="dxa"/>
            <w:vAlign w:val="bottom"/>
            <w:gridSpan w:val="2"/>
          </w:tcPr>
          <w:p>
            <w:pPr>
              <w:spacing w:after="0"/>
              <w:rPr>
                <w:sz w:val="20"/>
                <w:szCs w:val="20"/>
                <w:color w:val="auto"/>
              </w:rPr>
            </w:pPr>
            <w:r>
              <w:rPr>
                <w:rFonts w:ascii="Arial" w:cs="Arial" w:eastAsia="Arial" w:hAnsi="Arial"/>
                <w:sz w:val="17"/>
                <w:szCs w:val="17"/>
                <w:color w:val="auto"/>
              </w:rPr>
              <w:t>Prior VSOP</w:t>
            </w:r>
          </w:p>
        </w:tc>
        <w:tc>
          <w:tcPr>
            <w:tcW w:w="800" w:type="dxa"/>
            <w:vAlign w:val="bottom"/>
          </w:tcPr>
          <w:p>
            <w:pPr>
              <w:jc w:val="center"/>
              <w:spacing w:after="0"/>
              <w:rPr>
                <w:sz w:val="20"/>
                <w:szCs w:val="20"/>
                <w:color w:val="auto"/>
              </w:rPr>
            </w:pPr>
            <w:r>
              <w:rPr>
                <w:rFonts w:ascii="Arial" w:cs="Arial" w:eastAsia="Arial" w:hAnsi="Arial"/>
                <w:sz w:val="17"/>
                <w:szCs w:val="17"/>
                <w:color w:val="auto"/>
                <w:w w:val="89"/>
              </w:rPr>
              <w:t>31.12.2025</w:t>
            </w:r>
          </w:p>
        </w:tc>
      </w:tr>
      <w:tr>
        <w:trPr>
          <w:trHeight w:val="239"/>
        </w:trPr>
        <w:tc>
          <w:tcPr>
            <w:tcW w:w="1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Florian von der Mulbe</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VS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811,774</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811,774</w:t>
            </w: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center"/>
              <w:ind w:right="40"/>
              <w:spacing w:after="0"/>
              <w:rPr>
                <w:sz w:val="20"/>
                <w:szCs w:val="20"/>
                <w:color w:val="auto"/>
              </w:rPr>
            </w:pPr>
            <w:r>
              <w:rPr>
                <w:rFonts w:ascii="Arial" w:cs="Arial" w:eastAsia="Arial" w:hAnsi="Arial"/>
                <w:sz w:val="17"/>
                <w:szCs w:val="17"/>
                <w:color w:val="auto"/>
                <w:w w:val="89"/>
              </w:rPr>
              <w:t>11.12.2015</w:t>
            </w:r>
          </w:p>
        </w:tc>
        <w:tc>
          <w:tcPr>
            <w:tcW w:w="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12</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Prior VSOP</w:t>
            </w:r>
          </w:p>
        </w:tc>
        <w:tc>
          <w:tcPr>
            <w:tcW w:w="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31.12.2025</w:t>
            </w:r>
          </w:p>
        </w:tc>
      </w:tr>
      <w:tr>
        <w:trPr>
          <w:trHeight w:val="220"/>
        </w:trPr>
        <w:tc>
          <w:tcPr>
            <w:tcW w:w="1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IPO only</w:t>
            </w:r>
          </w:p>
        </w:tc>
        <w:tc>
          <w:tcPr>
            <w:tcW w:w="800" w:type="dxa"/>
            <w:vAlign w:val="bottom"/>
            <w:shd w:val="clear" w:color="auto" w:fill="CCEEFF"/>
          </w:tcPr>
          <w:p>
            <w:pPr>
              <w:spacing w:after="0"/>
              <w:rPr>
                <w:sz w:val="19"/>
                <w:szCs w:val="19"/>
                <w:color w:val="auto"/>
              </w:rPr>
            </w:pPr>
          </w:p>
        </w:tc>
      </w:tr>
      <w:tr>
        <w:trPr>
          <w:trHeight w:val="229"/>
        </w:trPr>
        <w:tc>
          <w:tcPr>
            <w:tcW w:w="1940" w:type="dxa"/>
            <w:vAlign w:val="bottom"/>
            <w:gridSpan w:val="2"/>
          </w:tcPr>
          <w:p>
            <w:pPr>
              <w:spacing w:after="0"/>
              <w:rPr>
                <w:sz w:val="20"/>
                <w:szCs w:val="20"/>
                <w:color w:val="auto"/>
              </w:rPr>
            </w:pPr>
            <w:r>
              <w:rPr>
                <w:rFonts w:ascii="Arial" w:cs="Arial" w:eastAsia="Arial" w:hAnsi="Arial"/>
                <w:sz w:val="17"/>
                <w:szCs w:val="17"/>
                <w:color w:val="auto"/>
              </w:rPr>
              <w:t>Mariola Fotin-Mleczek</w:t>
            </w:r>
          </w:p>
        </w:tc>
        <w:tc>
          <w:tcPr>
            <w:tcW w:w="640" w:type="dxa"/>
            <w:vAlign w:val="bottom"/>
            <w:gridSpan w:val="2"/>
          </w:tcPr>
          <w:p>
            <w:pPr>
              <w:jc w:val="right"/>
              <w:ind w:right="240"/>
              <w:spacing w:after="0"/>
              <w:rPr>
                <w:sz w:val="20"/>
                <w:szCs w:val="20"/>
                <w:color w:val="auto"/>
              </w:rPr>
            </w:pPr>
            <w:r>
              <w:rPr>
                <w:rFonts w:ascii="Arial" w:cs="Arial" w:eastAsia="Arial" w:hAnsi="Arial"/>
                <w:sz w:val="17"/>
                <w:szCs w:val="17"/>
                <w:color w:val="auto"/>
              </w:rPr>
              <w:t>VS</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42,051</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42,051</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7"/>
                <w:szCs w:val="17"/>
                <w:color w:val="auto"/>
                <w:w w:val="91"/>
              </w:rPr>
              <w:t>01.01.2009</w:t>
            </w:r>
          </w:p>
        </w:tc>
        <w:tc>
          <w:tcPr>
            <w:tcW w:w="480" w:type="dxa"/>
            <w:vAlign w:val="bottom"/>
          </w:tcPr>
          <w:p>
            <w:pPr>
              <w:jc w:val="center"/>
              <w:spacing w:after="0"/>
              <w:rPr>
                <w:sz w:val="20"/>
                <w:szCs w:val="20"/>
                <w:color w:val="auto"/>
              </w:rPr>
            </w:pPr>
            <w:r>
              <w:rPr>
                <w:rFonts w:ascii="Arial" w:cs="Arial" w:eastAsia="Arial" w:hAnsi="Arial"/>
                <w:sz w:val="17"/>
                <w:szCs w:val="17"/>
                <w:color w:val="auto"/>
                <w:w w:val="84"/>
              </w:rPr>
              <w:t>60</w:t>
            </w:r>
          </w:p>
        </w:tc>
        <w:tc>
          <w:tcPr>
            <w:tcW w:w="80" w:type="dxa"/>
            <w:vAlign w:val="bottom"/>
          </w:tcPr>
          <w:p>
            <w:pPr>
              <w:spacing w:after="0"/>
              <w:rPr>
                <w:sz w:val="19"/>
                <w:szCs w:val="19"/>
                <w:color w:val="auto"/>
              </w:rPr>
            </w:pPr>
          </w:p>
        </w:tc>
        <w:tc>
          <w:tcPr>
            <w:tcW w:w="940" w:type="dxa"/>
            <w:vAlign w:val="bottom"/>
            <w:gridSpan w:val="2"/>
          </w:tcPr>
          <w:p>
            <w:pPr>
              <w:spacing w:after="0"/>
              <w:rPr>
                <w:sz w:val="20"/>
                <w:szCs w:val="20"/>
                <w:color w:val="auto"/>
              </w:rPr>
            </w:pPr>
            <w:r>
              <w:rPr>
                <w:rFonts w:ascii="Arial" w:cs="Arial" w:eastAsia="Arial" w:hAnsi="Arial"/>
                <w:sz w:val="17"/>
                <w:szCs w:val="17"/>
                <w:color w:val="auto"/>
              </w:rPr>
              <w:t>Prior VSOP</w:t>
            </w:r>
          </w:p>
        </w:tc>
        <w:tc>
          <w:tcPr>
            <w:tcW w:w="800" w:type="dxa"/>
            <w:vAlign w:val="bottom"/>
          </w:tcPr>
          <w:p>
            <w:pPr>
              <w:jc w:val="center"/>
              <w:spacing w:after="0"/>
              <w:rPr>
                <w:sz w:val="20"/>
                <w:szCs w:val="20"/>
                <w:color w:val="auto"/>
              </w:rPr>
            </w:pPr>
            <w:r>
              <w:rPr>
                <w:rFonts w:ascii="Arial" w:cs="Arial" w:eastAsia="Arial" w:hAnsi="Arial"/>
                <w:sz w:val="17"/>
                <w:szCs w:val="17"/>
                <w:color w:val="auto"/>
                <w:w w:val="89"/>
              </w:rPr>
              <w:t>31.12.2025</w:t>
            </w:r>
          </w:p>
        </w:tc>
      </w:tr>
      <w:tr>
        <w:trPr>
          <w:trHeight w:val="230"/>
        </w:trPr>
        <w:tc>
          <w:tcPr>
            <w:tcW w:w="1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Mariola Fotin-Mleczek</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VS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33,268</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33,268</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center"/>
              <w:ind w:right="60"/>
              <w:spacing w:after="0"/>
              <w:rPr>
                <w:sz w:val="20"/>
                <w:szCs w:val="20"/>
                <w:color w:val="auto"/>
              </w:rPr>
            </w:pPr>
            <w:r>
              <w:rPr>
                <w:rFonts w:ascii="Arial" w:cs="Arial" w:eastAsia="Arial" w:hAnsi="Arial"/>
                <w:sz w:val="17"/>
                <w:szCs w:val="17"/>
                <w:color w:val="auto"/>
                <w:w w:val="91"/>
              </w:rPr>
              <w:t>01.01.2013</w:t>
            </w:r>
          </w:p>
        </w:tc>
        <w:tc>
          <w:tcPr>
            <w:tcW w:w="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36</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Prior VSOP</w:t>
            </w:r>
          </w:p>
        </w:tc>
        <w:tc>
          <w:tcPr>
            <w:tcW w:w="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31.12.2025</w:t>
            </w:r>
          </w:p>
        </w:tc>
      </w:tr>
      <w:tr>
        <w:trPr>
          <w:trHeight w:val="230"/>
        </w:trPr>
        <w:tc>
          <w:tcPr>
            <w:tcW w:w="1940" w:type="dxa"/>
            <w:vAlign w:val="bottom"/>
            <w:gridSpan w:val="2"/>
          </w:tcPr>
          <w:p>
            <w:pPr>
              <w:spacing w:after="0"/>
              <w:rPr>
                <w:sz w:val="20"/>
                <w:szCs w:val="20"/>
                <w:color w:val="auto"/>
              </w:rPr>
            </w:pPr>
            <w:r>
              <w:rPr>
                <w:rFonts w:ascii="Arial" w:cs="Arial" w:eastAsia="Arial" w:hAnsi="Arial"/>
                <w:sz w:val="17"/>
                <w:szCs w:val="17"/>
                <w:color w:val="auto"/>
              </w:rPr>
              <w:t>Mariola Fotin-Mleczek</w:t>
            </w:r>
          </w:p>
        </w:tc>
        <w:tc>
          <w:tcPr>
            <w:tcW w:w="640" w:type="dxa"/>
            <w:vAlign w:val="bottom"/>
            <w:gridSpan w:val="2"/>
          </w:tcPr>
          <w:p>
            <w:pPr>
              <w:jc w:val="right"/>
              <w:ind w:right="240"/>
              <w:spacing w:after="0"/>
              <w:rPr>
                <w:sz w:val="20"/>
                <w:szCs w:val="20"/>
                <w:color w:val="auto"/>
              </w:rPr>
            </w:pPr>
            <w:r>
              <w:rPr>
                <w:rFonts w:ascii="Arial" w:cs="Arial" w:eastAsia="Arial" w:hAnsi="Arial"/>
                <w:sz w:val="17"/>
                <w:szCs w:val="17"/>
                <w:color w:val="auto"/>
              </w:rPr>
              <w:t>VS</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33,268</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33,268</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7"/>
                <w:szCs w:val="17"/>
                <w:color w:val="auto"/>
                <w:w w:val="91"/>
              </w:rPr>
              <w:t>01.01.2014</w:t>
            </w:r>
          </w:p>
        </w:tc>
        <w:tc>
          <w:tcPr>
            <w:tcW w:w="480" w:type="dxa"/>
            <w:vAlign w:val="bottom"/>
          </w:tcPr>
          <w:p>
            <w:pPr>
              <w:jc w:val="center"/>
              <w:spacing w:after="0"/>
              <w:rPr>
                <w:sz w:val="20"/>
                <w:szCs w:val="20"/>
                <w:color w:val="auto"/>
              </w:rPr>
            </w:pPr>
            <w:r>
              <w:rPr>
                <w:rFonts w:ascii="Arial" w:cs="Arial" w:eastAsia="Arial" w:hAnsi="Arial"/>
                <w:sz w:val="17"/>
                <w:szCs w:val="17"/>
                <w:color w:val="auto"/>
                <w:w w:val="84"/>
              </w:rPr>
              <w:t>36</w:t>
            </w:r>
          </w:p>
        </w:tc>
        <w:tc>
          <w:tcPr>
            <w:tcW w:w="80" w:type="dxa"/>
            <w:vAlign w:val="bottom"/>
          </w:tcPr>
          <w:p>
            <w:pPr>
              <w:spacing w:after="0"/>
              <w:rPr>
                <w:sz w:val="19"/>
                <w:szCs w:val="19"/>
                <w:color w:val="auto"/>
              </w:rPr>
            </w:pPr>
          </w:p>
        </w:tc>
        <w:tc>
          <w:tcPr>
            <w:tcW w:w="940" w:type="dxa"/>
            <w:vAlign w:val="bottom"/>
            <w:gridSpan w:val="2"/>
          </w:tcPr>
          <w:p>
            <w:pPr>
              <w:spacing w:after="0"/>
              <w:rPr>
                <w:sz w:val="20"/>
                <w:szCs w:val="20"/>
                <w:color w:val="auto"/>
              </w:rPr>
            </w:pPr>
            <w:r>
              <w:rPr>
                <w:rFonts w:ascii="Arial" w:cs="Arial" w:eastAsia="Arial" w:hAnsi="Arial"/>
                <w:sz w:val="17"/>
                <w:szCs w:val="17"/>
                <w:color w:val="auto"/>
              </w:rPr>
              <w:t>Prior VSOP</w:t>
            </w:r>
          </w:p>
        </w:tc>
        <w:tc>
          <w:tcPr>
            <w:tcW w:w="800" w:type="dxa"/>
            <w:vAlign w:val="bottom"/>
          </w:tcPr>
          <w:p>
            <w:pPr>
              <w:jc w:val="center"/>
              <w:spacing w:after="0"/>
              <w:rPr>
                <w:sz w:val="20"/>
                <w:szCs w:val="20"/>
                <w:color w:val="auto"/>
              </w:rPr>
            </w:pPr>
            <w:r>
              <w:rPr>
                <w:rFonts w:ascii="Arial" w:cs="Arial" w:eastAsia="Arial" w:hAnsi="Arial"/>
                <w:sz w:val="17"/>
                <w:szCs w:val="17"/>
                <w:color w:val="auto"/>
                <w:w w:val="89"/>
              </w:rPr>
              <w:t>31.12.2025</w:t>
            </w:r>
          </w:p>
        </w:tc>
      </w:tr>
      <w:tr>
        <w:trPr>
          <w:trHeight w:val="230"/>
        </w:trPr>
        <w:tc>
          <w:tcPr>
            <w:tcW w:w="1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Mariola Fotin-Mleczek</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VS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33,268</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33,268</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center"/>
              <w:ind w:right="60"/>
              <w:spacing w:after="0"/>
              <w:rPr>
                <w:sz w:val="20"/>
                <w:szCs w:val="20"/>
                <w:color w:val="auto"/>
              </w:rPr>
            </w:pPr>
            <w:r>
              <w:rPr>
                <w:rFonts w:ascii="Arial" w:cs="Arial" w:eastAsia="Arial" w:hAnsi="Arial"/>
                <w:sz w:val="17"/>
                <w:szCs w:val="17"/>
                <w:color w:val="auto"/>
                <w:w w:val="91"/>
              </w:rPr>
              <w:t>01.01.2015</w:t>
            </w:r>
          </w:p>
        </w:tc>
        <w:tc>
          <w:tcPr>
            <w:tcW w:w="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36</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Prior VSOP</w:t>
            </w:r>
          </w:p>
        </w:tc>
        <w:tc>
          <w:tcPr>
            <w:tcW w:w="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31.12.2025</w:t>
            </w:r>
          </w:p>
        </w:tc>
      </w:tr>
      <w:tr>
        <w:trPr>
          <w:trHeight w:val="229"/>
        </w:trPr>
        <w:tc>
          <w:tcPr>
            <w:tcW w:w="1940" w:type="dxa"/>
            <w:vAlign w:val="bottom"/>
            <w:gridSpan w:val="2"/>
          </w:tcPr>
          <w:p>
            <w:pPr>
              <w:spacing w:after="0"/>
              <w:rPr>
                <w:sz w:val="20"/>
                <w:szCs w:val="20"/>
                <w:color w:val="auto"/>
              </w:rPr>
            </w:pPr>
            <w:r>
              <w:rPr>
                <w:rFonts w:ascii="Arial" w:cs="Arial" w:eastAsia="Arial" w:hAnsi="Arial"/>
                <w:sz w:val="17"/>
                <w:szCs w:val="17"/>
                <w:color w:val="auto"/>
              </w:rPr>
              <w:t>Mariola Fotin-Mleczek</w:t>
            </w:r>
          </w:p>
        </w:tc>
        <w:tc>
          <w:tcPr>
            <w:tcW w:w="640" w:type="dxa"/>
            <w:vAlign w:val="bottom"/>
            <w:gridSpan w:val="2"/>
          </w:tcPr>
          <w:p>
            <w:pPr>
              <w:jc w:val="right"/>
              <w:ind w:right="240"/>
              <w:spacing w:after="0"/>
              <w:rPr>
                <w:sz w:val="20"/>
                <w:szCs w:val="20"/>
                <w:color w:val="auto"/>
              </w:rPr>
            </w:pPr>
            <w:r>
              <w:rPr>
                <w:rFonts w:ascii="Arial" w:cs="Arial" w:eastAsia="Arial" w:hAnsi="Arial"/>
                <w:sz w:val="17"/>
                <w:szCs w:val="17"/>
                <w:color w:val="auto"/>
              </w:rPr>
              <w:t>VS</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309,671</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309,671</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7"/>
                <w:szCs w:val="17"/>
                <w:color w:val="auto"/>
                <w:w w:val="91"/>
              </w:rPr>
              <w:t>01.01.2015</w:t>
            </w:r>
          </w:p>
        </w:tc>
        <w:tc>
          <w:tcPr>
            <w:tcW w:w="480" w:type="dxa"/>
            <w:vAlign w:val="bottom"/>
          </w:tcPr>
          <w:p>
            <w:pPr>
              <w:jc w:val="center"/>
              <w:spacing w:after="0"/>
              <w:rPr>
                <w:sz w:val="20"/>
                <w:szCs w:val="20"/>
                <w:color w:val="auto"/>
              </w:rPr>
            </w:pPr>
            <w:r>
              <w:rPr>
                <w:rFonts w:ascii="Arial" w:cs="Arial" w:eastAsia="Arial" w:hAnsi="Arial"/>
                <w:sz w:val="17"/>
                <w:szCs w:val="17"/>
                <w:color w:val="auto"/>
                <w:w w:val="84"/>
              </w:rPr>
              <w:t>12</w:t>
            </w:r>
          </w:p>
        </w:tc>
        <w:tc>
          <w:tcPr>
            <w:tcW w:w="80" w:type="dxa"/>
            <w:vAlign w:val="bottom"/>
          </w:tcPr>
          <w:p>
            <w:pPr>
              <w:spacing w:after="0"/>
              <w:rPr>
                <w:sz w:val="19"/>
                <w:szCs w:val="19"/>
                <w:color w:val="auto"/>
              </w:rPr>
            </w:pPr>
          </w:p>
        </w:tc>
        <w:tc>
          <w:tcPr>
            <w:tcW w:w="940" w:type="dxa"/>
            <w:vAlign w:val="bottom"/>
            <w:gridSpan w:val="2"/>
          </w:tcPr>
          <w:p>
            <w:pPr>
              <w:spacing w:after="0"/>
              <w:rPr>
                <w:sz w:val="20"/>
                <w:szCs w:val="20"/>
                <w:color w:val="auto"/>
              </w:rPr>
            </w:pPr>
            <w:r>
              <w:rPr>
                <w:rFonts w:ascii="Arial" w:cs="Arial" w:eastAsia="Arial" w:hAnsi="Arial"/>
                <w:sz w:val="17"/>
                <w:szCs w:val="17"/>
                <w:color w:val="auto"/>
              </w:rPr>
              <w:t>Prior VSOP</w:t>
            </w:r>
          </w:p>
        </w:tc>
        <w:tc>
          <w:tcPr>
            <w:tcW w:w="800" w:type="dxa"/>
            <w:vAlign w:val="bottom"/>
          </w:tcPr>
          <w:p>
            <w:pPr>
              <w:jc w:val="center"/>
              <w:spacing w:after="0"/>
              <w:rPr>
                <w:sz w:val="20"/>
                <w:szCs w:val="20"/>
                <w:color w:val="auto"/>
              </w:rPr>
            </w:pPr>
            <w:r>
              <w:rPr>
                <w:rFonts w:ascii="Arial" w:cs="Arial" w:eastAsia="Arial" w:hAnsi="Arial"/>
                <w:sz w:val="17"/>
                <w:szCs w:val="17"/>
                <w:color w:val="auto"/>
                <w:w w:val="89"/>
              </w:rPr>
              <w:t>31.12.2025</w:t>
            </w:r>
          </w:p>
        </w:tc>
      </w:tr>
      <w:tr>
        <w:trPr>
          <w:trHeight w:val="230"/>
        </w:trPr>
        <w:tc>
          <w:tcPr>
            <w:tcW w:w="1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Ulrike Gnad-Vogt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VS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90,751</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90,751</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center"/>
              <w:ind w:right="40"/>
              <w:spacing w:after="0"/>
              <w:rPr>
                <w:sz w:val="20"/>
                <w:szCs w:val="20"/>
                <w:color w:val="auto"/>
              </w:rPr>
            </w:pPr>
            <w:r>
              <w:rPr>
                <w:rFonts w:ascii="Arial" w:cs="Arial" w:eastAsia="Arial" w:hAnsi="Arial"/>
                <w:sz w:val="17"/>
                <w:szCs w:val="17"/>
                <w:color w:val="auto"/>
                <w:w w:val="89"/>
              </w:rPr>
              <w:t>01.07.2011</w:t>
            </w:r>
          </w:p>
        </w:tc>
        <w:tc>
          <w:tcPr>
            <w:tcW w:w="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60</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Prior VSOP</w:t>
            </w:r>
          </w:p>
        </w:tc>
        <w:tc>
          <w:tcPr>
            <w:tcW w:w="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31.12.2025</w:t>
            </w:r>
          </w:p>
        </w:tc>
      </w:tr>
      <w:tr>
        <w:trPr>
          <w:trHeight w:val="230"/>
        </w:trPr>
        <w:tc>
          <w:tcPr>
            <w:tcW w:w="1940" w:type="dxa"/>
            <w:vAlign w:val="bottom"/>
            <w:gridSpan w:val="2"/>
          </w:tcPr>
          <w:p>
            <w:pPr>
              <w:spacing w:after="0"/>
              <w:rPr>
                <w:sz w:val="20"/>
                <w:szCs w:val="20"/>
                <w:color w:val="auto"/>
              </w:rPr>
            </w:pPr>
            <w:r>
              <w:rPr>
                <w:rFonts w:ascii="Arial" w:cs="Arial" w:eastAsia="Arial" w:hAnsi="Arial"/>
                <w:sz w:val="17"/>
                <w:szCs w:val="17"/>
                <w:color w:val="auto"/>
              </w:rPr>
              <w:t>Ulrike Gnad-Vogt</w:t>
            </w:r>
          </w:p>
        </w:tc>
        <w:tc>
          <w:tcPr>
            <w:tcW w:w="640" w:type="dxa"/>
            <w:vAlign w:val="bottom"/>
            <w:gridSpan w:val="2"/>
          </w:tcPr>
          <w:p>
            <w:pPr>
              <w:jc w:val="right"/>
              <w:ind w:right="240"/>
              <w:spacing w:after="0"/>
              <w:rPr>
                <w:sz w:val="20"/>
                <w:szCs w:val="20"/>
                <w:color w:val="auto"/>
              </w:rPr>
            </w:pPr>
            <w:r>
              <w:rPr>
                <w:rFonts w:ascii="Arial" w:cs="Arial" w:eastAsia="Arial" w:hAnsi="Arial"/>
                <w:sz w:val="17"/>
                <w:szCs w:val="17"/>
                <w:color w:val="auto"/>
              </w:rPr>
              <w:t>VS</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33,268</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33,268</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7"/>
                <w:szCs w:val="17"/>
                <w:color w:val="auto"/>
                <w:w w:val="91"/>
              </w:rPr>
              <w:t>01.01.2013</w:t>
            </w:r>
          </w:p>
        </w:tc>
        <w:tc>
          <w:tcPr>
            <w:tcW w:w="480" w:type="dxa"/>
            <w:vAlign w:val="bottom"/>
          </w:tcPr>
          <w:p>
            <w:pPr>
              <w:jc w:val="center"/>
              <w:spacing w:after="0"/>
              <w:rPr>
                <w:sz w:val="20"/>
                <w:szCs w:val="20"/>
                <w:color w:val="auto"/>
              </w:rPr>
            </w:pPr>
            <w:r>
              <w:rPr>
                <w:rFonts w:ascii="Arial" w:cs="Arial" w:eastAsia="Arial" w:hAnsi="Arial"/>
                <w:sz w:val="17"/>
                <w:szCs w:val="17"/>
                <w:color w:val="auto"/>
                <w:w w:val="84"/>
              </w:rPr>
              <w:t>36</w:t>
            </w:r>
          </w:p>
        </w:tc>
        <w:tc>
          <w:tcPr>
            <w:tcW w:w="80" w:type="dxa"/>
            <w:vAlign w:val="bottom"/>
          </w:tcPr>
          <w:p>
            <w:pPr>
              <w:spacing w:after="0"/>
              <w:rPr>
                <w:sz w:val="19"/>
                <w:szCs w:val="19"/>
                <w:color w:val="auto"/>
              </w:rPr>
            </w:pPr>
          </w:p>
        </w:tc>
        <w:tc>
          <w:tcPr>
            <w:tcW w:w="940" w:type="dxa"/>
            <w:vAlign w:val="bottom"/>
            <w:gridSpan w:val="2"/>
          </w:tcPr>
          <w:p>
            <w:pPr>
              <w:spacing w:after="0"/>
              <w:rPr>
                <w:sz w:val="20"/>
                <w:szCs w:val="20"/>
                <w:color w:val="auto"/>
              </w:rPr>
            </w:pPr>
            <w:r>
              <w:rPr>
                <w:rFonts w:ascii="Arial" w:cs="Arial" w:eastAsia="Arial" w:hAnsi="Arial"/>
                <w:sz w:val="17"/>
                <w:szCs w:val="17"/>
                <w:color w:val="auto"/>
              </w:rPr>
              <w:t>Prior VSOP</w:t>
            </w:r>
          </w:p>
        </w:tc>
        <w:tc>
          <w:tcPr>
            <w:tcW w:w="800" w:type="dxa"/>
            <w:vAlign w:val="bottom"/>
          </w:tcPr>
          <w:p>
            <w:pPr>
              <w:jc w:val="center"/>
              <w:spacing w:after="0"/>
              <w:rPr>
                <w:sz w:val="20"/>
                <w:szCs w:val="20"/>
                <w:color w:val="auto"/>
              </w:rPr>
            </w:pPr>
            <w:r>
              <w:rPr>
                <w:rFonts w:ascii="Arial" w:cs="Arial" w:eastAsia="Arial" w:hAnsi="Arial"/>
                <w:sz w:val="17"/>
                <w:szCs w:val="17"/>
                <w:color w:val="auto"/>
                <w:w w:val="89"/>
              </w:rPr>
              <w:t>31.12.2025</w:t>
            </w:r>
          </w:p>
        </w:tc>
      </w:tr>
      <w:tr>
        <w:trPr>
          <w:trHeight w:val="230"/>
        </w:trPr>
        <w:tc>
          <w:tcPr>
            <w:tcW w:w="1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Ulrike Gnad-Vogt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VS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33,268</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33,268</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center"/>
              <w:ind w:right="60"/>
              <w:spacing w:after="0"/>
              <w:rPr>
                <w:sz w:val="20"/>
                <w:szCs w:val="20"/>
                <w:color w:val="auto"/>
              </w:rPr>
            </w:pPr>
            <w:r>
              <w:rPr>
                <w:rFonts w:ascii="Arial" w:cs="Arial" w:eastAsia="Arial" w:hAnsi="Arial"/>
                <w:sz w:val="17"/>
                <w:szCs w:val="17"/>
                <w:color w:val="auto"/>
                <w:w w:val="91"/>
              </w:rPr>
              <w:t>01.01.2014</w:t>
            </w:r>
          </w:p>
        </w:tc>
        <w:tc>
          <w:tcPr>
            <w:tcW w:w="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36</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Prior VSOP</w:t>
            </w:r>
          </w:p>
        </w:tc>
        <w:tc>
          <w:tcPr>
            <w:tcW w:w="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31.12.2025</w:t>
            </w:r>
          </w:p>
        </w:tc>
      </w:tr>
      <w:tr>
        <w:trPr>
          <w:trHeight w:val="229"/>
        </w:trPr>
        <w:tc>
          <w:tcPr>
            <w:tcW w:w="1940" w:type="dxa"/>
            <w:vAlign w:val="bottom"/>
            <w:gridSpan w:val="2"/>
          </w:tcPr>
          <w:p>
            <w:pPr>
              <w:spacing w:after="0"/>
              <w:rPr>
                <w:sz w:val="20"/>
                <w:szCs w:val="20"/>
                <w:color w:val="auto"/>
              </w:rPr>
            </w:pPr>
            <w:r>
              <w:rPr>
                <w:rFonts w:ascii="Arial" w:cs="Arial" w:eastAsia="Arial" w:hAnsi="Arial"/>
                <w:sz w:val="17"/>
                <w:szCs w:val="17"/>
                <w:color w:val="auto"/>
              </w:rPr>
              <w:t>Ulrike Gnad-Vogt</w:t>
            </w:r>
          </w:p>
        </w:tc>
        <w:tc>
          <w:tcPr>
            <w:tcW w:w="640" w:type="dxa"/>
            <w:vAlign w:val="bottom"/>
            <w:gridSpan w:val="2"/>
          </w:tcPr>
          <w:p>
            <w:pPr>
              <w:jc w:val="right"/>
              <w:ind w:right="240"/>
              <w:spacing w:after="0"/>
              <w:rPr>
                <w:sz w:val="20"/>
                <w:szCs w:val="20"/>
                <w:color w:val="auto"/>
              </w:rPr>
            </w:pPr>
            <w:r>
              <w:rPr>
                <w:rFonts w:ascii="Arial" w:cs="Arial" w:eastAsia="Arial" w:hAnsi="Arial"/>
                <w:sz w:val="17"/>
                <w:szCs w:val="17"/>
                <w:color w:val="auto"/>
              </w:rPr>
              <w:t>VS</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33,268</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33,268</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7"/>
                <w:szCs w:val="17"/>
                <w:color w:val="auto"/>
                <w:w w:val="91"/>
              </w:rPr>
              <w:t>01.01.2015</w:t>
            </w:r>
          </w:p>
        </w:tc>
        <w:tc>
          <w:tcPr>
            <w:tcW w:w="480" w:type="dxa"/>
            <w:vAlign w:val="bottom"/>
          </w:tcPr>
          <w:p>
            <w:pPr>
              <w:jc w:val="center"/>
              <w:spacing w:after="0"/>
              <w:rPr>
                <w:sz w:val="20"/>
                <w:szCs w:val="20"/>
                <w:color w:val="auto"/>
              </w:rPr>
            </w:pPr>
            <w:r>
              <w:rPr>
                <w:rFonts w:ascii="Arial" w:cs="Arial" w:eastAsia="Arial" w:hAnsi="Arial"/>
                <w:sz w:val="17"/>
                <w:szCs w:val="17"/>
                <w:color w:val="auto"/>
                <w:w w:val="84"/>
              </w:rPr>
              <w:t>36</w:t>
            </w:r>
          </w:p>
        </w:tc>
        <w:tc>
          <w:tcPr>
            <w:tcW w:w="80" w:type="dxa"/>
            <w:vAlign w:val="bottom"/>
          </w:tcPr>
          <w:p>
            <w:pPr>
              <w:spacing w:after="0"/>
              <w:rPr>
                <w:sz w:val="19"/>
                <w:szCs w:val="19"/>
                <w:color w:val="auto"/>
              </w:rPr>
            </w:pPr>
          </w:p>
        </w:tc>
        <w:tc>
          <w:tcPr>
            <w:tcW w:w="940" w:type="dxa"/>
            <w:vAlign w:val="bottom"/>
            <w:gridSpan w:val="2"/>
          </w:tcPr>
          <w:p>
            <w:pPr>
              <w:spacing w:after="0"/>
              <w:rPr>
                <w:sz w:val="20"/>
                <w:szCs w:val="20"/>
                <w:color w:val="auto"/>
              </w:rPr>
            </w:pPr>
            <w:r>
              <w:rPr>
                <w:rFonts w:ascii="Arial" w:cs="Arial" w:eastAsia="Arial" w:hAnsi="Arial"/>
                <w:sz w:val="17"/>
                <w:szCs w:val="17"/>
                <w:color w:val="auto"/>
              </w:rPr>
              <w:t>Prior VSOP</w:t>
            </w:r>
          </w:p>
        </w:tc>
        <w:tc>
          <w:tcPr>
            <w:tcW w:w="800" w:type="dxa"/>
            <w:vAlign w:val="bottom"/>
          </w:tcPr>
          <w:p>
            <w:pPr>
              <w:jc w:val="center"/>
              <w:spacing w:after="0"/>
              <w:rPr>
                <w:sz w:val="20"/>
                <w:szCs w:val="20"/>
                <w:color w:val="auto"/>
              </w:rPr>
            </w:pPr>
            <w:r>
              <w:rPr>
                <w:rFonts w:ascii="Arial" w:cs="Arial" w:eastAsia="Arial" w:hAnsi="Arial"/>
                <w:sz w:val="17"/>
                <w:szCs w:val="17"/>
                <w:color w:val="auto"/>
                <w:w w:val="89"/>
              </w:rPr>
              <w:t>31.12.2025</w:t>
            </w:r>
          </w:p>
        </w:tc>
      </w:tr>
      <w:tr>
        <w:trPr>
          <w:trHeight w:val="230"/>
        </w:trPr>
        <w:tc>
          <w:tcPr>
            <w:tcW w:w="1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Ulrike Gnad-Vogt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VS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260,964</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260,964</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center"/>
              <w:ind w:right="60"/>
              <w:spacing w:after="0"/>
              <w:rPr>
                <w:sz w:val="20"/>
                <w:szCs w:val="20"/>
                <w:color w:val="auto"/>
              </w:rPr>
            </w:pPr>
            <w:r>
              <w:rPr>
                <w:rFonts w:ascii="Arial" w:cs="Arial" w:eastAsia="Arial" w:hAnsi="Arial"/>
                <w:sz w:val="17"/>
                <w:szCs w:val="17"/>
                <w:color w:val="auto"/>
                <w:w w:val="91"/>
              </w:rPr>
              <w:t>01.01.2015</w:t>
            </w:r>
          </w:p>
        </w:tc>
        <w:tc>
          <w:tcPr>
            <w:tcW w:w="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12</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Prior VSOP</w:t>
            </w:r>
          </w:p>
        </w:tc>
        <w:tc>
          <w:tcPr>
            <w:tcW w:w="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31.12.2025</w:t>
            </w:r>
          </w:p>
        </w:tc>
      </w:tr>
      <w:tr>
        <w:trPr>
          <w:trHeight w:val="230"/>
        </w:trPr>
        <w:tc>
          <w:tcPr>
            <w:tcW w:w="1940" w:type="dxa"/>
            <w:vAlign w:val="bottom"/>
            <w:gridSpan w:val="2"/>
          </w:tcPr>
          <w:p>
            <w:pPr>
              <w:spacing w:after="0"/>
              <w:rPr>
                <w:sz w:val="20"/>
                <w:szCs w:val="20"/>
                <w:color w:val="auto"/>
              </w:rPr>
            </w:pPr>
            <w:r>
              <w:rPr>
                <w:rFonts w:ascii="Arial" w:cs="Arial" w:eastAsia="Arial" w:hAnsi="Arial"/>
                <w:sz w:val="17"/>
                <w:szCs w:val="17"/>
                <w:color w:val="auto"/>
              </w:rPr>
              <w:t>Franz-Werner Haas</w:t>
            </w:r>
          </w:p>
        </w:tc>
        <w:tc>
          <w:tcPr>
            <w:tcW w:w="640" w:type="dxa"/>
            <w:vAlign w:val="bottom"/>
            <w:gridSpan w:val="2"/>
          </w:tcPr>
          <w:p>
            <w:pPr>
              <w:jc w:val="right"/>
              <w:ind w:right="240"/>
              <w:spacing w:after="0"/>
              <w:rPr>
                <w:sz w:val="20"/>
                <w:szCs w:val="20"/>
                <w:color w:val="auto"/>
              </w:rPr>
            </w:pPr>
            <w:r>
              <w:rPr>
                <w:rFonts w:ascii="Arial" w:cs="Arial" w:eastAsia="Arial" w:hAnsi="Arial"/>
                <w:sz w:val="17"/>
                <w:szCs w:val="17"/>
                <w:color w:val="auto"/>
              </w:rPr>
              <w:t>VS</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186,307</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186,307</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7"/>
                <w:szCs w:val="17"/>
                <w:color w:val="auto"/>
                <w:w w:val="91"/>
              </w:rPr>
              <w:t>01.06.2012</w:t>
            </w:r>
          </w:p>
        </w:tc>
        <w:tc>
          <w:tcPr>
            <w:tcW w:w="480" w:type="dxa"/>
            <w:vAlign w:val="bottom"/>
          </w:tcPr>
          <w:p>
            <w:pPr>
              <w:jc w:val="center"/>
              <w:spacing w:after="0"/>
              <w:rPr>
                <w:sz w:val="20"/>
                <w:szCs w:val="20"/>
                <w:color w:val="auto"/>
              </w:rPr>
            </w:pPr>
            <w:r>
              <w:rPr>
                <w:rFonts w:ascii="Arial" w:cs="Arial" w:eastAsia="Arial" w:hAnsi="Arial"/>
                <w:sz w:val="17"/>
                <w:szCs w:val="17"/>
                <w:color w:val="auto"/>
                <w:w w:val="84"/>
              </w:rPr>
              <w:t>36</w:t>
            </w:r>
          </w:p>
        </w:tc>
        <w:tc>
          <w:tcPr>
            <w:tcW w:w="80" w:type="dxa"/>
            <w:vAlign w:val="bottom"/>
          </w:tcPr>
          <w:p>
            <w:pPr>
              <w:spacing w:after="0"/>
              <w:rPr>
                <w:sz w:val="19"/>
                <w:szCs w:val="19"/>
                <w:color w:val="auto"/>
              </w:rPr>
            </w:pPr>
          </w:p>
        </w:tc>
        <w:tc>
          <w:tcPr>
            <w:tcW w:w="940" w:type="dxa"/>
            <w:vAlign w:val="bottom"/>
            <w:gridSpan w:val="2"/>
          </w:tcPr>
          <w:p>
            <w:pPr>
              <w:spacing w:after="0"/>
              <w:rPr>
                <w:sz w:val="20"/>
                <w:szCs w:val="20"/>
                <w:color w:val="auto"/>
              </w:rPr>
            </w:pPr>
            <w:r>
              <w:rPr>
                <w:rFonts w:ascii="Arial" w:cs="Arial" w:eastAsia="Arial" w:hAnsi="Arial"/>
                <w:sz w:val="17"/>
                <w:szCs w:val="17"/>
                <w:color w:val="auto"/>
              </w:rPr>
              <w:t>Prior VSOP</w:t>
            </w:r>
          </w:p>
        </w:tc>
        <w:tc>
          <w:tcPr>
            <w:tcW w:w="800" w:type="dxa"/>
            <w:vAlign w:val="bottom"/>
          </w:tcPr>
          <w:p>
            <w:pPr>
              <w:jc w:val="center"/>
              <w:spacing w:after="0"/>
              <w:rPr>
                <w:sz w:val="20"/>
                <w:szCs w:val="20"/>
                <w:color w:val="auto"/>
              </w:rPr>
            </w:pPr>
            <w:r>
              <w:rPr>
                <w:rFonts w:ascii="Arial" w:cs="Arial" w:eastAsia="Arial" w:hAnsi="Arial"/>
                <w:sz w:val="17"/>
                <w:szCs w:val="17"/>
                <w:color w:val="auto"/>
                <w:w w:val="89"/>
              </w:rPr>
              <w:t>31.12.2025</w:t>
            </w:r>
          </w:p>
        </w:tc>
      </w:tr>
      <w:tr>
        <w:trPr>
          <w:trHeight w:val="230"/>
        </w:trPr>
        <w:tc>
          <w:tcPr>
            <w:tcW w:w="1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Franz-Werner Haas</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VS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479,079</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479,079</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center"/>
              <w:ind w:right="60"/>
              <w:spacing w:after="0"/>
              <w:rPr>
                <w:sz w:val="20"/>
                <w:szCs w:val="20"/>
                <w:color w:val="auto"/>
              </w:rPr>
            </w:pPr>
            <w:r>
              <w:rPr>
                <w:rFonts w:ascii="Arial" w:cs="Arial" w:eastAsia="Arial" w:hAnsi="Arial"/>
                <w:sz w:val="17"/>
                <w:szCs w:val="17"/>
                <w:color w:val="auto"/>
                <w:w w:val="91"/>
              </w:rPr>
              <w:t>01.01.2013</w:t>
            </w:r>
          </w:p>
        </w:tc>
        <w:tc>
          <w:tcPr>
            <w:tcW w:w="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36</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Prior VSOP</w:t>
            </w:r>
          </w:p>
        </w:tc>
        <w:tc>
          <w:tcPr>
            <w:tcW w:w="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31.12.2025</w:t>
            </w:r>
          </w:p>
        </w:tc>
      </w:tr>
      <w:tr>
        <w:trPr>
          <w:trHeight w:val="229"/>
        </w:trPr>
        <w:tc>
          <w:tcPr>
            <w:tcW w:w="1940" w:type="dxa"/>
            <w:vAlign w:val="bottom"/>
            <w:gridSpan w:val="2"/>
          </w:tcPr>
          <w:p>
            <w:pPr>
              <w:spacing w:after="0"/>
              <w:rPr>
                <w:sz w:val="20"/>
                <w:szCs w:val="20"/>
                <w:color w:val="auto"/>
              </w:rPr>
            </w:pPr>
            <w:r>
              <w:rPr>
                <w:rFonts w:ascii="Arial" w:cs="Arial" w:eastAsia="Arial" w:hAnsi="Arial"/>
                <w:sz w:val="17"/>
                <w:szCs w:val="17"/>
                <w:color w:val="auto"/>
              </w:rPr>
              <w:t>Franz-Werner Haas</w:t>
            </w:r>
          </w:p>
        </w:tc>
        <w:tc>
          <w:tcPr>
            <w:tcW w:w="640" w:type="dxa"/>
            <w:vAlign w:val="bottom"/>
            <w:gridSpan w:val="2"/>
          </w:tcPr>
          <w:p>
            <w:pPr>
              <w:jc w:val="right"/>
              <w:ind w:right="240"/>
              <w:spacing w:after="0"/>
              <w:rPr>
                <w:sz w:val="20"/>
                <w:szCs w:val="20"/>
                <w:color w:val="auto"/>
              </w:rPr>
            </w:pPr>
            <w:r>
              <w:rPr>
                <w:rFonts w:ascii="Arial" w:cs="Arial" w:eastAsia="Arial" w:hAnsi="Arial"/>
                <w:sz w:val="17"/>
                <w:szCs w:val="17"/>
                <w:color w:val="auto"/>
              </w:rPr>
              <w:t>VS</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202,543</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202,543</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7"/>
                <w:szCs w:val="17"/>
                <w:color w:val="auto"/>
                <w:w w:val="91"/>
              </w:rPr>
              <w:t>01.01.2015</w:t>
            </w:r>
          </w:p>
        </w:tc>
        <w:tc>
          <w:tcPr>
            <w:tcW w:w="480" w:type="dxa"/>
            <w:vAlign w:val="bottom"/>
          </w:tcPr>
          <w:p>
            <w:pPr>
              <w:jc w:val="center"/>
              <w:spacing w:after="0"/>
              <w:rPr>
                <w:sz w:val="20"/>
                <w:szCs w:val="20"/>
                <w:color w:val="auto"/>
              </w:rPr>
            </w:pPr>
            <w:r>
              <w:rPr>
                <w:rFonts w:ascii="Arial" w:cs="Arial" w:eastAsia="Arial" w:hAnsi="Arial"/>
                <w:sz w:val="17"/>
                <w:szCs w:val="17"/>
                <w:color w:val="auto"/>
                <w:w w:val="84"/>
              </w:rPr>
              <w:t>12</w:t>
            </w:r>
          </w:p>
        </w:tc>
        <w:tc>
          <w:tcPr>
            <w:tcW w:w="80" w:type="dxa"/>
            <w:vAlign w:val="bottom"/>
          </w:tcPr>
          <w:p>
            <w:pPr>
              <w:spacing w:after="0"/>
              <w:rPr>
                <w:sz w:val="19"/>
                <w:szCs w:val="19"/>
                <w:color w:val="auto"/>
              </w:rPr>
            </w:pPr>
          </w:p>
        </w:tc>
        <w:tc>
          <w:tcPr>
            <w:tcW w:w="940" w:type="dxa"/>
            <w:vAlign w:val="bottom"/>
            <w:gridSpan w:val="2"/>
          </w:tcPr>
          <w:p>
            <w:pPr>
              <w:spacing w:after="0"/>
              <w:rPr>
                <w:sz w:val="20"/>
                <w:szCs w:val="20"/>
                <w:color w:val="auto"/>
              </w:rPr>
            </w:pPr>
            <w:r>
              <w:rPr>
                <w:rFonts w:ascii="Arial" w:cs="Arial" w:eastAsia="Arial" w:hAnsi="Arial"/>
                <w:sz w:val="17"/>
                <w:szCs w:val="17"/>
                <w:color w:val="auto"/>
              </w:rPr>
              <w:t>Prior VSOP</w:t>
            </w:r>
          </w:p>
        </w:tc>
        <w:tc>
          <w:tcPr>
            <w:tcW w:w="800" w:type="dxa"/>
            <w:vAlign w:val="bottom"/>
          </w:tcPr>
          <w:p>
            <w:pPr>
              <w:jc w:val="center"/>
              <w:spacing w:after="0"/>
              <w:rPr>
                <w:sz w:val="20"/>
                <w:szCs w:val="20"/>
                <w:color w:val="auto"/>
              </w:rPr>
            </w:pPr>
            <w:r>
              <w:rPr>
                <w:rFonts w:ascii="Arial" w:cs="Arial" w:eastAsia="Arial" w:hAnsi="Arial"/>
                <w:sz w:val="17"/>
                <w:szCs w:val="17"/>
                <w:color w:val="auto"/>
                <w:w w:val="89"/>
              </w:rPr>
              <w:t>31.12.2025</w:t>
            </w:r>
          </w:p>
        </w:tc>
      </w:tr>
      <w:tr>
        <w:trPr>
          <w:trHeight w:val="230"/>
        </w:trPr>
        <w:tc>
          <w:tcPr>
            <w:tcW w:w="1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Pierre Kemula</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VS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665,388</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665,388</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01.10.2016</w:t>
            </w:r>
          </w:p>
        </w:tc>
        <w:tc>
          <w:tcPr>
            <w:tcW w:w="880" w:type="dxa"/>
            <w:vAlign w:val="bottom"/>
            <w:gridSpan w:val="2"/>
            <w:shd w:val="clear" w:color="auto" w:fill="CCEEFF"/>
          </w:tcPr>
          <w:p>
            <w:pPr>
              <w:jc w:val="center"/>
              <w:ind w:right="60"/>
              <w:spacing w:after="0"/>
              <w:rPr>
                <w:sz w:val="20"/>
                <w:szCs w:val="20"/>
                <w:color w:val="auto"/>
              </w:rPr>
            </w:pPr>
            <w:r>
              <w:rPr>
                <w:rFonts w:ascii="Arial" w:cs="Arial" w:eastAsia="Arial" w:hAnsi="Arial"/>
                <w:sz w:val="17"/>
                <w:szCs w:val="17"/>
                <w:color w:val="auto"/>
                <w:w w:val="91"/>
              </w:rPr>
              <w:t>18.04.2019</w:t>
            </w:r>
          </w:p>
        </w:tc>
        <w:tc>
          <w:tcPr>
            <w:tcW w:w="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36</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Prior VSOP</w:t>
            </w:r>
          </w:p>
        </w:tc>
        <w:tc>
          <w:tcPr>
            <w:tcW w:w="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31.12.2025</w:t>
            </w:r>
          </w:p>
        </w:tc>
      </w:tr>
      <w:tr>
        <w:trPr>
          <w:trHeight w:val="239"/>
        </w:trPr>
        <w:tc>
          <w:tcPr>
            <w:tcW w:w="1940" w:type="dxa"/>
            <w:vAlign w:val="bottom"/>
            <w:gridSpan w:val="2"/>
          </w:tcPr>
          <w:p>
            <w:pPr>
              <w:spacing w:after="0"/>
              <w:rPr>
                <w:sz w:val="20"/>
                <w:szCs w:val="20"/>
                <w:color w:val="auto"/>
              </w:rPr>
            </w:pPr>
            <w:r>
              <w:rPr>
                <w:rFonts w:ascii="Arial" w:cs="Arial" w:eastAsia="Arial" w:hAnsi="Arial"/>
                <w:sz w:val="17"/>
                <w:szCs w:val="17"/>
                <w:color w:val="auto"/>
              </w:rPr>
              <w:t>Daniel Menichella*</w:t>
            </w:r>
          </w:p>
        </w:tc>
        <w:tc>
          <w:tcPr>
            <w:tcW w:w="5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w w:val="89"/>
              </w:rPr>
              <w:t>3,866,308</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w w:val="89"/>
              </w:rPr>
              <w:t>3,866,308</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w w:val="91"/>
              </w:rPr>
              <w:t>08.01.2017</w:t>
            </w:r>
          </w:p>
        </w:tc>
        <w:tc>
          <w:tcPr>
            <w:tcW w:w="880" w:type="dxa"/>
            <w:vAlign w:val="bottom"/>
            <w:gridSpan w:val="2"/>
          </w:tcPr>
          <w:p>
            <w:pPr>
              <w:jc w:val="center"/>
              <w:ind w:right="60"/>
              <w:spacing w:after="0"/>
              <w:rPr>
                <w:sz w:val="20"/>
                <w:szCs w:val="20"/>
                <w:color w:val="auto"/>
              </w:rPr>
            </w:pPr>
            <w:r>
              <w:rPr>
                <w:rFonts w:ascii="Arial" w:cs="Arial" w:eastAsia="Arial" w:hAnsi="Arial"/>
                <w:sz w:val="17"/>
                <w:szCs w:val="17"/>
                <w:color w:val="auto"/>
                <w:w w:val="91"/>
              </w:rPr>
              <w:t>14.10.2019</w:t>
            </w:r>
          </w:p>
        </w:tc>
        <w:tc>
          <w:tcPr>
            <w:tcW w:w="480" w:type="dxa"/>
            <w:vAlign w:val="bottom"/>
          </w:tcPr>
          <w:p>
            <w:pPr>
              <w:jc w:val="center"/>
              <w:spacing w:after="0"/>
              <w:rPr>
                <w:sz w:val="20"/>
                <w:szCs w:val="20"/>
                <w:color w:val="auto"/>
              </w:rPr>
            </w:pPr>
            <w:r>
              <w:rPr>
                <w:rFonts w:ascii="Arial" w:cs="Arial" w:eastAsia="Arial" w:hAnsi="Arial"/>
                <w:sz w:val="17"/>
                <w:szCs w:val="17"/>
                <w:color w:val="auto"/>
                <w:w w:val="84"/>
              </w:rPr>
              <w:t>48</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auto"/>
                <w:w w:val="89"/>
              </w:rPr>
              <w:t>08.01.2027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-3074670</wp:posOffset>
            </wp:positionV>
            <wp:extent cx="5143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-3074670</wp:posOffset>
            </wp:positionV>
            <wp:extent cx="5143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-3074670</wp:posOffset>
            </wp:positionV>
            <wp:extent cx="5143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-3074670</wp:posOffset>
            </wp:positionV>
            <wp:extent cx="5143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3380105</wp:posOffset>
            </wp:positionH>
            <wp:positionV relativeFrom="paragraph">
              <wp:posOffset>-3074670</wp:posOffset>
            </wp:positionV>
            <wp:extent cx="5143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2882900</wp:posOffset>
            </wp:positionH>
            <wp:positionV relativeFrom="paragraph">
              <wp:posOffset>-3074670</wp:posOffset>
            </wp:positionV>
            <wp:extent cx="5143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2385695</wp:posOffset>
            </wp:positionH>
            <wp:positionV relativeFrom="paragraph">
              <wp:posOffset>-3074670</wp:posOffset>
            </wp:positionV>
            <wp:extent cx="5143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1983105</wp:posOffset>
            </wp:positionH>
            <wp:positionV relativeFrom="paragraph">
              <wp:posOffset>-3074670</wp:posOffset>
            </wp:positionV>
            <wp:extent cx="5143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147955</wp:posOffset>
            </wp:positionV>
            <wp:extent cx="164592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88" w:lineRule="exact"/>
        <w:rPr>
          <w:sz w:val="20"/>
          <w:szCs w:val="20"/>
          <w:color w:val="auto"/>
        </w:rPr>
      </w:pPr>
    </w:p>
    <w:p>
      <w:pPr>
        <w:ind w:left="1900" w:right="579" w:hanging="640"/>
        <w:spacing w:after="0" w:line="273" w:lineRule="auto"/>
        <w:tabs>
          <w:tab w:leader="none" w:pos="190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Daniel Menichella: New Plan — Kick in price at a valuation of USD 800 million. These options were exchanged for 3,866,309 options for common shares in CureVac N.V. in connection with the Corporate Reorganization, out of which 3,766,309 options were exercised between August 2020 and December 2020. See note 9.4 to our consolidated financial statements and note 5 of the unaudited interim condensed consolidated financial statements, contained elsewhere in this prospectus, for further information on Mr. Menichella’s New Plan.</w:t>
      </w:r>
    </w:p>
    <w:p>
      <w:pPr>
        <w:spacing w:after="0" w:line="35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54" w:name="page255"/>
    <w:bookmarkEnd w:id="2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Service Agreements</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Supervisory Board Service Contract</w:t>
      </w:r>
    </w:p>
    <w:p>
      <w:pPr>
        <w:spacing w:after="0" w:line="158" w:lineRule="exact"/>
        <w:rPr>
          <w:sz w:val="20"/>
          <w:szCs w:val="20"/>
          <w:color w:val="auto"/>
        </w:rPr>
      </w:pPr>
    </w:p>
    <w:p>
      <w:pPr>
        <w:jc w:val="both"/>
        <w:ind w:left="1260" w:right="839" w:firstLine="648"/>
        <w:spacing w:after="0" w:line="248" w:lineRule="auto"/>
        <w:rPr>
          <w:sz w:val="20"/>
          <w:szCs w:val="20"/>
          <w:color w:val="auto"/>
        </w:rPr>
      </w:pPr>
      <w:r>
        <w:rPr>
          <w:rFonts w:ascii="Arial" w:cs="Arial" w:eastAsia="Arial" w:hAnsi="Arial"/>
          <w:sz w:val="18"/>
          <w:szCs w:val="18"/>
          <w:color w:val="auto"/>
        </w:rPr>
        <w:t>With the approval of the supervisory board, Dr. Clemens, one of our supervisory directors, has entered into a service agreement with us, which provides for notice of termination periods and include restrictive covenants, as described further below.</w:t>
      </w:r>
    </w:p>
    <w:p>
      <w:pPr>
        <w:spacing w:after="0" w:line="182"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Consulting Agreement with Ralf Clemens</w:t>
      </w:r>
    </w:p>
    <w:p>
      <w:pPr>
        <w:spacing w:after="0" w:line="158" w:lineRule="exact"/>
        <w:rPr>
          <w:sz w:val="20"/>
          <w:szCs w:val="20"/>
          <w:color w:val="auto"/>
        </w:rPr>
      </w:pPr>
    </w:p>
    <w:p>
      <w:pPr>
        <w:ind w:left="1260" w:right="559" w:firstLine="648"/>
        <w:spacing w:after="0"/>
        <w:rPr>
          <w:sz w:val="20"/>
          <w:szCs w:val="20"/>
          <w:color w:val="auto"/>
        </w:rPr>
      </w:pPr>
      <w:r>
        <w:rPr>
          <w:rFonts w:ascii="Arial" w:cs="Arial" w:eastAsia="Arial" w:hAnsi="Arial"/>
          <w:sz w:val="18"/>
          <w:szCs w:val="18"/>
          <w:color w:val="auto"/>
        </w:rPr>
        <w:t>We entered into a consulting agreement with Dr. Clemens in March 2013, referred hereto as the Clemens Consulting Agreement, whereby Dr. Clemens agreed to provide consulting services and agreed to act as a member of our scientific advisory board for an indefinite period. The Clemens Consulting Agreement provides for a notice of termination period of four weeks, payment of certain travel and out -of-pocket expenses in addition to his consulting fee and restrictive covenants, including covenants related to confidentiality and proprietary information.</w:t>
      </w:r>
    </w:p>
    <w:p>
      <w:pPr>
        <w:spacing w:after="0" w:line="189"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Employment Agreements and Consultancy Agreement with Ingmar Hoerr</w:t>
      </w:r>
    </w:p>
    <w:p>
      <w:pPr>
        <w:spacing w:after="0" w:line="144" w:lineRule="exact"/>
        <w:rPr>
          <w:sz w:val="20"/>
          <w:szCs w:val="20"/>
          <w:color w:val="auto"/>
        </w:rPr>
      </w:pPr>
    </w:p>
    <w:p>
      <w:pPr>
        <w:jc w:val="both"/>
        <w:ind w:left="1260" w:right="739" w:firstLine="648"/>
        <w:spacing w:after="0" w:line="294" w:lineRule="auto"/>
        <w:rPr>
          <w:sz w:val="20"/>
          <w:szCs w:val="20"/>
          <w:color w:val="auto"/>
        </w:rPr>
      </w:pPr>
      <w:r>
        <w:rPr>
          <w:rFonts w:ascii="Arial" w:cs="Arial" w:eastAsia="Arial" w:hAnsi="Arial"/>
          <w:sz w:val="16"/>
          <w:szCs w:val="16"/>
          <w:color w:val="auto"/>
        </w:rPr>
        <w:t>We entered into several management agreements with Dr. Hoerr in 2003, 2005 and 2011, which were superseded by the management agreement we entered into with him in 2015, which is substantially similar to the Management Contracts entered with the management board members as described above.</w:t>
      </w:r>
    </w:p>
    <w:p>
      <w:pPr>
        <w:spacing w:after="0" w:line="80" w:lineRule="exact"/>
        <w:rPr>
          <w:sz w:val="20"/>
          <w:szCs w:val="20"/>
          <w:color w:val="auto"/>
        </w:rPr>
      </w:pPr>
    </w:p>
    <w:p>
      <w:pPr>
        <w:ind w:left="1260" w:right="519" w:firstLine="648"/>
        <w:spacing w:after="0" w:line="239" w:lineRule="auto"/>
        <w:rPr>
          <w:sz w:val="20"/>
          <w:szCs w:val="20"/>
          <w:color w:val="auto"/>
        </w:rPr>
      </w:pPr>
      <w:r>
        <w:rPr>
          <w:rFonts w:ascii="Arial" w:cs="Arial" w:eastAsia="Arial" w:hAnsi="Arial"/>
          <w:sz w:val="18"/>
          <w:szCs w:val="18"/>
          <w:color w:val="auto"/>
        </w:rPr>
        <w:t>In June 2018, Dr. Hoerr was elected as a supervisory director. We subsequently entered into a Consultancy Agreement with Dr. Hoerr, or the Hoerr Consultancy Agreement, whereby Dr. Hoerr agreed to provide consulting services. The Hoerr Consultancy Agreement provides for a notice of termination period of four weeks, payment of certain travel and out-of-pocket expenses in addition to his consulting fee and restrictive covenants, including a four-year non-competition and covenants related to confidentiality and ownership of work product. For additional details of Dr. Hoerr’s Consultancy Agreement, see “Related Party Transactions.”</w:t>
      </w:r>
    </w:p>
    <w:p>
      <w:pPr>
        <w:spacing w:after="0" w:line="123" w:lineRule="exact"/>
        <w:rPr>
          <w:sz w:val="20"/>
          <w:szCs w:val="20"/>
          <w:color w:val="auto"/>
        </w:rPr>
      </w:pPr>
    </w:p>
    <w:p>
      <w:pPr>
        <w:ind w:left="1260" w:right="939" w:firstLine="648"/>
        <w:spacing w:after="0" w:line="243" w:lineRule="auto"/>
        <w:rPr>
          <w:sz w:val="20"/>
          <w:szCs w:val="20"/>
          <w:color w:val="auto"/>
        </w:rPr>
      </w:pPr>
      <w:r>
        <w:rPr>
          <w:rFonts w:ascii="Arial" w:cs="Arial" w:eastAsia="Arial" w:hAnsi="Arial"/>
          <w:sz w:val="18"/>
          <w:szCs w:val="18"/>
          <w:color w:val="auto"/>
        </w:rPr>
        <w:t>On March 10, 2020, Dr. Hoerr succeeded Mr. Menichella as a managing director on the management board. Dr. Hoerr was a managing director of CureVac AG at the time of the Corporate Reorganization but is no longer a managing director of CureVac AG and is not a managing director of CureVac N.V.</w:t>
      </w:r>
    </w:p>
    <w:p>
      <w:pPr>
        <w:spacing w:after="0" w:line="188"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Management Board Service Contracts</w:t>
      </w:r>
    </w:p>
    <w:p>
      <w:pPr>
        <w:spacing w:after="0" w:line="144" w:lineRule="exact"/>
        <w:rPr>
          <w:sz w:val="20"/>
          <w:szCs w:val="20"/>
          <w:color w:val="auto"/>
        </w:rPr>
      </w:pPr>
    </w:p>
    <w:p>
      <w:pPr>
        <w:ind w:left="1260" w:right="479" w:firstLine="648"/>
        <w:spacing w:after="0" w:line="257" w:lineRule="auto"/>
        <w:rPr>
          <w:sz w:val="20"/>
          <w:szCs w:val="20"/>
          <w:color w:val="auto"/>
        </w:rPr>
      </w:pPr>
      <w:r>
        <w:rPr>
          <w:rFonts w:ascii="Arial" w:cs="Arial" w:eastAsia="Arial" w:hAnsi="Arial"/>
          <w:sz w:val="17"/>
          <w:szCs w:val="17"/>
          <w:color w:val="auto"/>
        </w:rPr>
        <w:t>We entered into a management board services contract with the following managing directors: Mr. Mülbe, Ms. Fotin-Mleczek, Mr. Haas, Mr. Kemula, Mr. Splawski and Mr. Blanc, referred hereto as the Management Contracts. The Management Contracts generally provide for a term of either three, four or five years and a base salary and an annual variable payment expressed as a percentage of annual base salary that is dependent on the achievement of the objectives agreed to by the supervisory board. The supervisory board is also entitled to grant managing directors additional compensation at its discretion.</w:t>
      </w:r>
    </w:p>
    <w:p>
      <w:pPr>
        <w:spacing w:after="0" w:line="108" w:lineRule="exact"/>
        <w:rPr>
          <w:sz w:val="20"/>
          <w:szCs w:val="20"/>
          <w:color w:val="auto"/>
        </w:rPr>
      </w:pPr>
    </w:p>
    <w:p>
      <w:pPr>
        <w:ind w:left="1260" w:right="439" w:firstLine="648"/>
        <w:spacing w:after="0" w:line="241" w:lineRule="auto"/>
        <w:rPr>
          <w:sz w:val="20"/>
          <w:szCs w:val="20"/>
          <w:color w:val="auto"/>
        </w:rPr>
      </w:pPr>
      <w:r>
        <w:rPr>
          <w:rFonts w:ascii="Arial" w:cs="Arial" w:eastAsia="Arial" w:hAnsi="Arial"/>
          <w:sz w:val="18"/>
          <w:szCs w:val="18"/>
          <w:color w:val="auto"/>
        </w:rPr>
        <w:t>The Management Contracts also provide for additional allowances. The managing directors are also eligible to participate in a virtual stock plan or equivalent plan that is established in a manner substantially similar to other of the senior executives. Specifically, within Mr. Splawski's Management Contract, we awarded him 266,155 options under the Plan (as defined below) on November 16, 2020, which vests over a period of 48 months.</w:t>
      </w:r>
    </w:p>
    <w:p>
      <w:pPr>
        <w:spacing w:after="0" w:line="122" w:lineRule="exact"/>
        <w:rPr>
          <w:sz w:val="20"/>
          <w:szCs w:val="20"/>
          <w:color w:val="auto"/>
        </w:rPr>
      </w:pPr>
    </w:p>
    <w:p>
      <w:pPr>
        <w:ind w:left="1260" w:right="499" w:firstLine="648"/>
        <w:spacing w:after="0"/>
        <w:rPr>
          <w:sz w:val="20"/>
          <w:szCs w:val="20"/>
          <w:color w:val="auto"/>
        </w:rPr>
      </w:pPr>
      <w:r>
        <w:rPr>
          <w:rFonts w:ascii="Arial" w:cs="Arial" w:eastAsia="Arial" w:hAnsi="Arial"/>
          <w:sz w:val="18"/>
          <w:szCs w:val="18"/>
          <w:color w:val="auto"/>
        </w:rPr>
        <w:t>The Management Contracts provide for the following restrictive covenants: (i) a non-compete during employment and for 12 months after termination; (ii) a non-solicit of employees during employment and for two years after termination; and (iii) a perpetual confidentiality covenant. Under the Management Contracts, we are obligated to pay the managing directors compensation for the duration of their post-employment non -compete in monthly installments that are equal to half of the total compensation they received prior to their termination.</w:t>
      </w:r>
    </w:p>
    <w:p>
      <w:pPr>
        <w:spacing w:after="0" w:line="108" w:lineRule="exact"/>
        <w:rPr>
          <w:sz w:val="20"/>
          <w:szCs w:val="20"/>
          <w:color w:val="auto"/>
        </w:rPr>
      </w:pPr>
    </w:p>
    <w:p>
      <w:pPr>
        <w:ind w:left="1260" w:right="559" w:firstLine="648"/>
        <w:spacing w:after="0" w:line="261" w:lineRule="auto"/>
        <w:rPr>
          <w:sz w:val="20"/>
          <w:szCs w:val="20"/>
          <w:color w:val="auto"/>
        </w:rPr>
      </w:pPr>
      <w:r>
        <w:rPr>
          <w:rFonts w:ascii="Arial" w:cs="Arial" w:eastAsia="Arial" w:hAnsi="Arial"/>
          <w:sz w:val="18"/>
          <w:szCs w:val="18"/>
          <w:color w:val="auto"/>
        </w:rPr>
        <w:t>We may in the future enter into service agreements with other individuals, the terms of which may provide for, among other things, cash or equity-based compensation and benefits.</w:t>
      </w:r>
    </w:p>
    <w:p>
      <w:pPr>
        <w:spacing w:after="0" w:line="36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55" w:name="page256"/>
    <w:bookmarkEnd w:id="2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Arrangements with Daniel Menichella</w:t>
      </w:r>
    </w:p>
    <w:p>
      <w:pPr>
        <w:spacing w:after="0" w:line="158" w:lineRule="exact"/>
        <w:rPr>
          <w:sz w:val="20"/>
          <w:szCs w:val="20"/>
          <w:color w:val="auto"/>
        </w:rPr>
      </w:pPr>
    </w:p>
    <w:p>
      <w:pPr>
        <w:ind w:left="1260" w:right="459" w:firstLine="648"/>
        <w:spacing w:after="0" w:line="286" w:lineRule="auto"/>
        <w:rPr>
          <w:sz w:val="20"/>
          <w:szCs w:val="20"/>
          <w:color w:val="auto"/>
        </w:rPr>
      </w:pPr>
      <w:r>
        <w:rPr>
          <w:rFonts w:ascii="Arial" w:cs="Arial" w:eastAsia="Arial" w:hAnsi="Arial"/>
          <w:sz w:val="17"/>
          <w:szCs w:val="17"/>
          <w:color w:val="auto"/>
        </w:rPr>
        <w:t>In June 2018, we entered into an employment agreement with Daniel Menichella, referred hereto as the Menichella Employment Agreement, which terminated and replaced his prior employment agreement, under which Mr. Menichella became the CEO of CureVac AG in addition to CureVac Inc.</w:t>
      </w:r>
    </w:p>
    <w:p>
      <w:pPr>
        <w:spacing w:after="0" w:line="98" w:lineRule="exact"/>
        <w:rPr>
          <w:sz w:val="20"/>
          <w:szCs w:val="20"/>
          <w:color w:val="auto"/>
        </w:rPr>
      </w:pPr>
    </w:p>
    <w:p>
      <w:pPr>
        <w:ind w:left="1260" w:right="479" w:firstLine="648"/>
        <w:spacing w:after="0" w:line="254" w:lineRule="auto"/>
        <w:rPr>
          <w:sz w:val="20"/>
          <w:szCs w:val="20"/>
          <w:color w:val="auto"/>
        </w:rPr>
      </w:pPr>
      <w:r>
        <w:rPr>
          <w:rFonts w:ascii="Arial" w:cs="Arial" w:eastAsia="Arial" w:hAnsi="Arial"/>
          <w:sz w:val="18"/>
          <w:szCs w:val="18"/>
          <w:color w:val="auto"/>
        </w:rPr>
        <w:t>Under the Menichella Employment Agreement, Mr. Menichella was also entitled to receive up to 29,053 options, which provided Mr. Menichella with a cash claim against CureVac AG, which could be settled in shares of CureVac AG, subject to the terms and conditions of his employment agreement, equal to an amount by which the price per share calculated on the basis of the value to the company with 726,592 outstanding shares of $800,000,000 is surpassed by the price per share calculated on the basis of the fair market value of CureVac AG at the time of the exercise of the option. Such options were exchanged for 3,866,309 options for common shares in CureVac N.V. in connection with the Corporate Reorganization. Such options expire on June 21, 2028.</w:t>
      </w:r>
    </w:p>
    <w:p>
      <w:pPr>
        <w:spacing w:after="0" w:line="111" w:lineRule="exact"/>
        <w:rPr>
          <w:sz w:val="20"/>
          <w:szCs w:val="20"/>
          <w:color w:val="auto"/>
        </w:rPr>
      </w:pPr>
    </w:p>
    <w:p>
      <w:pPr>
        <w:ind w:left="1260" w:right="639" w:firstLine="648"/>
        <w:spacing w:after="0" w:line="263" w:lineRule="auto"/>
        <w:rPr>
          <w:sz w:val="20"/>
          <w:szCs w:val="20"/>
          <w:color w:val="auto"/>
        </w:rPr>
      </w:pPr>
      <w:r>
        <w:rPr>
          <w:rFonts w:ascii="Arial" w:cs="Arial" w:eastAsia="Arial" w:hAnsi="Arial"/>
          <w:sz w:val="18"/>
          <w:szCs w:val="18"/>
          <w:color w:val="auto"/>
        </w:rPr>
        <w:t>Between August 2020 and December 2020, Mr. Menichella exercised 3,766,309 of the 3,866,309 options he was entitled to under the Menichella Employment Agreement (after exchange for options for common shares in CureVac N.V. in connection with the Corporate Reorganization).</w:t>
      </w:r>
    </w:p>
    <w:p>
      <w:pPr>
        <w:spacing w:after="0" w:line="116" w:lineRule="exact"/>
        <w:rPr>
          <w:sz w:val="20"/>
          <w:szCs w:val="20"/>
          <w:color w:val="auto"/>
        </w:rPr>
      </w:pPr>
    </w:p>
    <w:p>
      <w:pPr>
        <w:ind w:left="1260" w:right="439" w:firstLine="648"/>
        <w:spacing w:after="0" w:line="267" w:lineRule="auto"/>
        <w:rPr>
          <w:sz w:val="20"/>
          <w:szCs w:val="20"/>
          <w:color w:val="auto"/>
        </w:rPr>
      </w:pPr>
      <w:r>
        <w:rPr>
          <w:rFonts w:ascii="Arial" w:cs="Arial" w:eastAsia="Arial" w:hAnsi="Arial"/>
          <w:sz w:val="17"/>
          <w:szCs w:val="17"/>
          <w:color w:val="auto"/>
        </w:rPr>
        <w:t>If Mr. Menichella’s employment is terminated for convenience or if he resigns with good reason (as such term is defined in the Menichella Employment Agreement), subject to his execution and nonrevocation of a release, he is entitled to the following: (i) 18 months of his then base salary (or 24 months if such termination is within one year following the consummation of a change in control), (ii) a pro rata portion of his discretionary bonus, if any, for the year of termination, (iii) reimbursement of the employer-contributed portion of Mr. Menichella’s health care premiums for 18 months, (iv) 18-month acceleration of stock option vesting if employment is terminated within one year following the consummation of a change in control and</w:t>
      </w:r>
    </w:p>
    <w:p>
      <w:pPr>
        <w:spacing w:after="0" w:line="4" w:lineRule="exact"/>
        <w:rPr>
          <w:sz w:val="20"/>
          <w:szCs w:val="20"/>
          <w:color w:val="auto"/>
        </w:rPr>
      </w:pPr>
    </w:p>
    <w:p>
      <w:pPr>
        <w:ind w:left="1260" w:right="959"/>
        <w:spacing w:after="0" w:line="260" w:lineRule="auto"/>
        <w:tabs>
          <w:tab w:leader="none" w:pos="1529"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acceleration of all unvested stock options if CureVac is merged with another company or CureVac completes an IPO.</w:t>
      </w:r>
    </w:p>
    <w:p>
      <w:pPr>
        <w:spacing w:after="0" w:line="118" w:lineRule="exact"/>
        <w:rPr>
          <w:sz w:val="20"/>
          <w:szCs w:val="20"/>
          <w:color w:val="auto"/>
        </w:rPr>
      </w:pPr>
    </w:p>
    <w:p>
      <w:pPr>
        <w:ind w:left="1260" w:right="419" w:firstLine="648"/>
        <w:spacing w:after="0" w:line="259" w:lineRule="auto"/>
        <w:rPr>
          <w:sz w:val="20"/>
          <w:szCs w:val="20"/>
          <w:color w:val="auto"/>
        </w:rPr>
      </w:pPr>
      <w:r>
        <w:rPr>
          <w:rFonts w:ascii="Arial" w:cs="Arial" w:eastAsia="Arial" w:hAnsi="Arial"/>
          <w:sz w:val="18"/>
          <w:szCs w:val="18"/>
          <w:color w:val="auto"/>
        </w:rPr>
        <w:t>The Menichella Employment Agreement provides for the following restrictive covenants: (i) a non-compete during employment and for 18 months after termination, (ii) a non-solicit of customers and employees during employment and for 18 months after termination, (iii) a perpetual confidentiality and non-disparagement covenant and (iv) ownership of intellectual property and inventions covenant.</w:t>
      </w:r>
    </w:p>
    <w:p>
      <w:pPr>
        <w:spacing w:after="0" w:line="106" w:lineRule="exact"/>
        <w:rPr>
          <w:sz w:val="20"/>
          <w:szCs w:val="20"/>
          <w:color w:val="auto"/>
        </w:rPr>
      </w:pPr>
    </w:p>
    <w:p>
      <w:pPr>
        <w:ind w:left="1260" w:right="439" w:firstLine="648"/>
        <w:spacing w:after="0" w:line="257" w:lineRule="auto"/>
        <w:rPr>
          <w:sz w:val="20"/>
          <w:szCs w:val="20"/>
          <w:color w:val="auto"/>
        </w:rPr>
      </w:pPr>
      <w:r>
        <w:rPr>
          <w:rFonts w:ascii="Arial" w:cs="Arial" w:eastAsia="Arial" w:hAnsi="Arial"/>
          <w:sz w:val="18"/>
          <w:szCs w:val="18"/>
          <w:color w:val="auto"/>
        </w:rPr>
        <w:t>On March 10, 2020, the Menichella Employment Agreement was discontinued and Mr. Menichella ceased to be a member of our management board. He was succeeded on the management board by Dr. Hoerr on that same day. Dr. Hoerr was a managing director of CureVac AG at the time of the Corporate Reorganization but is no longer a managing director of CureVac AG and is not a managing director of CureVac N.V.</w:t>
      </w:r>
    </w:p>
    <w:p>
      <w:pPr>
        <w:spacing w:after="0" w:line="188"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Consulting Agreement with Bernd Winterhalter</w:t>
      </w:r>
    </w:p>
    <w:p>
      <w:pPr>
        <w:spacing w:after="0" w:line="158" w:lineRule="exact"/>
        <w:rPr>
          <w:sz w:val="20"/>
          <w:szCs w:val="20"/>
          <w:color w:val="auto"/>
        </w:rPr>
      </w:pPr>
    </w:p>
    <w:p>
      <w:pPr>
        <w:ind w:left="1260" w:right="499" w:firstLine="648"/>
        <w:spacing w:after="0" w:line="275" w:lineRule="auto"/>
        <w:rPr>
          <w:sz w:val="20"/>
          <w:szCs w:val="20"/>
          <w:color w:val="auto"/>
        </w:rPr>
      </w:pPr>
      <w:r>
        <w:rPr>
          <w:rFonts w:ascii="Arial" w:cs="Arial" w:eastAsia="Arial" w:hAnsi="Arial"/>
          <w:sz w:val="17"/>
          <w:szCs w:val="17"/>
          <w:color w:val="auto"/>
        </w:rPr>
        <w:t>We entered into a consulting agreement with Dr. Winterhalter in June 2018, referred hereto as the Winterhalter Consulting Agreement, whereby Dr. Winterhalter agreed to provide consulting services for an indefinite period of time. The Winterhalter Consulting Agreement provides for a notice of termination period of four weeks, payment of certain travel and out-of-pocket expenses in addition to his consulting fee and restrictive covenants, including covenants related to confidentiality and proprietary information.</w:t>
      </w:r>
    </w:p>
    <w:p>
      <w:pPr>
        <w:spacing w:after="0" w:line="176"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Offer Letter with Pierre Kemula</w:t>
      </w:r>
    </w:p>
    <w:p>
      <w:pPr>
        <w:spacing w:after="0" w:line="158" w:lineRule="exact"/>
        <w:rPr>
          <w:sz w:val="20"/>
          <w:szCs w:val="20"/>
          <w:color w:val="auto"/>
        </w:rPr>
      </w:pPr>
    </w:p>
    <w:p>
      <w:pPr>
        <w:ind w:left="1260" w:right="459" w:firstLine="648"/>
        <w:spacing w:after="0" w:line="255" w:lineRule="auto"/>
        <w:rPr>
          <w:sz w:val="20"/>
          <w:szCs w:val="20"/>
          <w:color w:val="auto"/>
        </w:rPr>
      </w:pPr>
      <w:r>
        <w:rPr>
          <w:rFonts w:ascii="Arial" w:cs="Arial" w:eastAsia="Arial" w:hAnsi="Arial"/>
          <w:sz w:val="18"/>
          <w:szCs w:val="18"/>
          <w:color w:val="auto"/>
        </w:rPr>
        <w:t>We entered into an offer letter with Pierre Kemula in April 2019, referred hereto as the Kemula Offer Letter, to prolong his service on the management board pursuant to the Management Contract, entered into in June 2016, and to include additional terms, including the reimbursement of certain costs. The Kemula Offer Letter also provides that Mr. Kemula will receive, under the VSOP program, 665,389 Beteiligungspunkte (virtual shares) pre-IPO. See note 9.2 to our consolidated financial statements, contained elsewhere in this prospectus, for further information on Mr. Kemula’s award.</w:t>
      </w:r>
    </w:p>
    <w:p>
      <w:pPr>
        <w:spacing w:after="0" w:line="36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56" w:name="page257"/>
    <w:bookmarkEnd w:id="2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Bonus Plan</w:t>
      </w:r>
    </w:p>
    <w:p>
      <w:pPr>
        <w:spacing w:after="0" w:line="162" w:lineRule="exact"/>
        <w:rPr>
          <w:sz w:val="20"/>
          <w:szCs w:val="20"/>
          <w:color w:val="auto"/>
        </w:rPr>
      </w:pPr>
    </w:p>
    <w:p>
      <w:pPr>
        <w:ind w:left="1260" w:right="459" w:firstLine="648"/>
        <w:spacing w:after="0" w:line="269" w:lineRule="auto"/>
        <w:rPr>
          <w:sz w:val="20"/>
          <w:szCs w:val="20"/>
          <w:color w:val="auto"/>
        </w:rPr>
      </w:pPr>
      <w:r>
        <w:rPr>
          <w:rFonts w:ascii="Arial" w:cs="Arial" w:eastAsia="Arial" w:hAnsi="Arial"/>
          <w:sz w:val="17"/>
          <w:szCs w:val="17"/>
          <w:color w:val="auto"/>
        </w:rPr>
        <w:t>We maintain and implement a management bonus plan for the members of our management. Under the management bonus plan, we provide a variable bonus payment as a component of management compensation that ranges from 45% to 55% of the individual’s annual base salary, depending on management level. We agree upon the respective individual amount of the target bonus with each employee on an individual contractual basis. The annual performance review is used to measure the achievement of objectives. In the individual’s annual performance review, we measure the achievement of objectives for the past year and define the objectives for the coming year. The calculation of the respective bonus payment is based on the individual degree of target achievement, which is then calculated as a percentage of the annual base salary and is usually paid out in March of the following year. The bonus is calculated on a pro rata basis if the individual joins or leaves CureVac during the year.</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Equity Incentive Plans</w:t>
      </w:r>
    </w:p>
    <w:p>
      <w:pPr>
        <w:spacing w:after="0" w:line="162" w:lineRule="exact"/>
        <w:rPr>
          <w:sz w:val="20"/>
          <w:szCs w:val="20"/>
          <w:color w:val="auto"/>
        </w:rPr>
      </w:pPr>
    </w:p>
    <w:p>
      <w:pPr>
        <w:ind w:left="1260" w:right="499" w:firstLine="648"/>
        <w:spacing w:after="0" w:line="270" w:lineRule="auto"/>
        <w:rPr>
          <w:sz w:val="20"/>
          <w:szCs w:val="20"/>
          <w:color w:val="auto"/>
        </w:rPr>
      </w:pPr>
      <w:r>
        <w:rPr>
          <w:rFonts w:ascii="Arial" w:cs="Arial" w:eastAsia="Arial" w:hAnsi="Arial"/>
          <w:sz w:val="17"/>
          <w:szCs w:val="17"/>
          <w:color w:val="auto"/>
        </w:rPr>
        <w:t>Certain members of our management received share-based compensation under the legacy management stock option plan, or Legacy Management Stock Option Plan, in the form of share option awards. These options granted the holder the right to purchase series A shares of CureVac AG for a purchase price of €1 per share. All of the outstanding options have vested and will expire on December 31, 2021. From the time of our Corporate Reorganization until December 31, 2021, the optionholders will have the option to convert these options into option awards exercisable for common shares of CureVac N.V. on a 1 to 133.0778 basis. Following this conversion, subject to the vesting, exercise and expiration terms discussed above, these option awards will be governed by the new equity incentive plan, or the Plan, that was established in connection with the completion of our Corporate Reorganization.</w:t>
      </w:r>
    </w:p>
    <w:p>
      <w:pPr>
        <w:spacing w:after="0" w:line="100" w:lineRule="exact"/>
        <w:rPr>
          <w:sz w:val="20"/>
          <w:szCs w:val="20"/>
          <w:color w:val="auto"/>
        </w:rPr>
      </w:pPr>
    </w:p>
    <w:p>
      <w:pPr>
        <w:ind w:left="1260" w:right="419" w:firstLine="648"/>
        <w:spacing w:after="0" w:line="268" w:lineRule="auto"/>
        <w:rPr>
          <w:sz w:val="20"/>
          <w:szCs w:val="20"/>
          <w:color w:val="auto"/>
        </w:rPr>
      </w:pPr>
      <w:r>
        <w:rPr>
          <w:rFonts w:ascii="Arial" w:cs="Arial" w:eastAsia="Arial" w:hAnsi="Arial"/>
          <w:sz w:val="17"/>
          <w:szCs w:val="17"/>
          <w:color w:val="auto"/>
        </w:rPr>
        <w:t>In addition to the management share option awards described above, we maintain a virtual share plan for members of the management board and other key employees of CureVac, or Prior VSOP. As of September 30, 2020, there are 7,964,573 awards outstanding and 43,383 awards available for issuance under the Prior VSOP. Ten percent (10%) of each award under the Prior VSOP will become exercisable upon expiry of the 180 day lock-up period following the closing of CureVac’s initial public offering, which will occur at the end of February 9, 2021. Following the closing of CureVac’s initial public offering, the remaining part of each award may be exercised (in whole or in part) upon the occurrence of certain defined triggering events, including, but not limited to, drug approval, or the sale by a majority shareholder of 5% of our outstanding shares, in each case subject to the conditions of the Prior VSOP. The rights under the Prior VSOP will terminate after the expiry of the ninth calendar year after the listing of our common shares on Nasdaq. The Prior VSOP was restructured upon the completion of our Corporate Reorganization. Following this restructuring, upon vesting of virtual shares, the holder will be able to exchange his or her virtual shares (in whole or in part) for cash or common shares of CureVac N.V. (instead of shares of CureVac AG) on a 1 to 133.0778 basis.</w:t>
      </w:r>
    </w:p>
    <w:p>
      <w:pPr>
        <w:spacing w:after="0" w:line="117" w:lineRule="exact"/>
        <w:rPr>
          <w:sz w:val="20"/>
          <w:szCs w:val="20"/>
          <w:color w:val="auto"/>
        </w:rPr>
      </w:pPr>
    </w:p>
    <w:p>
      <w:pPr>
        <w:ind w:left="1260" w:right="459" w:firstLine="648"/>
        <w:spacing w:after="0" w:line="267" w:lineRule="auto"/>
        <w:rPr>
          <w:sz w:val="20"/>
          <w:szCs w:val="20"/>
          <w:color w:val="auto"/>
        </w:rPr>
      </w:pPr>
      <w:r>
        <w:rPr>
          <w:rFonts w:ascii="Arial" w:cs="Arial" w:eastAsia="Arial" w:hAnsi="Arial"/>
          <w:sz w:val="17"/>
          <w:szCs w:val="17"/>
          <w:color w:val="auto"/>
        </w:rPr>
        <w:t>Due to the increase in value of CureVac prior to our Corporate Reorganization, we modified our incentive program to allow members of the management board and other employees to participate in the value-increased business based on CureVac’s valuation at the time of its reorganization and conditional upon the occurrence of certain enumerated exercise cases (including the consummation of its initial public offering) reflecting such value-increase, or New VSOP. Each virtual share tracked one underlying series A share of CureVac AG. The New VSOP provided a cash-claim against CureVac in the amount of the positive difference between the value of CureVac per virtual share at the grant date (as determined by CureVac when the New VSOP was established) and the value per virtual share at the time of exercise of such virtual share (such value to be derived from the valuation of CureVac in the relevant triggering event) and gave CureVac discretion to provide tradable shares against payment of the value of CureVac per virtual share at the grant date. Such awards provided under the New VSOP had a term of ten years from the date of grant and vest over four years, where 25% vest after the first anniversary of the hire date and the remainder vests monthly with vesting on the last day of the month. These virtual shares were assumed by CureVac N.V. upon the completion of our Corporate Reorganization. At this time, the virtual shares were converted into options, exercisable for common shares of CureVac N.V. on a 1 to 133.0778 basis. Following this conversion, subject to the vesting, exercise and expiration terms discussed above, these option awards are governed by the Plan.</w:t>
      </w:r>
    </w:p>
    <w:p>
      <w:pPr>
        <w:sectPr>
          <w:pgSz w:w="11900" w:h="16838" w:orient="portrait"/>
          <w:cols w:equalWidth="0" w:num="1">
            <w:col w:w="9879"/>
          </w:cols>
          <w:pgMar w:left="580" w:top="132" w:right="1440" w:bottom="1440" w:gutter="0" w:footer="0" w:header="0"/>
        </w:sectPr>
      </w:pP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57" w:name="page258"/>
    <w:bookmarkEnd w:id="25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79" w:firstLine="648"/>
        <w:spacing w:after="0" w:line="268" w:lineRule="auto"/>
        <w:rPr>
          <w:sz w:val="20"/>
          <w:szCs w:val="20"/>
          <w:color w:val="auto"/>
        </w:rPr>
      </w:pPr>
      <w:r>
        <w:rPr>
          <w:rFonts w:ascii="Arial" w:cs="Arial" w:eastAsia="Arial" w:hAnsi="Arial"/>
          <w:sz w:val="17"/>
          <w:szCs w:val="17"/>
          <w:color w:val="auto"/>
        </w:rPr>
        <w:t>In connection with our initial public offering, we established the Plan pursuant to which we may grant options, restricted stock, restricted stock units, share appreciation rights and other equity and equity-based awards. As of December 31, 2020, there are 13,917,808 awards outstanding and 13,256,713 awards available for issuance under the Plan. The maximum number of common shares underlying awards granted pursuant to the Plan, including the awards granted in connection with the conversion of awards under the Legacy Management Stock Option Plan and the New VSOP, as discussed above, plus the common shares underlying awards under the Prior VSOP to the extent such awards have not yet been exercised or settled, will in total not exceed an equivalent of 15% of our issued share capital from time to time. The Plan is administered by our management board and supervisory board, where appropriate, on the basis of a recommendation of our compensation committee (the body administering the Plan, the, or Committee. Awards under the Plan may be granted to our employees, our managing directors and supervisory directors, consultants or other advisors. Awards under the Plan may be conditioned upon the achievement or satisfaction of performance criteria. The vesting conditions for awards under the Plan will be determined by the Committee, and will be set forth in the applicable award documentation. The Plan provides for special provisions for good leavers and bad leavers as well as for a change in control of our company.</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62" w:lineRule="exact"/>
        <w:rPr>
          <w:sz w:val="20"/>
          <w:szCs w:val="20"/>
          <w:color w:val="auto"/>
        </w:rPr>
      </w:pPr>
    </w:p>
    <w:p>
      <w:pPr>
        <w:ind w:left="1260" w:right="419" w:firstLine="648"/>
        <w:spacing w:after="0" w:line="257" w:lineRule="auto"/>
        <w:rPr>
          <w:sz w:val="20"/>
          <w:szCs w:val="20"/>
          <w:color w:val="auto"/>
        </w:rPr>
      </w:pPr>
      <w:r>
        <w:rPr>
          <w:rFonts w:ascii="Arial" w:cs="Arial" w:eastAsia="Arial" w:hAnsi="Arial"/>
          <w:sz w:val="18"/>
          <w:szCs w:val="18"/>
          <w:color w:val="auto"/>
        </w:rPr>
        <w:t>We have adopted a written code of business conduct and ethics, or code of conduct, which outlines the principles of legal and ethical business conduct under which we do business. The code of conduct applies to all of our management board and supervisory directors and employees. The full text of the code of conduct is available on our website at www.curevac.com. The information and other content appearing on our website are not part of this prospectus.</w:t>
      </w:r>
    </w:p>
    <w:p>
      <w:pPr>
        <w:spacing w:after="0" w:line="120" w:lineRule="exact"/>
        <w:rPr>
          <w:sz w:val="20"/>
          <w:szCs w:val="20"/>
          <w:color w:val="auto"/>
        </w:rPr>
      </w:pPr>
    </w:p>
    <w:p>
      <w:pPr>
        <w:ind w:left="1260" w:right="479" w:firstLine="648"/>
        <w:spacing w:after="0" w:line="254" w:lineRule="auto"/>
        <w:rPr>
          <w:sz w:val="20"/>
          <w:szCs w:val="20"/>
          <w:color w:val="auto"/>
        </w:rPr>
      </w:pPr>
      <w:r>
        <w:rPr>
          <w:rFonts w:ascii="Arial" w:cs="Arial" w:eastAsia="Arial" w:hAnsi="Arial"/>
          <w:sz w:val="18"/>
          <w:szCs w:val="18"/>
          <w:color w:val="auto"/>
        </w:rPr>
        <w:t>In addition, we have implemented a compliance management policy which describes the compliance management system implemented at CureVac AG, which is designed to ensure compliance with all legal requirements, while at the same time implementing high ethical standards that are mandatory for both management and each employee. The overall responsibility for the compliance management system lies with the management board, which reports regularly to the audit committee. In the performance of its compliance responsibilities, the management board has delegated the corresponding tasks to various functions at CureVac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58" w:name="page259"/>
    <w:bookmarkEnd w:id="25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SHAREHOLDERS</w:t>
      </w:r>
    </w:p>
    <w:p>
      <w:pPr>
        <w:spacing w:after="0" w:line="162" w:lineRule="exact"/>
        <w:rPr>
          <w:sz w:val="20"/>
          <w:szCs w:val="20"/>
          <w:color w:val="auto"/>
        </w:rPr>
      </w:pPr>
    </w:p>
    <w:p>
      <w:pPr>
        <w:ind w:left="1260" w:right="1760" w:firstLine="648"/>
        <w:spacing w:after="0" w:line="262" w:lineRule="auto"/>
        <w:rPr>
          <w:sz w:val="20"/>
          <w:szCs w:val="20"/>
          <w:color w:val="auto"/>
        </w:rPr>
      </w:pPr>
      <w:r>
        <w:rPr>
          <w:rFonts w:ascii="Arial" w:cs="Arial" w:eastAsia="Arial" w:hAnsi="Arial"/>
          <w:sz w:val="17"/>
          <w:szCs w:val="17"/>
          <w:color w:val="auto"/>
        </w:rPr>
        <w:t>As of the date of this prospectus, our authorized share capital is €92,700,000, consisting of 386,250,000 common shares and 386,250,000 preferred shares, par value €0.12 per share. Each of our common shares entitles its holder to one vote. The following table presents information relating to the beneficial ownership of our common shares as of December 31, 2020 by:</w:t>
      </w:r>
    </w:p>
    <w:p>
      <w:pPr>
        <w:spacing w:after="0" w:line="64" w:lineRule="exact"/>
        <w:rPr>
          <w:sz w:val="20"/>
          <w:szCs w:val="20"/>
          <w:color w:val="auto"/>
        </w:rPr>
      </w:pPr>
    </w:p>
    <w:p>
      <w:pPr>
        <w:ind w:left="2260" w:right="1260" w:hanging="352"/>
        <w:spacing w:after="0" w:line="277" w:lineRule="auto"/>
        <w:tabs>
          <w:tab w:leader="none" w:pos="22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own beneficially 5% or more of our outstanding common shares;</w:t>
      </w:r>
    </w:p>
    <w:p>
      <w:pPr>
        <w:spacing w:after="0" w:line="48" w:lineRule="exact"/>
        <w:rPr>
          <w:rFonts w:ascii="Arial" w:cs="Arial" w:eastAsia="Arial" w:hAnsi="Arial"/>
          <w:sz w:val="18"/>
          <w:szCs w:val="18"/>
          <w:color w:val="auto"/>
        </w:rPr>
      </w:pPr>
    </w:p>
    <w:p>
      <w:pPr>
        <w:ind w:left="2260" w:hanging="352"/>
        <w:spacing w:after="0"/>
        <w:tabs>
          <w:tab w:leader="none" w:pos="22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each managing director and supervisory director; and</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all managing directors and supervisory directors as a group.</w:t>
      </w:r>
    </w:p>
    <w:p>
      <w:pPr>
        <w:spacing w:after="0" w:line="158" w:lineRule="exact"/>
        <w:rPr>
          <w:sz w:val="20"/>
          <w:szCs w:val="20"/>
          <w:color w:val="auto"/>
        </w:rPr>
      </w:pPr>
    </w:p>
    <w:p>
      <w:pPr>
        <w:ind w:left="1260" w:right="1280" w:firstLine="648"/>
        <w:spacing w:after="0" w:line="238" w:lineRule="auto"/>
        <w:rPr>
          <w:sz w:val="20"/>
          <w:szCs w:val="20"/>
          <w:color w:val="auto"/>
        </w:rPr>
      </w:pPr>
      <w:r>
        <w:rPr>
          <w:rFonts w:ascii="Arial" w:cs="Arial" w:eastAsia="Arial" w:hAnsi="Arial"/>
          <w:sz w:val="18"/>
          <w:szCs w:val="18"/>
          <w:color w:val="auto"/>
        </w:rPr>
        <w:t>The number of common shares beneficially owned by each entity, person, supervisory director or managing director is determined in accordance with the rules of the SEC, and the information is not necessarily indicative of beneficial ownership for any other purpose. Under such rules, beneficial ownership includes any common shares over which the individual has sole or shared voting power or investment power as well as any common shares that the individual has the right to acquire within 60 days of December 7, 2020, through the exercise of any option, warrant or other right. Except as otherwise indicated, and subject to applicable community property laws, the persons named in the table have sole voting and investment power with respect to all common shares held by that person.</w:t>
      </w:r>
    </w:p>
    <w:p>
      <w:pPr>
        <w:spacing w:after="0" w:line="113" w:lineRule="exact"/>
        <w:rPr>
          <w:sz w:val="20"/>
          <w:szCs w:val="20"/>
          <w:color w:val="auto"/>
        </w:rPr>
      </w:pPr>
    </w:p>
    <w:p>
      <w:pPr>
        <w:ind w:left="1260" w:right="1300" w:firstLine="648"/>
        <w:spacing w:after="0" w:line="267" w:lineRule="auto"/>
        <w:rPr>
          <w:sz w:val="20"/>
          <w:szCs w:val="20"/>
          <w:color w:val="auto"/>
        </w:rPr>
      </w:pPr>
      <w:r>
        <w:rPr>
          <w:rFonts w:ascii="Arial" w:cs="Arial" w:eastAsia="Arial" w:hAnsi="Arial"/>
          <w:sz w:val="16"/>
          <w:szCs w:val="16"/>
          <w:color w:val="auto"/>
        </w:rPr>
        <w:t>The percentage of outstanding common shares is computed on the basis of 181,163,480 common shares outstanding as of December 31, 2020 (inclusive of 702,917 common shares underlying outstanding options under the legacy management stock option plan that are deemed to be outstanding). Common shares that a person has the right to acquire within 60 days of December 31, 2020 are also deemed outstanding for purposes of computing the percentage ownership of the person holding such rights, but are not deemed outstanding for purposes of computing the percentage ownership of any other person, except with respect to the percentage ownership of all members of the supervisory board and management board as a group.</w:t>
      </w:r>
    </w:p>
    <w:p>
      <w:pPr>
        <w:spacing w:after="0" w:line="1" w:lineRule="exact"/>
        <w:rPr>
          <w:sz w:val="20"/>
          <w:szCs w:val="20"/>
          <w:color w:val="auto"/>
        </w:rPr>
      </w:pPr>
    </w:p>
    <w:p>
      <w:pPr>
        <w:ind w:left="1260" w:right="1620"/>
        <w:spacing w:after="0" w:line="264" w:lineRule="auto"/>
        <w:rPr>
          <w:sz w:val="20"/>
          <w:szCs w:val="20"/>
          <w:color w:val="auto"/>
        </w:rPr>
      </w:pPr>
      <w:r>
        <w:rPr>
          <w:rFonts w:ascii="Arial" w:cs="Arial" w:eastAsia="Arial" w:hAnsi="Arial"/>
          <w:sz w:val="16"/>
          <w:szCs w:val="16"/>
          <w:color w:val="auto"/>
        </w:rPr>
        <w:t>The percentages do not give effect to any shares that may be acquired by our shareholders, management board members or supervisory board members pursuant to the directed share program or in this</w:t>
      </w:r>
    </w:p>
    <w:p>
      <w:pPr>
        <w:ind w:left="1260" w:right="1280"/>
        <w:spacing w:after="0" w:line="243" w:lineRule="auto"/>
        <w:rPr>
          <w:sz w:val="20"/>
          <w:szCs w:val="20"/>
          <w:color w:val="auto"/>
        </w:rPr>
      </w:pPr>
      <w:r>
        <w:rPr>
          <w:rFonts w:ascii="Arial" w:cs="Arial" w:eastAsia="Arial" w:hAnsi="Arial"/>
          <w:sz w:val="18"/>
          <w:szCs w:val="18"/>
          <w:color w:val="auto"/>
        </w:rPr>
        <w:t>offering. Unless otherwise indicated below, the address for each beneficial owner is CureVac AG, Friedrich-Miescher-Strasse 15, 72076 Tübingen, Germany.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4"/>
          </w:tcPr>
          <w:p>
            <w:pPr>
              <w:ind w:left="240"/>
              <w:spacing w:after="0"/>
              <w:rPr>
                <w:sz w:val="20"/>
                <w:szCs w:val="20"/>
                <w:color w:val="auto"/>
              </w:rPr>
            </w:pPr>
            <w:r>
              <w:rPr>
                <w:rFonts w:ascii="Arial" w:cs="Arial" w:eastAsia="Arial" w:hAnsi="Arial"/>
                <w:sz w:val="14"/>
                <w:szCs w:val="14"/>
                <w:b w:val="1"/>
                <w:bCs w:val="1"/>
                <w:color w:val="auto"/>
              </w:rPr>
              <w:t>Shares Beneficially</w:t>
            </w:r>
          </w:p>
        </w:tc>
        <w:tc>
          <w:tcPr>
            <w:tcW w:w="27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8"/>
              </w:rPr>
              <w:t>Common Shares Beneficially</w:t>
            </w: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4"/>
          </w:tcPr>
          <w:p>
            <w:pPr>
              <w:ind w:left="220"/>
              <w:spacing w:after="0"/>
              <w:rPr>
                <w:sz w:val="20"/>
                <w:szCs w:val="20"/>
                <w:color w:val="auto"/>
              </w:rPr>
            </w:pPr>
            <w:r>
              <w:rPr>
                <w:rFonts w:ascii="Arial" w:cs="Arial" w:eastAsia="Arial" w:hAnsi="Arial"/>
                <w:sz w:val="14"/>
                <w:szCs w:val="14"/>
                <w:b w:val="1"/>
                <w:bCs w:val="1"/>
                <w:color w:val="auto"/>
              </w:rPr>
              <w:t>Owned Before This</w:t>
            </w:r>
          </w:p>
        </w:tc>
        <w:tc>
          <w:tcPr>
            <w:tcW w:w="27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0"/>
              </w:rPr>
              <w:t>Owned After Giving Effect to This</w:t>
            </w:r>
          </w:p>
        </w:tc>
        <w:tc>
          <w:tcPr>
            <w:tcW w:w="1260" w:type="dxa"/>
            <w:vAlign w:val="bottom"/>
          </w:tcPr>
          <w:p>
            <w:pPr>
              <w:spacing w:after="0"/>
              <w:rPr>
                <w:sz w:val="14"/>
                <w:szCs w:val="14"/>
                <w:color w:val="auto"/>
              </w:rPr>
            </w:pPr>
          </w:p>
        </w:tc>
      </w:tr>
      <w:tr>
        <w:trPr>
          <w:trHeight w:val="192"/>
        </w:trPr>
        <w:tc>
          <w:tcPr>
            <w:tcW w:w="12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Offering</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Offering</w:t>
            </w:r>
          </w:p>
        </w:tc>
        <w:tc>
          <w:tcPr>
            <w:tcW w:w="10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39"/>
        </w:trPr>
        <w:tc>
          <w:tcPr>
            <w:tcW w:w="126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tcBorders>
              <w:top w:val="single" w:sz="8" w:color="auto"/>
            </w:tcBorders>
            <w:gridSpan w:val="4"/>
          </w:tcPr>
          <w:p>
            <w:pPr>
              <w:jc w:val="center"/>
              <w:ind w:right="160"/>
              <w:spacing w:after="0" w:line="139" w:lineRule="exact"/>
              <w:rPr>
                <w:sz w:val="20"/>
                <w:szCs w:val="20"/>
                <w:color w:val="auto"/>
              </w:rPr>
            </w:pPr>
            <w:r>
              <w:rPr>
                <w:rFonts w:ascii="Arial" w:cs="Arial" w:eastAsia="Arial" w:hAnsi="Arial"/>
                <w:sz w:val="14"/>
                <w:szCs w:val="14"/>
                <w:b w:val="1"/>
                <w:bCs w:val="1"/>
                <w:color w:val="auto"/>
                <w:w w:val="86"/>
              </w:rPr>
              <w:t>No exercise</w:t>
            </w:r>
          </w:p>
        </w:tc>
        <w:tc>
          <w:tcPr>
            <w:tcW w:w="100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87"/>
              </w:rPr>
              <w:t>Full exercise</w:t>
            </w:r>
          </w:p>
        </w:tc>
        <w:tc>
          <w:tcPr>
            <w:tcW w:w="1260" w:type="dxa"/>
            <w:vAlign w:val="bottom"/>
          </w:tcPr>
          <w:p>
            <w:pPr>
              <w:spacing w:after="0"/>
              <w:rPr>
                <w:sz w:val="12"/>
                <w:szCs w:val="12"/>
                <w:color w:val="auto"/>
              </w:rPr>
            </w:pPr>
          </w:p>
        </w:tc>
      </w:tr>
      <w:tr>
        <w:trPr>
          <w:trHeight w:val="162"/>
        </w:trPr>
        <w:tc>
          <w:tcPr>
            <w:tcW w:w="12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0"/>
              </w:rPr>
              <w:t>of underwriter’s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of underwriter’s</w:t>
            </w:r>
          </w:p>
        </w:tc>
        <w:tc>
          <w:tcPr>
            <w:tcW w:w="1260" w:type="dxa"/>
            <w:vAlign w:val="bottom"/>
          </w:tcPr>
          <w:p>
            <w:pPr>
              <w:spacing w:after="0"/>
              <w:rPr>
                <w:sz w:val="14"/>
                <w:szCs w:val="14"/>
                <w:color w:val="auto"/>
              </w:rPr>
            </w:pPr>
          </w:p>
        </w:tc>
      </w:tr>
      <w:tr>
        <w:trPr>
          <w:trHeight w:val="192"/>
        </w:trPr>
        <w:tc>
          <w:tcPr>
            <w:tcW w:w="12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4"/>
              </w:rPr>
              <w:t>option</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option</w:t>
            </w:r>
          </w:p>
        </w:tc>
        <w:tc>
          <w:tcPr>
            <w:tcW w:w="1260" w:type="dxa"/>
            <w:vAlign w:val="bottom"/>
          </w:tcPr>
          <w:p>
            <w:pPr>
              <w:spacing w:after="0"/>
              <w:rPr>
                <w:sz w:val="16"/>
                <w:szCs w:val="16"/>
                <w:color w:val="auto"/>
              </w:rPr>
            </w:pPr>
          </w:p>
        </w:tc>
      </w:tr>
      <w:tr>
        <w:trPr>
          <w:trHeight w:val="197"/>
        </w:trPr>
        <w:tc>
          <w:tcPr>
            <w:tcW w:w="1260" w:type="dxa"/>
            <w:vAlign w:val="bottom"/>
          </w:tcPr>
          <w:p>
            <w:pPr>
              <w:spacing w:after="0"/>
              <w:rPr>
                <w:sz w:val="17"/>
                <w:szCs w:val="17"/>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Shareholder</w:t>
            </w:r>
          </w:p>
        </w:tc>
        <w:tc>
          <w:tcPr>
            <w:tcW w:w="1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Number</w:t>
            </w: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Percentage</w:t>
            </w:r>
          </w:p>
        </w:tc>
        <w:tc>
          <w:tcPr>
            <w:tcW w:w="1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Number</w:t>
            </w:r>
          </w:p>
        </w:tc>
        <w:tc>
          <w:tcPr>
            <w:tcW w:w="14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4"/>
              </w:rPr>
              <w:t>Percentage</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1260" w:type="dxa"/>
            <w:vAlign w:val="bottom"/>
          </w:tcPr>
          <w:p>
            <w:pPr>
              <w:spacing w:after="0"/>
              <w:rPr>
                <w:sz w:val="17"/>
                <w:szCs w:val="17"/>
                <w:color w:val="auto"/>
              </w:rPr>
            </w:pPr>
          </w:p>
        </w:tc>
      </w:tr>
      <w:tr>
        <w:trPr>
          <w:trHeight w:val="215"/>
        </w:trPr>
        <w:tc>
          <w:tcPr>
            <w:tcW w:w="126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 Shareholders: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165"/>
        </w:trPr>
        <w:tc>
          <w:tcPr>
            <w:tcW w:w="1260" w:type="dxa"/>
            <w:vAlign w:val="bottom"/>
          </w:tcPr>
          <w:p>
            <w:pPr>
              <w:spacing w:after="0"/>
              <w:rPr>
                <w:sz w:val="14"/>
                <w:szCs w:val="14"/>
                <w:color w:val="auto"/>
              </w:rPr>
            </w:pPr>
          </w:p>
        </w:tc>
        <w:tc>
          <w:tcPr>
            <w:tcW w:w="3680" w:type="dxa"/>
            <w:vAlign w:val="bottom"/>
            <w:gridSpan w:val="2"/>
          </w:tcPr>
          <w:p>
            <w:pPr>
              <w:ind w:left="180"/>
              <w:spacing w:after="0" w:line="164" w:lineRule="exact"/>
              <w:rPr>
                <w:sz w:val="20"/>
                <w:szCs w:val="20"/>
                <w:color w:val="auto"/>
              </w:rPr>
            </w:pPr>
            <w:r>
              <w:rPr>
                <w:rFonts w:ascii="Arial" w:cs="Arial" w:eastAsia="Arial" w:hAnsi="Arial"/>
                <w:sz w:val="18"/>
                <w:szCs w:val="18"/>
                <w:color w:val="auto"/>
              </w:rPr>
              <w:t>Dievini Hopp BioTech holding GmbH &amp;</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81"/>
        </w:trPr>
        <w:tc>
          <w:tcPr>
            <w:tcW w:w="1260" w:type="dxa"/>
            <w:vAlign w:val="bottom"/>
          </w:tcPr>
          <w:p>
            <w:pPr>
              <w:spacing w:after="0"/>
              <w:rPr>
                <w:sz w:val="24"/>
                <w:szCs w:val="24"/>
                <w:color w:val="auto"/>
              </w:rPr>
            </w:pPr>
          </w:p>
        </w:tc>
        <w:tc>
          <w:tcPr>
            <w:tcW w:w="3680" w:type="dxa"/>
            <w:vAlign w:val="bottom"/>
            <w:gridSpan w:val="2"/>
          </w:tcPr>
          <w:p>
            <w:pPr>
              <w:ind w:left="360"/>
              <w:spacing w:after="0" w:line="281" w:lineRule="exact"/>
              <w:rPr>
                <w:sz w:val="20"/>
                <w:szCs w:val="20"/>
                <w:color w:val="auto"/>
              </w:rPr>
            </w:pPr>
            <w:r>
              <w:rPr>
                <w:rFonts w:ascii="Arial" w:cs="Arial" w:eastAsia="Arial" w:hAnsi="Arial"/>
                <w:sz w:val="18"/>
                <w:szCs w:val="18"/>
                <w:color w:val="auto"/>
              </w:rPr>
              <w:t>Co. KG</w:t>
            </w:r>
            <w:r>
              <w:rPr>
                <w:rFonts w:ascii="Arial" w:cs="Arial" w:eastAsia="Arial" w:hAnsi="Arial"/>
                <w:sz w:val="26"/>
                <w:szCs w:val="26"/>
                <w:color w:val="auto"/>
                <w:vertAlign w:val="superscript"/>
              </w:rPr>
              <w:t>(1)</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79,775,217</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44.03%</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79,775,217</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42.85%</w:t>
            </w: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42.68%</w:t>
            </w:r>
          </w:p>
        </w:tc>
        <w:tc>
          <w:tcPr>
            <w:tcW w:w="1260" w:type="dxa"/>
            <w:vAlign w:val="bottom"/>
          </w:tcPr>
          <w:p>
            <w:pPr>
              <w:spacing w:after="0"/>
              <w:rPr>
                <w:sz w:val="24"/>
                <w:szCs w:val="24"/>
                <w:color w:val="auto"/>
              </w:rPr>
            </w:pPr>
          </w:p>
        </w:tc>
      </w:tr>
      <w:tr>
        <w:trPr>
          <w:trHeight w:val="243"/>
        </w:trPr>
        <w:tc>
          <w:tcPr>
            <w:tcW w:w="1260" w:type="dxa"/>
            <w:vAlign w:val="bottom"/>
          </w:tcPr>
          <w:p>
            <w:pPr>
              <w:spacing w:after="0"/>
              <w:rPr>
                <w:sz w:val="21"/>
                <w:szCs w:val="21"/>
                <w:color w:val="auto"/>
              </w:rPr>
            </w:pPr>
          </w:p>
        </w:tc>
        <w:tc>
          <w:tcPr>
            <w:tcW w:w="3680" w:type="dxa"/>
            <w:vAlign w:val="bottom"/>
            <w:gridSpan w:val="2"/>
            <w:shd w:val="clear" w:color="auto" w:fill="CCEEFF"/>
          </w:tcPr>
          <w:p>
            <w:pPr>
              <w:spacing w:after="0" w:line="243" w:lineRule="exact"/>
              <w:rPr>
                <w:sz w:val="20"/>
                <w:szCs w:val="20"/>
                <w:color w:val="auto"/>
              </w:rPr>
            </w:pPr>
            <w:r>
              <w:rPr>
                <w:rFonts w:ascii="Arial" w:cs="Arial" w:eastAsia="Arial" w:hAnsi="Arial"/>
                <w:sz w:val="18"/>
                <w:szCs w:val="18"/>
                <w:color w:val="auto"/>
              </w:rPr>
              <w:t>OH Beteiligungen GmbH &amp; Co. KG</w:t>
            </w:r>
            <w:r>
              <w:rPr>
                <w:rFonts w:ascii="Arial" w:cs="Arial" w:eastAsia="Arial" w:hAnsi="Arial"/>
                <w:sz w:val="26"/>
                <w:szCs w:val="26"/>
                <w:color w:val="auto"/>
                <w:vertAlign w:val="superscript"/>
              </w:rPr>
              <w:t>(4)</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79,775,217</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44.03%</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79,775,217</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42.85%</w:t>
            </w: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42.68%</w:t>
            </w:r>
          </w:p>
        </w:tc>
        <w:tc>
          <w:tcPr>
            <w:tcW w:w="126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3680" w:type="dxa"/>
            <w:vAlign w:val="bottom"/>
            <w:gridSpan w:val="2"/>
          </w:tcPr>
          <w:p>
            <w:pPr>
              <w:spacing w:after="0" w:line="243" w:lineRule="exact"/>
              <w:rPr>
                <w:sz w:val="20"/>
                <w:szCs w:val="20"/>
                <w:color w:val="auto"/>
              </w:rPr>
            </w:pPr>
            <w:r>
              <w:rPr>
                <w:rFonts w:ascii="Arial" w:cs="Arial" w:eastAsia="Arial" w:hAnsi="Arial"/>
                <w:sz w:val="18"/>
                <w:szCs w:val="18"/>
                <w:color w:val="auto"/>
              </w:rPr>
              <w:t>DH-Capital GmbH &amp; Co. KG</w:t>
            </w:r>
            <w:r>
              <w:rPr>
                <w:rFonts w:ascii="Arial" w:cs="Arial" w:eastAsia="Arial" w:hAnsi="Arial"/>
                <w:sz w:val="26"/>
                <w:szCs w:val="26"/>
                <w:color w:val="auto"/>
                <w:vertAlign w:val="superscript"/>
              </w:rPr>
              <w:t>(4)</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79,775,217</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44.03%</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79,775,217</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42.85%</w:t>
            </w: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42.68%</w:t>
            </w:r>
          </w:p>
        </w:tc>
        <w:tc>
          <w:tcPr>
            <w:tcW w:w="126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3680" w:type="dxa"/>
            <w:vAlign w:val="bottom"/>
            <w:gridSpan w:val="2"/>
            <w:shd w:val="clear" w:color="auto" w:fill="CCEEFF"/>
          </w:tcPr>
          <w:p>
            <w:pPr>
              <w:spacing w:after="0" w:line="243" w:lineRule="exact"/>
              <w:rPr>
                <w:sz w:val="20"/>
                <w:szCs w:val="20"/>
                <w:color w:val="auto"/>
              </w:rPr>
            </w:pPr>
            <w:r>
              <w:rPr>
                <w:rFonts w:ascii="Arial" w:cs="Arial" w:eastAsia="Arial" w:hAnsi="Arial"/>
                <w:sz w:val="18"/>
                <w:szCs w:val="18"/>
                <w:color w:val="auto"/>
              </w:rPr>
              <w:t>Kreditanstalt fur Wiederaufbau</w:t>
            </w:r>
            <w:r>
              <w:rPr>
                <w:rFonts w:ascii="Arial" w:cs="Arial" w:eastAsia="Arial" w:hAnsi="Arial"/>
                <w:sz w:val="26"/>
                <w:szCs w:val="26"/>
                <w:color w:val="auto"/>
                <w:vertAlign w:val="superscript"/>
              </w:rPr>
              <w:t>(2)</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29,871,441</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16.49%</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29,871,441</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16.05%</w:t>
            </w: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15.98%</w:t>
            </w:r>
          </w:p>
        </w:tc>
        <w:tc>
          <w:tcPr>
            <w:tcW w:w="1260" w:type="dxa"/>
            <w:vAlign w:val="bottom"/>
          </w:tcPr>
          <w:p>
            <w:pPr>
              <w:spacing w:after="0"/>
              <w:rPr>
                <w:sz w:val="21"/>
                <w:szCs w:val="21"/>
                <w:color w:val="auto"/>
              </w:rPr>
            </w:pPr>
          </w:p>
        </w:tc>
      </w:tr>
      <w:tr>
        <w:trPr>
          <w:trHeight w:val="230"/>
        </w:trPr>
        <w:tc>
          <w:tcPr>
            <w:tcW w:w="126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Glaxo Group Limited</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14,935,721</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8.24%</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14,935,721</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8.02%</w:t>
            </w: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7.99%</w:t>
            </w:r>
          </w:p>
        </w:tc>
        <w:tc>
          <w:tcPr>
            <w:tcW w:w="1260" w:type="dxa"/>
            <w:vAlign w:val="bottom"/>
          </w:tcPr>
          <w:p>
            <w:pPr>
              <w:spacing w:after="0"/>
              <w:rPr>
                <w:sz w:val="19"/>
                <w:szCs w:val="19"/>
                <w:color w:val="auto"/>
              </w:rPr>
            </w:pPr>
          </w:p>
        </w:tc>
      </w:tr>
      <w:tr>
        <w:trPr>
          <w:trHeight w:val="230"/>
        </w:trPr>
        <w:tc>
          <w:tcPr>
            <w:tcW w:w="1260" w:type="dxa"/>
            <w:vAlign w:val="bottom"/>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Managing Directors:</w:t>
            </w: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126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Florian von der Mulbe, Ph.D., MBA</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1,257,147</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1,257,147</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r>
      <w:tr>
        <w:trPr>
          <w:trHeight w:val="229"/>
        </w:trPr>
        <w:tc>
          <w:tcPr>
            <w:tcW w:w="1260" w:type="dxa"/>
            <w:vAlign w:val="bottom"/>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Mariola Fotin – Mleczek, Ph.D.</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45,887</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45,887</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r>
      <w:tr>
        <w:trPr>
          <w:trHeight w:val="230"/>
        </w:trPr>
        <w:tc>
          <w:tcPr>
            <w:tcW w:w="126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Franz – Werner Haas, LLD, LLM</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87,527</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87,527</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r>
      <w:tr>
        <w:trPr>
          <w:trHeight w:val="230"/>
        </w:trPr>
        <w:tc>
          <w:tcPr>
            <w:tcW w:w="1260" w:type="dxa"/>
            <w:vAlign w:val="bottom"/>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Pierre Kemula, B.Sc.</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67,273</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67,273</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r>
      <w:tr>
        <w:trPr>
          <w:trHeight w:val="229"/>
        </w:trPr>
        <w:tc>
          <w:tcPr>
            <w:tcW w:w="126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Supervisory Directors:</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1260" w:type="dxa"/>
            <w:vAlign w:val="bottom"/>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Ralf Clemens, MD, Ph.D.</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r>
      <w:tr>
        <w:trPr>
          <w:trHeight w:val="243"/>
        </w:trPr>
        <w:tc>
          <w:tcPr>
            <w:tcW w:w="1260" w:type="dxa"/>
            <w:vAlign w:val="bottom"/>
          </w:tcPr>
          <w:p>
            <w:pPr>
              <w:spacing w:after="0"/>
              <w:rPr>
                <w:sz w:val="21"/>
                <w:szCs w:val="21"/>
                <w:color w:val="auto"/>
              </w:rPr>
            </w:pPr>
          </w:p>
        </w:tc>
        <w:tc>
          <w:tcPr>
            <w:tcW w:w="3680" w:type="dxa"/>
            <w:vAlign w:val="bottom"/>
            <w:gridSpan w:val="2"/>
          </w:tcPr>
          <w:p>
            <w:pPr>
              <w:spacing w:after="0" w:line="243" w:lineRule="exact"/>
              <w:rPr>
                <w:sz w:val="20"/>
                <w:szCs w:val="20"/>
                <w:color w:val="auto"/>
              </w:rPr>
            </w:pPr>
            <w:r>
              <w:rPr>
                <w:rFonts w:ascii="Arial" w:cs="Arial" w:eastAsia="Arial" w:hAnsi="Arial"/>
                <w:sz w:val="18"/>
                <w:szCs w:val="18"/>
                <w:color w:val="auto"/>
              </w:rPr>
              <w:t>Mathias Hothum, Ph.D.</w:t>
            </w:r>
            <w:r>
              <w:rPr>
                <w:rFonts w:ascii="Arial" w:cs="Arial" w:eastAsia="Arial" w:hAnsi="Arial"/>
                <w:sz w:val="26"/>
                <w:szCs w:val="26"/>
                <w:color w:val="auto"/>
                <w:vertAlign w:val="superscript"/>
              </w:rPr>
              <w:t>(3)</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79,775,217</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44.03%</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79,775,217</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42.85%</w:t>
            </w: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42.68%</w:t>
            </w:r>
          </w:p>
        </w:tc>
        <w:tc>
          <w:tcPr>
            <w:tcW w:w="1260" w:type="dxa"/>
            <w:vAlign w:val="bottom"/>
          </w:tcPr>
          <w:p>
            <w:pPr>
              <w:spacing w:after="0"/>
              <w:rPr>
                <w:sz w:val="21"/>
                <w:szCs w:val="21"/>
                <w:color w:val="auto"/>
              </w:rPr>
            </w:pPr>
          </w:p>
        </w:tc>
      </w:tr>
      <w:tr>
        <w:trPr>
          <w:trHeight w:val="229"/>
        </w:trPr>
        <w:tc>
          <w:tcPr>
            <w:tcW w:w="1260" w:type="dxa"/>
            <w:vAlign w:val="bottom"/>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Baron Jean Stephenne, MSc, MBA</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r>
      <w:tr>
        <w:trPr>
          <w:trHeight w:val="608"/>
        </w:trPr>
        <w:tc>
          <w:tcPr>
            <w:tcW w:w="12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ind w:left="260"/>
              <w:spacing w:after="0"/>
              <w:rPr>
                <w:sz w:val="20"/>
                <w:szCs w:val="20"/>
                <w:color w:val="auto"/>
              </w:rPr>
            </w:pPr>
            <w:r>
              <w:rPr>
                <w:rFonts w:ascii="Arial" w:cs="Arial" w:eastAsia="Arial" w:hAnsi="Arial"/>
                <w:sz w:val="18"/>
                <w:szCs w:val="18"/>
                <w:color w:val="auto"/>
              </w:rPr>
              <w:t>254</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5292090</wp:posOffset>
            </wp:positionH>
            <wp:positionV relativeFrom="paragraph">
              <wp:posOffset>-3007995</wp:posOffset>
            </wp:positionV>
            <wp:extent cx="8572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4777740</wp:posOffset>
            </wp:positionH>
            <wp:positionV relativeFrom="paragraph">
              <wp:posOffset>-3007995</wp:posOffset>
            </wp:positionV>
            <wp:extent cx="8572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-3007995</wp:posOffset>
            </wp:positionV>
            <wp:extent cx="8572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-3007995</wp:posOffset>
            </wp:positionV>
            <wp:extent cx="8572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3046095</wp:posOffset>
            </wp:positionH>
            <wp:positionV relativeFrom="paragraph">
              <wp:posOffset>-3007995</wp:posOffset>
            </wp:positionV>
            <wp:extent cx="8572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6800850</wp:posOffset>
            </wp:positionH>
            <wp:positionV relativeFrom="paragraph">
              <wp:posOffset>-8255</wp:posOffset>
            </wp:positionV>
            <wp:extent cx="825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-16510</wp:posOffset>
            </wp:positionV>
            <wp:extent cx="8890" cy="171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59" w:name="page260"/>
    <w:bookmarkEnd w:id="25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7"/>
              </w:rPr>
              <w:t>Shares Beneficially</w:t>
            </w:r>
          </w:p>
        </w:tc>
        <w:tc>
          <w:tcPr>
            <w:tcW w:w="27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8"/>
              </w:rPr>
              <w:t>Common Shares Beneficially</w:t>
            </w:r>
          </w:p>
        </w:tc>
      </w:tr>
      <w:tr>
        <w:trPr>
          <w:trHeight w:val="162"/>
        </w:trPr>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Owned Before This</w:t>
            </w:r>
          </w:p>
        </w:tc>
        <w:tc>
          <w:tcPr>
            <w:tcW w:w="27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0"/>
              </w:rPr>
              <w:t>Owned After Giving Effect to This</w:t>
            </w:r>
          </w:p>
        </w:tc>
      </w:tr>
      <w:tr>
        <w:trPr>
          <w:trHeight w:val="192"/>
        </w:trPr>
        <w:tc>
          <w:tcPr>
            <w:tcW w:w="3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Offering</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Offering</w:t>
            </w:r>
          </w:p>
        </w:tc>
        <w:tc>
          <w:tcPr>
            <w:tcW w:w="1000" w:type="dxa"/>
            <w:vAlign w:val="bottom"/>
          </w:tcPr>
          <w:p>
            <w:pPr>
              <w:spacing w:after="0"/>
              <w:rPr>
                <w:sz w:val="16"/>
                <w:szCs w:val="16"/>
                <w:color w:val="auto"/>
              </w:rPr>
            </w:pPr>
          </w:p>
        </w:tc>
      </w:tr>
      <w:tr>
        <w:trPr>
          <w:trHeight w:val="166"/>
        </w:trPr>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Borders>
              <w:top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86"/>
              </w:rPr>
              <w:t>No exercise</w:t>
            </w: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Full exercise</w:t>
            </w:r>
          </w:p>
        </w:tc>
      </w:tr>
      <w:tr>
        <w:trPr>
          <w:trHeight w:val="162"/>
        </w:trPr>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0"/>
              </w:rPr>
              <w:t>of underwriter’s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of underwriter’s</w:t>
            </w:r>
          </w:p>
        </w:tc>
      </w:tr>
      <w:tr>
        <w:trPr>
          <w:trHeight w:val="192"/>
        </w:trPr>
        <w:tc>
          <w:tcPr>
            <w:tcW w:w="3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4"/>
              </w:rPr>
              <w:t>option</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option</w:t>
            </w:r>
          </w:p>
        </w:tc>
      </w:tr>
      <w:tr>
        <w:trPr>
          <w:trHeight w:val="197"/>
        </w:trPr>
        <w:tc>
          <w:tcPr>
            <w:tcW w:w="3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Shareholder</w:t>
            </w:r>
          </w:p>
        </w:tc>
        <w:tc>
          <w:tcPr>
            <w:tcW w:w="1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Number</w:t>
            </w: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Percentage</w:t>
            </w:r>
          </w:p>
        </w:tc>
        <w:tc>
          <w:tcPr>
            <w:tcW w:w="1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Number</w:t>
            </w:r>
          </w:p>
        </w:tc>
        <w:tc>
          <w:tcPr>
            <w:tcW w:w="14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4"/>
              </w:rPr>
              <w:t>Percentage</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Percentage</w:t>
            </w: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Hans Cristoph Tanner, Ph.D.</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188,172</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188,172</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w:t>
            </w:r>
          </w:p>
        </w:tc>
      </w:tr>
      <w:tr>
        <w:trPr>
          <w:trHeight w:val="229"/>
        </w:trPr>
        <w:tc>
          <w:tcPr>
            <w:tcW w:w="3680" w:type="dxa"/>
            <w:vAlign w:val="bottom"/>
            <w:gridSpan w:val="2"/>
          </w:tcPr>
          <w:p>
            <w:pPr>
              <w:spacing w:after="0" w:line="230" w:lineRule="exact"/>
              <w:rPr>
                <w:sz w:val="20"/>
                <w:szCs w:val="20"/>
                <w:color w:val="auto"/>
              </w:rPr>
            </w:pPr>
            <w:r>
              <w:rPr>
                <w:rFonts w:ascii="Arial" w:cs="Arial" w:eastAsia="Arial" w:hAnsi="Arial"/>
                <w:sz w:val="18"/>
                <w:szCs w:val="18"/>
                <w:color w:val="auto"/>
              </w:rPr>
              <w:t>Friedrich von Bohlen und Halbach, Ph.D.</w:t>
            </w:r>
            <w:r>
              <w:rPr>
                <w:rFonts w:ascii="Arial" w:cs="Arial" w:eastAsia="Arial" w:hAnsi="Arial"/>
                <w:sz w:val="26"/>
                <w:szCs w:val="26"/>
                <w:color w:val="auto"/>
                <w:vertAlign w:val="superscript"/>
              </w:rPr>
              <w:t>(3)</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80,017,152</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44.17%</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80,017,152</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42.98%</w:t>
            </w:r>
          </w:p>
        </w:tc>
        <w:tc>
          <w:tcPr>
            <w:tcW w:w="1000" w:type="dxa"/>
            <w:vAlign w:val="bottom"/>
          </w:tcPr>
          <w:p>
            <w:pPr>
              <w:jc w:val="right"/>
              <w:ind w:right="58"/>
              <w:spacing w:after="0"/>
              <w:rPr>
                <w:sz w:val="20"/>
                <w:szCs w:val="20"/>
                <w:color w:val="auto"/>
              </w:rPr>
            </w:pPr>
            <w:r>
              <w:rPr>
                <w:rFonts w:ascii="Arial" w:cs="Arial" w:eastAsia="Arial" w:hAnsi="Arial"/>
                <w:sz w:val="18"/>
                <w:szCs w:val="18"/>
                <w:color w:val="auto"/>
              </w:rPr>
              <w:t>42.81%</w:t>
            </w: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M. Wright, MD</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Craig A. Tooman, MBA</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8"/>
              <w:spacing w:after="0"/>
              <w:rPr>
                <w:sz w:val="20"/>
                <w:szCs w:val="20"/>
                <w:color w:val="auto"/>
              </w:rPr>
            </w:pPr>
            <w:r>
              <w:rPr>
                <w:rFonts w:ascii="Arial" w:cs="Arial" w:eastAsia="Arial" w:hAnsi="Arial"/>
                <w:sz w:val="18"/>
                <w:szCs w:val="18"/>
                <w:color w:val="auto"/>
              </w:rPr>
              <w:t>—%</w:t>
            </w:r>
          </w:p>
        </w:tc>
      </w:tr>
      <w:tr>
        <w:trPr>
          <w:trHeight w:val="211"/>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All Managing Directors and Supervisory</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4"/>
        </w:trPr>
        <w:tc>
          <w:tcPr>
            <w:tcW w:w="36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Directors as a Group:</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81,663,159</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45.08%</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81,663,159</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43.87%</w:t>
            </w: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43.69%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5292090</wp:posOffset>
            </wp:positionH>
            <wp:positionV relativeFrom="paragraph">
              <wp:posOffset>-848360</wp:posOffset>
            </wp:positionV>
            <wp:extent cx="8572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4777740</wp:posOffset>
            </wp:positionH>
            <wp:positionV relativeFrom="paragraph">
              <wp:posOffset>-848360</wp:posOffset>
            </wp:positionV>
            <wp:extent cx="8572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-848360</wp:posOffset>
            </wp:positionV>
            <wp:extent cx="8572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-848360</wp:posOffset>
            </wp:positionV>
            <wp:extent cx="8572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3046095</wp:posOffset>
            </wp:positionH>
            <wp:positionV relativeFrom="paragraph">
              <wp:posOffset>-848360</wp:posOffset>
            </wp:positionV>
            <wp:extent cx="8572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64592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57" w:lineRule="exact"/>
        <w:rPr>
          <w:sz w:val="20"/>
          <w:szCs w:val="20"/>
          <w:color w:val="auto"/>
        </w:rPr>
      </w:pPr>
    </w:p>
    <w:p>
      <w:pPr>
        <w:ind w:left="1900" w:hanging="640"/>
        <w:spacing w:after="0"/>
        <w:tabs>
          <w:tab w:leader="none" w:pos="1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77" w:lineRule="exact"/>
        <w:rPr>
          <w:sz w:val="20"/>
          <w:szCs w:val="20"/>
          <w:color w:val="auto"/>
        </w:rPr>
      </w:pPr>
    </w:p>
    <w:p>
      <w:pPr>
        <w:ind w:left="1900" w:right="479" w:hanging="640"/>
        <w:spacing w:after="0" w:line="252" w:lineRule="auto"/>
        <w:tabs>
          <w:tab w:leader="none" w:pos="1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Does not include 7,743,750 shares beneficially owned by Mr. Dietmar Hopp through DH-LT-Investments GmbH. Dietmar Hopp, Oliver Hopp and Daniel Hopp jointly control the voting and investment decisions of the ultimate parent companies of dievini Hopp BioTech holding GmbH &amp; Co. KG. The shares registered in the name of dievini Hopp BioTech holding GmbH &amp; Co. KG may also be deemed to be beneficially owned by Dr. Friedrich von Bohlen und Halbach, Dr. Christof Hettich and Dr. Mathias Hothum, each of whom is a managing director of dievini Hopp BioTech holding GmbH &amp; Co. KG with the power to represent with another managing director. Moreover, Mr. Dietmar Hopp is also a managing director of dievini Hopp BioTech holding GmbH &amp; Co. KG with the sole power of representation. The address for dievini Hopp BioTech holding GmbH &amp; Co KG, Mr. Dietmar Hopp, Dr. Friedrich von Bohlen und Halbach, Dr. Christof Hettich and Dr. Mathias Hothum is dievini Hopp BioTech holding GmbH &amp; Co. KG, Johann-Jakob-Astor Str. 57, 69190 Walldorf, Germany.</w:t>
      </w:r>
    </w:p>
    <w:p>
      <w:pPr>
        <w:spacing w:after="0" w:line="64" w:lineRule="exact"/>
        <w:rPr>
          <w:rFonts w:ascii="Arial" w:cs="Arial" w:eastAsia="Arial" w:hAnsi="Arial"/>
          <w:sz w:val="18"/>
          <w:szCs w:val="18"/>
          <w:color w:val="auto"/>
        </w:rPr>
      </w:pPr>
    </w:p>
    <w:p>
      <w:pPr>
        <w:ind w:left="1900" w:right="479" w:hanging="640"/>
        <w:spacing w:after="0" w:line="279" w:lineRule="auto"/>
        <w:tabs>
          <w:tab w:leader="none" w:pos="19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KfW, or Kreditanstalt für Wiederaufbau, is an institution (Anstalt des öffentlichen Rechts) organized under public law of the Federal Republic of Germany. The Federal Republic of Germany holds 80% of KfW’s subscribed capital, and the German federal states (Länder) hold the remaining 20%. The address for KfW is Palmengartenstrasse 5-9, 60325 Frankfurt am Main, Germany.</w:t>
      </w:r>
    </w:p>
    <w:p>
      <w:pPr>
        <w:spacing w:after="0" w:line="22" w:lineRule="exact"/>
        <w:rPr>
          <w:rFonts w:ascii="Arial" w:cs="Arial" w:eastAsia="Arial" w:hAnsi="Arial"/>
          <w:sz w:val="17"/>
          <w:szCs w:val="17"/>
          <w:color w:val="auto"/>
        </w:rPr>
      </w:pPr>
    </w:p>
    <w:p>
      <w:pPr>
        <w:ind w:left="1900" w:right="539" w:hanging="640"/>
        <w:spacing w:after="0" w:line="277" w:lineRule="auto"/>
        <w:tabs>
          <w:tab w:leader="none" w:pos="1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Includes 79,775,217 shares held by dievini Hopp BioTech holding GmbH &amp; Co. KG that may also be beneficially owned by Dr. Mathias Hothum or Dr. Friedrich von Bohlen und Halbach.</w:t>
      </w:r>
    </w:p>
    <w:p>
      <w:pPr>
        <w:spacing w:after="0" w:line="21" w:lineRule="exact"/>
        <w:rPr>
          <w:rFonts w:ascii="Arial" w:cs="Arial" w:eastAsia="Arial" w:hAnsi="Arial"/>
          <w:sz w:val="18"/>
          <w:szCs w:val="18"/>
          <w:color w:val="auto"/>
        </w:rPr>
      </w:pPr>
    </w:p>
    <w:p>
      <w:pPr>
        <w:ind w:left="1900" w:right="539" w:hanging="640"/>
        <w:spacing w:after="0" w:line="277" w:lineRule="auto"/>
        <w:tabs>
          <w:tab w:leader="none" w:pos="1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Includes 79,775,217 shares held by dievini Hopp BioTech holding GmbH &amp; Co. KG that may also be beneficially owned by Dr. Mathias Hothum or Dr. Friedrich von Bohlen und Halbach.</w:t>
      </w:r>
    </w:p>
    <w:p>
      <w:pPr>
        <w:spacing w:after="0" w:line="103" w:lineRule="exact"/>
        <w:rPr>
          <w:sz w:val="20"/>
          <w:szCs w:val="20"/>
          <w:color w:val="auto"/>
        </w:rPr>
      </w:pPr>
    </w:p>
    <w:p>
      <w:pPr>
        <w:ind w:left="1260" w:right="439" w:firstLine="648"/>
        <w:spacing w:after="0" w:line="259" w:lineRule="auto"/>
        <w:rPr>
          <w:sz w:val="20"/>
          <w:szCs w:val="20"/>
          <w:color w:val="auto"/>
        </w:rPr>
      </w:pPr>
      <w:r>
        <w:rPr>
          <w:rFonts w:ascii="Arial" w:cs="Arial" w:eastAsia="Arial" w:hAnsi="Arial"/>
          <w:sz w:val="18"/>
          <w:szCs w:val="18"/>
          <w:color w:val="auto"/>
        </w:rPr>
        <w:t>Following the completion of this offering, each of our shareholders is entitled to one vote per common share. None of the holders of our shares will have different voting rights from other holders of shares after the closing of this offering. We are not aware of any arrangement that may, at a subsequent date, result in a change of control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60" w:name="page261"/>
    <w:bookmarkEnd w:id="26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RELATED PARTY TRANSACTIONS</w:t>
      </w:r>
    </w:p>
    <w:p>
      <w:pPr>
        <w:spacing w:after="0" w:line="162" w:lineRule="exact"/>
        <w:rPr>
          <w:sz w:val="20"/>
          <w:szCs w:val="20"/>
          <w:color w:val="auto"/>
        </w:rPr>
      </w:pPr>
    </w:p>
    <w:p>
      <w:pPr>
        <w:ind w:left="1260" w:right="679" w:firstLine="648"/>
        <w:spacing w:after="0" w:line="263" w:lineRule="auto"/>
        <w:rPr>
          <w:sz w:val="20"/>
          <w:szCs w:val="20"/>
          <w:color w:val="auto"/>
        </w:rPr>
      </w:pPr>
      <w:r>
        <w:rPr>
          <w:rFonts w:ascii="Arial" w:cs="Arial" w:eastAsia="Arial" w:hAnsi="Arial"/>
          <w:sz w:val="18"/>
          <w:szCs w:val="18"/>
          <w:color w:val="auto"/>
        </w:rPr>
        <w:t>The following is a description of related party transactions we have entered into since January 1, 2018 with any of our management and supervisory directors and the holders of more than 5% of our common shares.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BePharBel Manufacturing S.A.</w:t>
      </w:r>
    </w:p>
    <w:p>
      <w:pPr>
        <w:spacing w:after="0" w:line="162" w:lineRule="exact"/>
        <w:rPr>
          <w:sz w:val="20"/>
          <w:szCs w:val="20"/>
          <w:color w:val="auto"/>
        </w:rPr>
      </w:pPr>
    </w:p>
    <w:p>
      <w:pPr>
        <w:ind w:left="1260" w:right="439" w:firstLine="648"/>
        <w:spacing w:after="0" w:line="268" w:lineRule="auto"/>
        <w:rPr>
          <w:sz w:val="20"/>
          <w:szCs w:val="20"/>
          <w:color w:val="auto"/>
        </w:rPr>
      </w:pPr>
      <w:r>
        <w:rPr>
          <w:rFonts w:ascii="Arial" w:cs="Arial" w:eastAsia="Arial" w:hAnsi="Arial"/>
          <w:sz w:val="17"/>
          <w:szCs w:val="17"/>
          <w:color w:val="auto"/>
        </w:rPr>
        <w:t>As from December 4, 2020, CureVac Real Estate GmbH and BePharBel Manufacturing S.A., are bound by a commercial supply agreement to develop and manufacture the diluent that is expected to be used to dilute our concentrated COVID-19 vaccine candidate, CVnCoV, to the amount specified by each dose level. Pursuant to the terms of the agreement, BePharBel Manufacturing will manufacture and deliver to CureVac Real Estate GmbH a low seven figure amount of commercial batches of diluent per year, in 2021 and 2022. CureVac Real Estate GmbH paid €1 million at the signing of the agreement to cover the estimated capex financing. The total payments pursuant to the agreement, including the €1 million, will be approximately in the range of €5.96 million and €6.83 million. CureVac Real Estate GmbH may terminate the agreement, without notice, prior to December 2022, if CureVac does not obtain marketing authorization for CVnCoV, but will be required to pay a termination fee of €590,750 and reimburse all artwork, primary, secondary and tertiary packing that BePharBel Manufacturing has in stock or ordered up to the date of the receipt of the notice of termination. Baron Jean Stéphenne, our supervisory board member, holds directly and indirectly 15.61% of BePharBel Manufacturing’s equity and is a director of BePharBel Manufacturing, and Baron Jean Stéphenne’s son, Vincent Stéphenne, holds 1.43% of BePharBel Manufacturing’s equity and is a managing director of BePharBel Manufacturing.</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dievini Hopp BioTech holding GmbH &amp; Co. KG, Walldorf</w:t>
      </w:r>
    </w:p>
    <w:p>
      <w:pPr>
        <w:spacing w:after="0" w:line="148" w:lineRule="exact"/>
        <w:rPr>
          <w:sz w:val="20"/>
          <w:szCs w:val="20"/>
          <w:color w:val="auto"/>
        </w:rPr>
      </w:pPr>
    </w:p>
    <w:p>
      <w:pPr>
        <w:ind w:left="1260" w:right="459" w:firstLine="648"/>
        <w:spacing w:after="0" w:line="255" w:lineRule="auto"/>
        <w:rPr>
          <w:sz w:val="20"/>
          <w:szCs w:val="20"/>
          <w:color w:val="auto"/>
        </w:rPr>
      </w:pPr>
      <w:r>
        <w:rPr>
          <w:rFonts w:ascii="Arial" w:cs="Arial" w:eastAsia="Arial" w:hAnsi="Arial"/>
          <w:sz w:val="18"/>
          <w:szCs w:val="18"/>
          <w:color w:val="auto"/>
        </w:rPr>
        <w:t>Dievini holds the majority of our capital stock and is the controlling shareholder. Molecular Health GmbH, or Molecular Health, is a subsidiary of dievini. In December 2017, we concluded a contract with Molecular Health, according to which Molecular Health provides services in conjunction with the Modeling of the biological and clinical effects of Toll-like receptor 7 and 8 agonists in cancer and immune cells. In fiscal years 2017, 2018 and 2019, payments to Molecular Health with respect to research and development amounted to €60,000, €30,000 and €0, respectively.</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Convertible Loans with Mr. Hopp</w:t>
      </w:r>
    </w:p>
    <w:p>
      <w:pPr>
        <w:spacing w:after="0" w:line="162" w:lineRule="exact"/>
        <w:rPr>
          <w:sz w:val="20"/>
          <w:szCs w:val="20"/>
          <w:color w:val="auto"/>
        </w:rPr>
      </w:pPr>
    </w:p>
    <w:p>
      <w:pPr>
        <w:ind w:left="1260" w:right="539" w:firstLine="648"/>
        <w:spacing w:after="0" w:line="270" w:lineRule="auto"/>
        <w:rPr>
          <w:sz w:val="20"/>
          <w:szCs w:val="20"/>
          <w:color w:val="auto"/>
        </w:rPr>
      </w:pPr>
      <w:r>
        <w:rPr>
          <w:rFonts w:ascii="Arial" w:cs="Arial" w:eastAsia="Arial" w:hAnsi="Arial"/>
          <w:sz w:val="17"/>
          <w:szCs w:val="17"/>
          <w:color w:val="auto"/>
        </w:rPr>
        <w:t>We entered into a convertible loan agreement on May 3, 2019 with Mr. Dietmar Hopp, managing director of dievini, under which Mr. Hopp disbursed to us the amount of €50,000,000, or Convertible Loan I. On October 24, 2019, we entered into an additional convertible loan agreement with Mr. Hopp, as amended, under which we have the right to call for disbursements in two tranches of €20,000,000 and a final tranche of €23,926,900, until December 31, 2021, or Convertible Loan II, and together with Convertible Loan I, or the Convertible Loans. The Convertible Loans bear an interest rate of 8.00% per annum. We repaid the Convertible Loans on August 7, 2020, and as of September 30, 2020, no Convertible Loans were outstanding. See note 11 to our Interim Condensed Consolidated Financial Statements elsewhere in this prospectus for further information on the Convertible Loans.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Rittershaus law firm, Mannheim</w:t>
      </w:r>
    </w:p>
    <w:p>
      <w:pPr>
        <w:spacing w:after="0" w:line="162" w:lineRule="exact"/>
        <w:rPr>
          <w:sz w:val="20"/>
          <w:szCs w:val="20"/>
          <w:color w:val="auto"/>
        </w:rPr>
      </w:pPr>
    </w:p>
    <w:p>
      <w:pPr>
        <w:ind w:left="1260" w:right="579" w:firstLine="648"/>
        <w:spacing w:after="0" w:line="263" w:lineRule="auto"/>
        <w:rPr>
          <w:sz w:val="20"/>
          <w:szCs w:val="20"/>
          <w:color w:val="auto"/>
        </w:rPr>
      </w:pPr>
      <w:r>
        <w:rPr>
          <w:rFonts w:ascii="Arial" w:cs="Arial" w:eastAsia="Arial" w:hAnsi="Arial"/>
          <w:sz w:val="18"/>
          <w:szCs w:val="18"/>
          <w:color w:val="auto"/>
        </w:rPr>
        <w:t>A consulting agreement dated December 15, 2005 was in place for an indefinite term with the law firm Rittershaus Rechtsanwälte Partnerschaftsgesellschaft mbB, Mannheim (Rittershaus). The agreement was replaced by a new consulting agreement dated January 1, 2015.</w:t>
      </w:r>
    </w:p>
    <w:p>
      <w:pPr>
        <w:spacing w:after="0" w:line="103" w:lineRule="exact"/>
        <w:rPr>
          <w:sz w:val="20"/>
          <w:szCs w:val="20"/>
          <w:color w:val="auto"/>
        </w:rPr>
      </w:pPr>
    </w:p>
    <w:p>
      <w:pPr>
        <w:ind w:left="1260" w:right="439" w:firstLine="648"/>
        <w:spacing w:after="0" w:line="259" w:lineRule="auto"/>
        <w:rPr>
          <w:sz w:val="20"/>
          <w:szCs w:val="20"/>
          <w:color w:val="auto"/>
        </w:rPr>
      </w:pPr>
      <w:r>
        <w:rPr>
          <w:rFonts w:ascii="Arial" w:cs="Arial" w:eastAsia="Arial" w:hAnsi="Arial"/>
          <w:sz w:val="18"/>
          <w:szCs w:val="18"/>
          <w:color w:val="auto"/>
        </w:rPr>
        <w:t>The agreement can be terminated without notice by us and with notice of three months to the end of the quarter by Rittershaus. In fiscal years 2018, 2019 and 2020, consulting fees of €144,900, €208,000 and €990,000 were paid to Rittershaus. Prof. Dr. Christof Hettich, one of the managing directors of dievini is a partner of Rittershaus.</w:t>
      </w:r>
    </w:p>
    <w:p>
      <w:pPr>
        <w:spacing w:after="0" w:line="37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61" w:name="page262"/>
    <w:bookmarkEnd w:id="26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Dr. Ingmar Hörr</w:t>
      </w:r>
    </w:p>
    <w:p>
      <w:pPr>
        <w:spacing w:after="0" w:line="162" w:lineRule="exact"/>
        <w:rPr>
          <w:sz w:val="20"/>
          <w:szCs w:val="20"/>
          <w:color w:val="auto"/>
        </w:rPr>
      </w:pPr>
    </w:p>
    <w:p>
      <w:pPr>
        <w:ind w:left="1260" w:right="599" w:firstLine="648"/>
        <w:spacing w:after="0" w:line="270" w:lineRule="auto"/>
        <w:rPr>
          <w:sz w:val="20"/>
          <w:szCs w:val="20"/>
          <w:color w:val="auto"/>
        </w:rPr>
      </w:pPr>
      <w:r>
        <w:rPr>
          <w:rFonts w:ascii="Arial" w:cs="Arial" w:eastAsia="Arial" w:hAnsi="Arial"/>
          <w:sz w:val="17"/>
          <w:szCs w:val="17"/>
          <w:color w:val="auto"/>
        </w:rPr>
        <w:t>In June 2018, an advisory agreement was implemented between Dr. Ingmar Hoerr and CureVac. Dr. Hoerr received €144,000, €240,000 and €45,000 for consulting services in fiscal years 2018, 2019 and 2020, respectively. The advisory agreement with Dr. Ingmar Hoerr was terminated in March 2020.</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2020 Private Investment</w:t>
      </w:r>
    </w:p>
    <w:p>
      <w:pPr>
        <w:spacing w:after="0" w:line="162" w:lineRule="exact"/>
        <w:rPr>
          <w:sz w:val="20"/>
          <w:szCs w:val="20"/>
          <w:color w:val="auto"/>
        </w:rPr>
      </w:pPr>
    </w:p>
    <w:p>
      <w:pPr>
        <w:ind w:left="1260" w:right="599" w:firstLine="648"/>
        <w:spacing w:after="0" w:line="243" w:lineRule="auto"/>
        <w:rPr>
          <w:sz w:val="20"/>
          <w:szCs w:val="20"/>
          <w:color w:val="auto"/>
        </w:rPr>
      </w:pPr>
      <w:r>
        <w:rPr>
          <w:rFonts w:ascii="Arial" w:cs="Arial" w:eastAsia="Arial" w:hAnsi="Arial"/>
          <w:sz w:val="18"/>
          <w:szCs w:val="18"/>
          <w:color w:val="auto"/>
        </w:rPr>
        <w:t>On July 17, 2020, we entered into a binding agreement with KfW, Glaxo Group Limited, or GSK, QIA and other investors, pursuant to which we agreed to issue new Series B shares in CureVac AG, representing approximately 36% of the shares in CureVac AG in exchange for an aggregate investment of approximately €560 million.</w:t>
      </w:r>
    </w:p>
    <w:p>
      <w:pPr>
        <w:spacing w:after="0" w:line="107" w:lineRule="exact"/>
        <w:rPr>
          <w:sz w:val="20"/>
          <w:szCs w:val="20"/>
          <w:color w:val="auto"/>
        </w:rPr>
      </w:pPr>
    </w:p>
    <w:p>
      <w:pPr>
        <w:ind w:left="1260" w:right="419" w:firstLine="648"/>
        <w:spacing w:after="0" w:line="237" w:lineRule="auto"/>
        <w:rPr>
          <w:sz w:val="20"/>
          <w:szCs w:val="20"/>
          <w:color w:val="auto"/>
        </w:rPr>
      </w:pPr>
      <w:r>
        <w:rPr>
          <w:rFonts w:ascii="Arial" w:cs="Arial" w:eastAsia="Arial" w:hAnsi="Arial"/>
          <w:sz w:val="18"/>
          <w:szCs w:val="18"/>
          <w:color w:val="auto"/>
        </w:rPr>
        <w:t>According to the mandate of KfW by the Federal Republic of Germany pursuant to and in accordance with Article 2 paragraph 4 of the KfW Law (</w:t>
      </w:r>
      <w:r>
        <w:rPr>
          <w:rFonts w:ascii="Arial" w:cs="Arial" w:eastAsia="Arial" w:hAnsi="Arial"/>
          <w:sz w:val="18"/>
          <w:szCs w:val="18"/>
          <w:i w:val="1"/>
          <w:iCs w:val="1"/>
          <w:color w:val="auto"/>
        </w:rPr>
        <w:t>Zuweisungsgeschäft</w:t>
      </w:r>
      <w:r>
        <w:rPr>
          <w:rFonts w:ascii="Arial" w:cs="Arial" w:eastAsia="Arial" w:hAnsi="Arial"/>
          <w:sz w:val="18"/>
          <w:szCs w:val="18"/>
          <w:color w:val="auto"/>
        </w:rPr>
        <w:t>) KfW, acquired approximately 19% shareholding in CureVac AG for an aggregate investment of approximately €300 million. In addition, GSK acquired approximately a 9% shareholding in CureVac AG for an investment of approximately €150 million and QIA acquired approximately 4% shareholding in CureVac AG for an investment of approximately €60 million. We refer to the investment of KfW as the KfW Investment and to the investment by GSK as the GSK Investment. In addition, the other several shareholders purchased an aggregate 3% shareholding in CureVac AG for an aggregate investment of approximately €50 million. As part of our Corporate Reorganization, outstanding shares of all series in CureVac AG have been exchanged for common shares in CureVac B.V., which subsequently were converted into shares of CureVac N.V. See “Corporate Reorganization.”</w:t>
      </w:r>
    </w:p>
    <w:p>
      <w:pPr>
        <w:spacing w:after="0" w:line="128" w:lineRule="exact"/>
        <w:rPr>
          <w:sz w:val="20"/>
          <w:szCs w:val="20"/>
          <w:color w:val="auto"/>
        </w:rPr>
      </w:pPr>
    </w:p>
    <w:p>
      <w:pPr>
        <w:ind w:left="1260" w:right="459" w:firstLine="648"/>
        <w:spacing w:after="0" w:line="253" w:lineRule="auto"/>
        <w:rPr>
          <w:sz w:val="20"/>
          <w:szCs w:val="20"/>
          <w:color w:val="auto"/>
        </w:rPr>
      </w:pPr>
      <w:r>
        <w:rPr>
          <w:rFonts w:ascii="Arial" w:cs="Arial" w:eastAsia="Arial" w:hAnsi="Arial"/>
          <w:sz w:val="17"/>
          <w:szCs w:val="17"/>
          <w:color w:val="auto"/>
        </w:rPr>
        <w:t>As part of the 2020 Private Investment those investors who have subscribed for our Series A, B and C shares, or the pre -IPO shareholders, became parties to an Investment and Shareholders’ Agreement, as amended, pursuant to which certain of our pre-IPO shareholders holding at least 10% of our shares have entered into a Registration Right Agreement, as further described below. In addition, KfW has become a party to a Relationship Agreement and entered into a separate Shareholders’ Agreement with dievini and Mr. Hopp as further described below. As part of the GSK Investment, we also entered into a collaboration agreement with GSK pursuant to which we are collaborating with GSK to research, develop and commercialize prophylactic and therapeutic non-replicating mRNA -based vaccines and antibodies targeting infectious disease pathogens. For further information regarding our collaboration agreement with GSK please refer to “Business — Collaborations.”</w:t>
      </w:r>
    </w:p>
    <w:p>
      <w:pPr>
        <w:spacing w:after="0" w:line="11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We are obligated to use the funds raised in the 2020 Private Investment solely to fund the</w:t>
      </w:r>
    </w:p>
    <w:p>
      <w:pPr>
        <w:spacing w:after="0" w:line="7" w:lineRule="exact"/>
        <w:rPr>
          <w:sz w:val="20"/>
          <w:szCs w:val="20"/>
          <w:color w:val="auto"/>
        </w:rPr>
      </w:pPr>
    </w:p>
    <w:p>
      <w:pPr>
        <w:ind w:left="1480" w:hanging="220"/>
        <w:spacing w:after="0"/>
        <w:tabs>
          <w:tab w:leader="none" w:pos="14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development of our proprietary pipeline, including earlier stage assets currently in preclinical</w:t>
      </w:r>
    </w:p>
    <w:p>
      <w:pPr>
        <w:ind w:left="1260" w:right="859"/>
        <w:spacing w:after="0" w:line="264" w:lineRule="auto"/>
        <w:rPr>
          <w:rFonts w:ascii="Arial" w:cs="Arial" w:eastAsia="Arial" w:hAnsi="Arial"/>
          <w:sz w:val="18"/>
          <w:szCs w:val="18"/>
          <w:color w:val="auto"/>
        </w:rPr>
      </w:pPr>
      <w:r>
        <w:rPr>
          <w:rFonts w:ascii="Arial" w:cs="Arial" w:eastAsia="Arial" w:hAnsi="Arial"/>
          <w:sz w:val="16"/>
          <w:szCs w:val="16"/>
          <w:color w:val="auto"/>
        </w:rPr>
        <w:t>development, (ii) research and development activities to expand our mRNA platform technology, in particular with respect to our vaccine candidate against SARS-CoV-2 and other infectious diseases and</w:t>
      </w:r>
    </w:p>
    <w:p>
      <w:pPr>
        <w:ind w:left="1600" w:hanging="340"/>
        <w:spacing w:after="0"/>
        <w:tabs>
          <w:tab w:leader="none" w:pos="16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manufacturing capacities for mRNA-based drug product candidates and future approved products.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Shareholders’ Agreement Among KfW, dievini, DH-LT Investments GmbH and Mr. Hopp</w:t>
      </w:r>
    </w:p>
    <w:p>
      <w:pPr>
        <w:spacing w:after="0" w:line="148" w:lineRule="exact"/>
        <w:rPr>
          <w:sz w:val="20"/>
          <w:szCs w:val="20"/>
          <w:color w:val="auto"/>
        </w:rPr>
      </w:pPr>
    </w:p>
    <w:p>
      <w:pPr>
        <w:ind w:left="1260" w:right="659" w:firstLine="648"/>
        <w:spacing w:after="0" w:line="251" w:lineRule="auto"/>
        <w:rPr>
          <w:sz w:val="20"/>
          <w:szCs w:val="20"/>
          <w:color w:val="auto"/>
        </w:rPr>
      </w:pPr>
      <w:r>
        <w:rPr>
          <w:rFonts w:ascii="Arial" w:cs="Arial" w:eastAsia="Arial" w:hAnsi="Arial"/>
          <w:sz w:val="17"/>
          <w:szCs w:val="17"/>
          <w:color w:val="auto"/>
        </w:rPr>
        <w:t xml:space="preserve">In connection with the KfW Investment, KfW, dievini and Mr. Hopp entered into a shareholders’ agreement on June 16, 2020, or the KfW dievini Shareholders’ Agreement, agreeing to certain transfer restrictions and rights of first refusal relating to their interests in our company, nomination rights as provided elsewhere in this prospectus, and a voting agreement relating to certain specified actions. In particular, dievini and Mr Hopp agree to vote a specified number of their shares as directed by KfW on certain specified actions, subject to certain exceptions. These specified actions include, </w:t>
      </w:r>
      <w:r>
        <w:rPr>
          <w:rFonts w:ascii="Arial" w:cs="Arial" w:eastAsia="Arial" w:hAnsi="Arial"/>
          <w:sz w:val="17"/>
          <w:szCs w:val="17"/>
          <w:i w:val="1"/>
          <w:iCs w:val="1"/>
          <w:color w:val="auto"/>
        </w:rPr>
        <w:t>inter alia</w:t>
      </w:r>
      <w:r>
        <w:rPr>
          <w:rFonts w:ascii="Arial" w:cs="Arial" w:eastAsia="Arial" w:hAnsi="Arial"/>
          <w:sz w:val="17"/>
          <w:szCs w:val="17"/>
          <w:color w:val="auto"/>
        </w:rPr>
        <w:t>:</w:t>
      </w:r>
    </w:p>
    <w:p>
      <w:pPr>
        <w:spacing w:after="0" w:line="4" w:lineRule="exact"/>
        <w:rPr>
          <w:sz w:val="20"/>
          <w:szCs w:val="20"/>
          <w:color w:val="auto"/>
        </w:rPr>
      </w:pPr>
    </w:p>
    <w:p>
      <w:pPr>
        <w:ind w:left="1260" w:right="519"/>
        <w:spacing w:after="0" w:line="236" w:lineRule="auto"/>
        <w:tabs>
          <w:tab w:leader="none" w:pos="1529"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transferring the tax domicile of CureVac N.V. and/or the approval of the transfer of the corporate or administrative seat of CureVacAG; (2) relocating or ceasing activities in specified areas to a state outside the European Union to the extent (in particular in the area of the development of vaccines) material for the protection of the health of the population of the European Union; (3) entering into material mergers and acquisitions; and (4) amendments to the articles of association of CureVac AG which would affect the foregoing matters. Under the terms of KfW dievini Shareholders’ Agreement, Mr. Hopp agreed to purchase an aggregate of €100 million of our common shares in a private placement that took place with our initial public offering, in August 2020, at a price per share equal to our initial public offering price concurrently. Mr. Hopp effected</w:t>
      </w:r>
    </w:p>
    <w:p>
      <w:pPr>
        <w:spacing w:after="0" w:line="38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62" w:name="page263"/>
    <w:bookmarkEnd w:id="26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this purchase through DH-LT-Investments GmbH, an affiliated entity. In connection with such concurrent</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private placement DH-LT-Investments GmbH has become a party to the KfW dievini Shareholders’</w:t>
      </w:r>
    </w:p>
    <w:p>
      <w:pPr>
        <w:ind w:left="1260"/>
        <w:spacing w:after="0" w:line="234" w:lineRule="auto"/>
        <w:rPr>
          <w:sz w:val="20"/>
          <w:szCs w:val="20"/>
          <w:color w:val="auto"/>
        </w:rPr>
      </w:pPr>
      <w:r>
        <w:rPr>
          <w:rFonts w:ascii="Arial" w:cs="Arial" w:eastAsia="Arial" w:hAnsi="Arial"/>
          <w:sz w:val="18"/>
          <w:szCs w:val="18"/>
          <w:color w:val="auto"/>
        </w:rPr>
        <w:t>Agreement. The KfW dievini Shareholders’ Agreement has an initial fixed term that expires on</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December 31, 2023, subject to a right to extend for one year for the benefit of KfW and dievini, and may be</w:t>
      </w:r>
    </w:p>
    <w:p>
      <w:pPr>
        <w:spacing w:after="0" w:line="7" w:lineRule="exact"/>
        <w:rPr>
          <w:sz w:val="20"/>
          <w:szCs w:val="20"/>
          <w:color w:val="auto"/>
        </w:rPr>
      </w:pPr>
    </w:p>
    <w:p>
      <w:pPr>
        <w:ind w:left="1260" w:right="679"/>
        <w:spacing w:after="0" w:line="238" w:lineRule="auto"/>
        <w:rPr>
          <w:sz w:val="20"/>
          <w:szCs w:val="20"/>
          <w:color w:val="auto"/>
        </w:rPr>
      </w:pPr>
      <w:r>
        <w:rPr>
          <w:rFonts w:ascii="Arial" w:cs="Arial" w:eastAsia="Arial" w:hAnsi="Arial"/>
          <w:sz w:val="18"/>
          <w:szCs w:val="18"/>
          <w:color w:val="auto"/>
        </w:rPr>
        <w:t>terminated after the initial fixed term, or the extended term, if applicable, by either party subject to six months’ notice prior the end of the applicable calendar year. In addition, the agreement shall automatically terminate if KfW sells all or a part of its interest in our company to a third party, subject to certain exceptions.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Investment and Shareholders’ Agreement</w:t>
      </w:r>
    </w:p>
    <w:p>
      <w:pPr>
        <w:spacing w:after="0" w:line="162" w:lineRule="exact"/>
        <w:rPr>
          <w:sz w:val="20"/>
          <w:szCs w:val="20"/>
          <w:color w:val="auto"/>
        </w:rPr>
      </w:pPr>
    </w:p>
    <w:p>
      <w:pPr>
        <w:ind w:left="1260" w:right="439" w:firstLine="648"/>
        <w:spacing w:after="0" w:line="241" w:lineRule="auto"/>
        <w:rPr>
          <w:sz w:val="20"/>
          <w:szCs w:val="20"/>
          <w:color w:val="auto"/>
        </w:rPr>
      </w:pPr>
      <w:r>
        <w:rPr>
          <w:rFonts w:ascii="Arial" w:cs="Arial" w:eastAsia="Arial" w:hAnsi="Arial"/>
          <w:sz w:val="18"/>
          <w:szCs w:val="18"/>
          <w:color w:val="auto"/>
        </w:rPr>
        <w:t>We and our pre-IPO shareholders, entered into an investment and shareholders’ agreement July 17, 2020, or the ISA. The ISA provides for certain particular shareholders’ rights and also envisages restrictions on the shareholders party thereto, including the obligation to enter into a registration rights agreement, restrictions on transfer, as well as certain tag-along rights, drag-along rights, demand rights, rights of first offer and rights of first refusal.</w:t>
      </w:r>
    </w:p>
    <w:p>
      <w:pPr>
        <w:spacing w:after="0" w:line="122" w:lineRule="exact"/>
        <w:rPr>
          <w:sz w:val="20"/>
          <w:szCs w:val="20"/>
          <w:color w:val="auto"/>
        </w:rPr>
      </w:pPr>
    </w:p>
    <w:p>
      <w:pPr>
        <w:ind w:left="1260" w:right="659" w:firstLine="648"/>
        <w:spacing w:after="0" w:line="248" w:lineRule="auto"/>
        <w:rPr>
          <w:sz w:val="20"/>
          <w:szCs w:val="20"/>
          <w:color w:val="auto"/>
        </w:rPr>
      </w:pPr>
      <w:r>
        <w:rPr>
          <w:rFonts w:ascii="Arial" w:cs="Arial" w:eastAsia="Arial" w:hAnsi="Arial"/>
          <w:sz w:val="18"/>
          <w:szCs w:val="18"/>
          <w:color w:val="auto"/>
        </w:rPr>
        <w:t>Upon the listing of our shares on Nasdaq, only certain limited provisions of the ISA survived the Corporate Reorganization. See “Corporate Reorganization.” Pursuant to such surviving provisions, we and/or our pre-IPO shareholders are subject to certain obligations, as listed below.</w:t>
      </w:r>
    </w:p>
    <w:p>
      <w:pPr>
        <w:spacing w:after="0" w:line="74" w:lineRule="exact"/>
        <w:rPr>
          <w:sz w:val="20"/>
          <w:szCs w:val="20"/>
          <w:color w:val="auto"/>
        </w:rPr>
      </w:pPr>
    </w:p>
    <w:p>
      <w:pPr>
        <w:ind w:left="2260" w:right="439" w:hanging="352"/>
        <w:spacing w:after="0" w:line="268" w:lineRule="auto"/>
        <w:tabs>
          <w:tab w:leader="none" w:pos="226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We agreed to prepare and provide KfW our interim financials not later than 30 days after the end of each quarter. In addition, not later than 30 days prior to the start of each fiscal year we agreed to prepare and provide KfW our operating plans that shall include certain projections regarding our financials, our business plan relating to the succeeding fiscal year including our development plans, financial and investment plans, budgeted and projected figures and other information and forecasts. Our supervisory board needs to approve the planning by a simple majority vote. In addition, subject to certain limitations, the member of our supervisory board designated (</w:t>
      </w:r>
      <w:r>
        <w:rPr>
          <w:rFonts w:ascii="Arial" w:cs="Arial" w:eastAsia="Arial" w:hAnsi="Arial"/>
          <w:sz w:val="17"/>
          <w:szCs w:val="17"/>
          <w:i w:val="1"/>
          <w:iCs w:val="1"/>
          <w:color w:val="auto"/>
        </w:rPr>
        <w:t>nominiert</w:t>
      </w:r>
      <w:r>
        <w:rPr>
          <w:rFonts w:ascii="Arial" w:cs="Arial" w:eastAsia="Arial" w:hAnsi="Arial"/>
          <w:sz w:val="17"/>
          <w:szCs w:val="17"/>
          <w:color w:val="auto"/>
        </w:rPr>
        <w:t>) by KfW shall, to the extent not prohibited by any mandatory law and/or Nasdaq rules, be entitled to pass on and discuss any information received in his or her capacity as a member of the supervisory board with KfW and certain governmental agencies and offices of the federal government of the federal republic of Germany, however, restricted to the extent required for KfW and any of the aforementioned institutions to comply with their respective obligations. We are obligated to also provide to KfW upon its request such information that is reasonably requested by KfW for the management and the controlling of KfW’s shareholding in us in order for KfW and certain other institutions as of the Federal Republic of Germany to comply with their respective obligations;</w:t>
      </w:r>
    </w:p>
    <w:p>
      <w:pPr>
        <w:spacing w:after="0" w:line="58" w:lineRule="exact"/>
        <w:rPr>
          <w:rFonts w:ascii="Arial" w:cs="Arial" w:eastAsia="Arial" w:hAnsi="Arial"/>
          <w:sz w:val="17"/>
          <w:szCs w:val="17"/>
          <w:color w:val="auto"/>
        </w:rPr>
      </w:pPr>
    </w:p>
    <w:p>
      <w:pPr>
        <w:ind w:left="2260" w:right="419" w:hanging="352"/>
        <w:spacing w:after="0" w:line="254" w:lineRule="auto"/>
        <w:tabs>
          <w:tab w:leader="none" w:pos="22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KfW has the right to designate (</w:t>
      </w:r>
      <w:r>
        <w:rPr>
          <w:rFonts w:ascii="Arial" w:cs="Arial" w:eastAsia="Arial" w:hAnsi="Arial"/>
          <w:sz w:val="18"/>
          <w:szCs w:val="18"/>
          <w:i w:val="1"/>
          <w:iCs w:val="1"/>
          <w:color w:val="auto"/>
        </w:rPr>
        <w:t>nominieren</w:t>
      </w:r>
      <w:r>
        <w:rPr>
          <w:rFonts w:ascii="Arial" w:cs="Arial" w:eastAsia="Arial" w:hAnsi="Arial"/>
          <w:sz w:val="18"/>
          <w:szCs w:val="18"/>
          <w:color w:val="auto"/>
        </w:rPr>
        <w:t>) one member of our supervisory board for appointment by the general meeting (and to prompt the recall of such member of the supervisory board at its sole discretion) as long as KfW’s shareholding in our share capital is at least 10% in accordance with the arrangements included in our articles of association. Furthermore, our pre-IPO shareholders shall, to the extent legally permissible, ensure that any established advisory board or any other comparable panel of our subsidiaries or affiliate shall also provide KfW the right, upon its discretion, to include a member to be designated (</w:t>
      </w:r>
      <w:r>
        <w:rPr>
          <w:rFonts w:ascii="Arial" w:cs="Arial" w:eastAsia="Arial" w:hAnsi="Arial"/>
          <w:sz w:val="18"/>
          <w:szCs w:val="18"/>
          <w:i w:val="1"/>
          <w:iCs w:val="1"/>
          <w:color w:val="auto"/>
        </w:rPr>
        <w:t>nominieren</w:t>
      </w:r>
      <w:r>
        <w:rPr>
          <w:rFonts w:ascii="Arial" w:cs="Arial" w:eastAsia="Arial" w:hAnsi="Arial"/>
          <w:sz w:val="18"/>
          <w:szCs w:val="18"/>
          <w:color w:val="auto"/>
        </w:rPr>
        <w:t>);</w:t>
      </w:r>
    </w:p>
    <w:p>
      <w:pPr>
        <w:spacing w:after="0" w:line="83" w:lineRule="exact"/>
        <w:rPr>
          <w:rFonts w:ascii="Arial" w:cs="Arial" w:eastAsia="Arial" w:hAnsi="Arial"/>
          <w:sz w:val="18"/>
          <w:szCs w:val="18"/>
          <w:color w:val="auto"/>
        </w:rPr>
      </w:pPr>
    </w:p>
    <w:p>
      <w:pPr>
        <w:ind w:left="2260" w:right="579" w:hanging="352"/>
        <w:spacing w:after="0" w:line="277" w:lineRule="auto"/>
        <w:tabs>
          <w:tab w:leader="none" w:pos="22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We need to reasonably cooperate with each of our pre-IPO shareholders to provide them with information that is mandatory for their tax obligations;</w:t>
      </w:r>
    </w:p>
    <w:p>
      <w:pPr>
        <w:spacing w:after="0" w:line="62" w:lineRule="exact"/>
        <w:rPr>
          <w:rFonts w:ascii="Arial" w:cs="Arial" w:eastAsia="Arial" w:hAnsi="Arial"/>
          <w:sz w:val="18"/>
          <w:szCs w:val="18"/>
          <w:color w:val="auto"/>
        </w:rPr>
      </w:pPr>
    </w:p>
    <w:p>
      <w:pPr>
        <w:ind w:left="2260" w:right="499" w:hanging="352"/>
        <w:spacing w:after="0" w:line="254" w:lineRule="auto"/>
        <w:tabs>
          <w:tab w:leader="none" w:pos="22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If we fail to withhold taxes on certain amounts paid to a pre-IPO shareholder, its affiliates and certain related persons of such pre-IPO shareholder (excluding a shareholder that was not our shareholder prior to the 2020 Private Investment), and such certain amounts are reimbursable or creditable to such pre-IPO shareholder, its affiliates and certain related persons of such pre-IPO shareholder, then such pre-IPO shareholder needs to use his or her best efforts in order to obtain a credit or reimbursement from the applicable tax authority and such credit or reimbursement shall be paid to us;</w:t>
      </w:r>
    </w:p>
    <w:p>
      <w:pPr>
        <w:spacing w:after="0" w:line="86" w:lineRule="exact"/>
        <w:rPr>
          <w:rFonts w:ascii="Arial" w:cs="Arial" w:eastAsia="Arial" w:hAnsi="Arial"/>
          <w:sz w:val="18"/>
          <w:szCs w:val="18"/>
          <w:color w:val="auto"/>
        </w:rPr>
      </w:pPr>
    </w:p>
    <w:p>
      <w:pPr>
        <w:ind w:left="2260" w:hanging="352"/>
        <w:spacing w:after="0"/>
        <w:tabs>
          <w:tab w:leader="none" w:pos="22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We are obligated to use the funds raised in the 2020 Private Investment solely to fund the</w:t>
      </w:r>
    </w:p>
    <w:p>
      <w:pPr>
        <w:spacing w:after="0" w:line="23" w:lineRule="exact"/>
        <w:rPr>
          <w:rFonts w:ascii="Arial" w:cs="Arial" w:eastAsia="Arial" w:hAnsi="Arial"/>
          <w:sz w:val="18"/>
          <w:szCs w:val="18"/>
          <w:color w:val="auto"/>
        </w:rPr>
      </w:pPr>
    </w:p>
    <w:p>
      <w:pPr>
        <w:ind w:left="2260" w:right="1179"/>
        <w:spacing w:after="0" w:line="260" w:lineRule="auto"/>
        <w:rPr>
          <w:rFonts w:ascii="Arial" w:cs="Arial" w:eastAsia="Arial" w:hAnsi="Arial"/>
          <w:sz w:val="18"/>
          <w:szCs w:val="18"/>
          <w:color w:val="auto"/>
        </w:rPr>
      </w:pPr>
      <w:r>
        <w:rPr>
          <w:rFonts w:ascii="Arial" w:cs="Arial" w:eastAsia="Arial" w:hAnsi="Arial"/>
          <w:sz w:val="18"/>
          <w:szCs w:val="18"/>
          <w:color w:val="auto"/>
        </w:rPr>
        <w:t>(i) development of our proprietary pipeline, including earlier stage assets currently in preclinical</w:t>
      </w:r>
    </w:p>
    <w:p>
      <w:pPr>
        <w:sectPr>
          <w:pgSz w:w="11900" w:h="16838" w:orient="portrait"/>
          <w:cols w:equalWidth="0" w:num="1">
            <w:col w:w="9879"/>
          </w:cols>
          <w:pgMar w:left="580" w:top="132" w:right="1440" w:bottom="1440" w:gutter="0" w:footer="0" w:header="0"/>
        </w:sectPr>
      </w:pPr>
    </w:p>
    <w:p>
      <w:pPr>
        <w:spacing w:after="0" w:line="36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63" w:name="page264"/>
    <w:bookmarkEnd w:id="26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60" w:right="519"/>
        <w:spacing w:after="0" w:line="243" w:lineRule="auto"/>
        <w:rPr>
          <w:sz w:val="20"/>
          <w:szCs w:val="20"/>
          <w:color w:val="auto"/>
        </w:rPr>
      </w:pPr>
      <w:r>
        <w:rPr>
          <w:rFonts w:ascii="Arial" w:cs="Arial" w:eastAsia="Arial" w:hAnsi="Arial"/>
          <w:sz w:val="18"/>
          <w:szCs w:val="18"/>
          <w:color w:val="auto"/>
        </w:rPr>
        <w:t>development, (ii) research and development activities to expand our mRNA platform technology, in particular with respect to our vaccine candidate against SARS-CoV-2 and other infectious diseases and (iii) manufacturing capacities for mRNA-based drug product candidates and future approved products;</w:t>
      </w:r>
    </w:p>
    <w:p>
      <w:pPr>
        <w:spacing w:after="0" w:line="80" w:lineRule="exact"/>
        <w:rPr>
          <w:sz w:val="20"/>
          <w:szCs w:val="20"/>
          <w:color w:val="auto"/>
        </w:rPr>
      </w:pPr>
    </w:p>
    <w:p>
      <w:pPr>
        <w:ind w:left="2260" w:right="499" w:hanging="352"/>
        <w:spacing w:after="0" w:line="266" w:lineRule="auto"/>
        <w:tabs>
          <w:tab w:leader="none" w:pos="226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We entered into a Global Access Agreement with the Bill &amp; Melinda Gates Foundation in February 2015 pursuant to which we are required to take certain actions to support the Bill &amp; Melinda Gates Foundation’s mission. We may be required to redeem all, or to facilitate the purchase by a third party of all, the shares held in us by the Bill &amp; Melinda Gates Foundation as per the date of the ISA on certain terms that may not be favorable to us, if we receive from the Bill &amp; Melinda Gates Foundation a notification that we have (a) committed a material breach of certain commitments under the Global Access Agreement, (b) used the funds received from the Bill &amp; Melinda Gates Foundation for purposes other than those described in the Global Access Agreement, including not for the (i) finance of our facility to be used inter alia to manufacture vaccines and drugs in support of the Bill &amp; Melinda Gates Foundation’s charitable purpose, (ii) continued development of technology for prophylactic and therapeutic mRNA vaccines and drugs against infectious diseases and vaccine adjuvants, comprised of long, non-coding RNA molecules and formulation/delivery technology necessary to develop the mRNA vaccines and drugs, or the Platform Technology, (iii) the use of the Platform Technology to advance vaccine and drug candidates in support of the Bill &amp; Melinda Gates Foundation charitable purpose and/or (c) failed to comply with certain U.S. regulatory and tax obligations, or together the BMGF Default, and the BMGF Default continues to exist following a cure period. In addition, if we are required but fail to purchase all of the shares held in us by the Bill &amp; Melinda Gates Foundation as per the date of the ISA, we shall not be allowed to pay dividends, redeem the shares of any other shareholder (other than repurchases at cost of shares from our employees, officers, directors, consultants or other persons performing services for us pursuant to agreements under which we have the option to repurchase our shares upon the occurrence of the termination of employment or service) or otherwise make any other distribution to any of our shareholders in connection with their shares. In addition, if within 12 months after such redemption or sale, we close an underwritten public financing or a change of control occurs and the valuation used for such underwritten public financing or a change of control, as the case may be, is in excess of 200% of the valuation used for the redemption or the sale of the shares held by the Bill &amp; Melinda Gates Foundation, we will need to pay the Bill &amp; Melinda Gates Foundation compensation equal to the excess of what it would have received in such transaction if it still held its shares at the time of such underwritten public financing or a change of control over what it received in the sale or redemption of its shares had the BMGF Default not occurred. For further information regarding the Global Access Agreement see “Bill &amp; Melinda Gates Foundation Partnership;”</w:t>
      </w:r>
    </w:p>
    <w:p>
      <w:pPr>
        <w:spacing w:after="0" w:line="302" w:lineRule="exact"/>
        <w:rPr>
          <w:rFonts w:ascii="Arial" w:cs="Arial" w:eastAsia="Arial" w:hAnsi="Arial"/>
          <w:sz w:val="17"/>
          <w:szCs w:val="17"/>
          <w:color w:val="auto"/>
        </w:rPr>
      </w:pPr>
    </w:p>
    <w:p>
      <w:pPr>
        <w:ind w:left="2260" w:right="439" w:hanging="352"/>
        <w:spacing w:after="0" w:line="255" w:lineRule="auto"/>
        <w:tabs>
          <w:tab w:leader="none" w:pos="22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Upon the consummation of our initial public offering, we agreed to file, and filed, an application for continuation of tax book value (</w:t>
      </w:r>
      <w:r>
        <w:rPr>
          <w:rFonts w:ascii="Arial" w:cs="Arial" w:eastAsia="Arial" w:hAnsi="Arial"/>
          <w:sz w:val="18"/>
          <w:szCs w:val="18"/>
          <w:i w:val="1"/>
          <w:iCs w:val="1"/>
          <w:color w:val="auto"/>
        </w:rPr>
        <w:t>Antrag auf Buchwertfortführung</w:t>
      </w:r>
      <w:r>
        <w:rPr>
          <w:rFonts w:ascii="Arial" w:cs="Arial" w:eastAsia="Arial" w:hAnsi="Arial"/>
          <w:sz w:val="18"/>
          <w:szCs w:val="18"/>
          <w:color w:val="auto"/>
        </w:rPr>
        <w:t xml:space="preserve"> acc. to Sec. 21 par. 1 second and third sentences of the German Tax Conversion Act — </w:t>
      </w:r>
      <w:r>
        <w:rPr>
          <w:rFonts w:ascii="Arial" w:cs="Arial" w:eastAsia="Arial" w:hAnsi="Arial"/>
          <w:sz w:val="18"/>
          <w:szCs w:val="18"/>
          <w:i w:val="1"/>
          <w:iCs w:val="1"/>
          <w:color w:val="auto"/>
        </w:rPr>
        <w:t>UmwStG</w:t>
      </w:r>
      <w:r>
        <w:rPr>
          <w:rFonts w:ascii="Arial" w:cs="Arial" w:eastAsia="Arial" w:hAnsi="Arial"/>
          <w:sz w:val="18"/>
          <w:szCs w:val="18"/>
          <w:color w:val="auto"/>
        </w:rPr>
        <w:t>) regarding the shares of CureVac AG that has been transferred as part of our intial public offering, as set out above, with the respectively competent tax authorities within four (4) months after the date of the ISA at the latest; and</w:t>
      </w:r>
    </w:p>
    <w:p>
      <w:pPr>
        <w:spacing w:after="0" w:line="84" w:lineRule="exact"/>
        <w:rPr>
          <w:rFonts w:ascii="Arial" w:cs="Arial" w:eastAsia="Arial" w:hAnsi="Arial"/>
          <w:sz w:val="18"/>
          <w:szCs w:val="18"/>
          <w:color w:val="auto"/>
        </w:rPr>
      </w:pPr>
    </w:p>
    <w:p>
      <w:pPr>
        <w:ind w:left="2260" w:right="419" w:hanging="352"/>
        <w:spacing w:after="0" w:line="269" w:lineRule="auto"/>
        <w:tabs>
          <w:tab w:leader="none" w:pos="226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We agreed to provide pre-IPO shareholders holding at least 10% of our share capital certain information required to facilitate the disposition of our shares held by any such pre-IPO shareholder, or in some circumstances to provide information that we intend to file with the SEC and in such case we may be required to take into account the input of such pre-IPO shareholder holding prior to the filing with the SEC. In addition, we agreed that upon a written request of such a pre-IPO shareholder, we will add such pre-IPO shareholder holding to our liability insurance as a named insured in connection with the consummation of this offering, but any related premium shall be borne by such pre-IPO shareholder holding at least 10% of our share capital; and dievini and certain other limited pre-IPO shareholders agreed to bear the economics with respect to the Prior VSOP for a total of up to 60,175 participation rights corresponding with 10% of our share capital as of February 1, 2015 in the amount of altogether</w:t>
      </w:r>
    </w:p>
    <w:p>
      <w:pPr>
        <w:sectPr>
          <w:pgSz w:w="11900" w:h="16838" w:orient="portrait"/>
          <w:cols w:equalWidth="0" w:num="1">
            <w:col w:w="9879"/>
          </w:cols>
          <w:pgMar w:left="580" w:top="132" w:right="1440" w:bottom="1440" w:gutter="0" w:footer="0" w:header="0"/>
        </w:sectPr>
      </w:pPr>
    </w:p>
    <w:p>
      <w:pPr>
        <w:spacing w:after="0" w:line="37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64" w:name="page265"/>
    <w:bookmarkEnd w:id="26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60" w:right="459"/>
        <w:spacing w:after="0" w:line="263" w:lineRule="auto"/>
        <w:rPr>
          <w:sz w:val="20"/>
          <w:szCs w:val="20"/>
          <w:color w:val="auto"/>
        </w:rPr>
      </w:pPr>
      <w:r>
        <w:rPr>
          <w:rFonts w:ascii="Arial" w:cs="Arial" w:eastAsia="Arial" w:hAnsi="Arial"/>
          <w:sz w:val="18"/>
          <w:szCs w:val="18"/>
          <w:color w:val="auto"/>
        </w:rPr>
        <w:t>EUR 601,750. In case of an exercise event under the Prior VSOP, dievini and such other limited pre-IPO shareholders agreed to transfer common shares up to a pre-determined amount to allow us to fulfil any claims of the beneficiaries under the Prior VSOP.</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 Agreement</w:t>
      </w:r>
    </w:p>
    <w:p>
      <w:pPr>
        <w:spacing w:after="0" w:line="162" w:lineRule="exact"/>
        <w:rPr>
          <w:sz w:val="20"/>
          <w:szCs w:val="20"/>
          <w:color w:val="auto"/>
        </w:rPr>
      </w:pPr>
    </w:p>
    <w:p>
      <w:pPr>
        <w:ind w:left="1260" w:right="499" w:firstLine="648"/>
        <w:spacing w:after="0" w:line="263" w:lineRule="auto"/>
        <w:rPr>
          <w:sz w:val="20"/>
          <w:szCs w:val="20"/>
          <w:color w:val="auto"/>
        </w:rPr>
      </w:pPr>
      <w:r>
        <w:rPr>
          <w:rFonts w:ascii="Arial" w:cs="Arial" w:eastAsia="Arial" w:hAnsi="Arial"/>
          <w:sz w:val="18"/>
          <w:szCs w:val="18"/>
          <w:color w:val="auto"/>
        </w:rPr>
        <w:t>Certain of our shareholders are eligible to unlimited piggyback and certain demand registration rights subject to customary limitations and restrictions. See “Shares Eligible for Future Sale — Registration Rights.”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Relationship Agreement</w:t>
      </w:r>
    </w:p>
    <w:p>
      <w:pPr>
        <w:spacing w:after="0" w:line="162" w:lineRule="exact"/>
        <w:rPr>
          <w:sz w:val="20"/>
          <w:szCs w:val="20"/>
          <w:color w:val="auto"/>
        </w:rPr>
      </w:pPr>
    </w:p>
    <w:p>
      <w:pPr>
        <w:ind w:left="1260" w:right="419" w:firstLine="648"/>
        <w:spacing w:after="0" w:line="252" w:lineRule="auto"/>
        <w:rPr>
          <w:sz w:val="20"/>
          <w:szCs w:val="20"/>
          <w:color w:val="auto"/>
        </w:rPr>
      </w:pPr>
      <w:r>
        <w:rPr>
          <w:rFonts w:ascii="Arial" w:cs="Arial" w:eastAsia="Arial" w:hAnsi="Arial"/>
          <w:sz w:val="18"/>
          <w:szCs w:val="18"/>
          <w:color w:val="auto"/>
        </w:rPr>
        <w:t>In connection with the KfW Investment, KfW, dievini and CureVac B.V. entered into a relationship agreement on July 17, 2020, or the KfW dievini Relationship Agreement. Pursuant the KfW dievini Relationship Agreement the parties provide for our agreed form of the articles of association, the supervisory board rules and the management board rules, the forms of which are all filed as an exhibits to the registration statement of which this prospectus forms a part. In addition, the KfW dievini Relationship Agreement establishes that if at any time during the effectiveness of the KfW dievini Shareholders’ Agreement any of our shareholders other than KfW or dievini is granted a nomination right to our supervisory board or the supervisory board of any of our subsidiaries, then all of the parties to the KfW dievini Relationship Agreement shall use best efforts to exercise their shareholder rights to ensure that KfW and dievini shall each be given a nomination right as well. We also agreed not to procure, not to propose or implement during the terms of the KfW dievini Shareholders’ Agreement and the ISA, any amendment to the corporate documents of CureVac AG or CurVac B.V. or Curevac N.V., which would violate or not observe the Relationship Agreement, the ISA or other agreements concluded with us and KfW in connection with KfW’s investment.</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Indemnification Agreements</w:t>
      </w:r>
    </w:p>
    <w:p>
      <w:pPr>
        <w:spacing w:after="0" w:line="148" w:lineRule="exact"/>
        <w:rPr>
          <w:sz w:val="20"/>
          <w:szCs w:val="20"/>
          <w:color w:val="auto"/>
        </w:rPr>
      </w:pPr>
    </w:p>
    <w:p>
      <w:pPr>
        <w:jc w:val="both"/>
        <w:ind w:left="1260" w:right="599" w:firstLine="648"/>
        <w:spacing w:after="0" w:line="279" w:lineRule="auto"/>
        <w:rPr>
          <w:sz w:val="20"/>
          <w:szCs w:val="20"/>
          <w:color w:val="auto"/>
        </w:rPr>
      </w:pPr>
      <w:r>
        <w:rPr>
          <w:rFonts w:ascii="Arial" w:cs="Arial" w:eastAsia="Arial" w:hAnsi="Arial"/>
          <w:sz w:val="17"/>
          <w:szCs w:val="17"/>
          <w:color w:val="auto"/>
        </w:rPr>
        <w:t>Our articles of association require us to indemnify our current and former managing directors and supervisory directors to the fullest extent permitted by law, subject to certain exceptions. We entered into indemnification agreements with all our managing directors and supervisory directors, and may enter into additional indemnification agreements with future managing directors and supervisory directors.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Employment Agreements</w:t>
      </w:r>
    </w:p>
    <w:p>
      <w:pPr>
        <w:spacing w:after="0" w:line="162" w:lineRule="exact"/>
        <w:rPr>
          <w:sz w:val="20"/>
          <w:szCs w:val="20"/>
          <w:color w:val="auto"/>
        </w:rPr>
      </w:pPr>
    </w:p>
    <w:p>
      <w:pPr>
        <w:ind w:left="1260" w:right="619" w:firstLine="648"/>
        <w:spacing w:after="0" w:line="263" w:lineRule="auto"/>
        <w:rPr>
          <w:sz w:val="20"/>
          <w:szCs w:val="20"/>
          <w:color w:val="auto"/>
        </w:rPr>
      </w:pPr>
      <w:r>
        <w:rPr>
          <w:rFonts w:ascii="Arial" w:cs="Arial" w:eastAsia="Arial" w:hAnsi="Arial"/>
          <w:sz w:val="18"/>
          <w:szCs w:val="18"/>
          <w:color w:val="auto"/>
        </w:rPr>
        <w:t>Certain of our managing directors and supervisory directors have entered into service agreements with us as discussed in more detail within the “Management Board Service Contracts” and “Supervisory Board Service Contracts” sections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65" w:name="page266"/>
    <w:bookmarkEnd w:id="26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162" w:lineRule="exact"/>
        <w:rPr>
          <w:sz w:val="20"/>
          <w:szCs w:val="20"/>
          <w:color w:val="auto"/>
        </w:rPr>
      </w:pPr>
    </w:p>
    <w:p>
      <w:pPr>
        <w:ind w:left="1260" w:right="459" w:firstLine="648"/>
        <w:spacing w:after="0" w:line="252" w:lineRule="auto"/>
        <w:rPr>
          <w:sz w:val="20"/>
          <w:szCs w:val="20"/>
          <w:color w:val="auto"/>
        </w:rPr>
      </w:pPr>
      <w:r>
        <w:rPr>
          <w:rFonts w:ascii="Arial" w:cs="Arial" w:eastAsia="Arial" w:hAnsi="Arial"/>
          <w:sz w:val="17"/>
          <w:szCs w:val="17"/>
          <w:color w:val="auto"/>
        </w:rPr>
        <w:t>We were incorporated pursuant to the laws of the Netherlands as CureVac B.V. on April 7, 2020 to become a holding company for CureVac AG prior to our initial public offering. Pursuant to the terms of a Corporate Reorganization, all of the outstanding shares in CureVac AG were contributed and transferred to CureVac B.V. in a capital increase in exchange for common shares of CureVac B.V. and, as a result, CureVac AG became a wholly owned subsidiary of CureVac B.V. and then current shareholders of CureVac AG became the shareholders of CureVac B.V. Immediately following such exchange, and prior to the listing of our common shares on Nasdaq, we converted into a public company (</w:t>
      </w:r>
      <w:r>
        <w:rPr>
          <w:rFonts w:ascii="Arial" w:cs="Arial" w:eastAsia="Arial" w:hAnsi="Arial"/>
          <w:sz w:val="17"/>
          <w:szCs w:val="17"/>
          <w:i w:val="1"/>
          <w:iCs w:val="1"/>
          <w:color w:val="auto"/>
        </w:rPr>
        <w:t>naamloze vennootschap</w:t>
      </w:r>
      <w:r>
        <w:rPr>
          <w:rFonts w:ascii="Arial" w:cs="Arial" w:eastAsia="Arial" w:hAnsi="Arial"/>
          <w:sz w:val="17"/>
          <w:szCs w:val="17"/>
          <w:color w:val="auto"/>
        </w:rPr>
        <w:t>) under Dutch law pursuant to a Dutch notarial deed of amendment and conversion, following which our legal name became CureVac N.V. As part of our Corporate Reorganization, outstanding shares of all series in CureVac AG were exchanged for common shares in CureVac N.V. See “Corporate Reorganization.” Our affairs are governed by the provisions of our articles of association and internal rules, regulations and policies, as amended and restated from time to time, and by the provisions of applicable Dutch law.</w:t>
      </w:r>
    </w:p>
    <w:p>
      <w:pPr>
        <w:spacing w:after="0" w:line="116" w:lineRule="exact"/>
        <w:rPr>
          <w:sz w:val="20"/>
          <w:szCs w:val="20"/>
          <w:color w:val="auto"/>
        </w:rPr>
      </w:pPr>
    </w:p>
    <w:p>
      <w:pPr>
        <w:ind w:left="1260" w:right="439" w:firstLine="648"/>
        <w:spacing w:after="0" w:line="262" w:lineRule="auto"/>
        <w:rPr>
          <w:sz w:val="20"/>
          <w:szCs w:val="20"/>
          <w:color w:val="auto"/>
        </w:rPr>
      </w:pPr>
      <w:r>
        <w:rPr>
          <w:rFonts w:ascii="Arial" w:cs="Arial" w:eastAsia="Arial" w:hAnsi="Arial"/>
          <w:sz w:val="17"/>
          <w:szCs w:val="17"/>
          <w:color w:val="auto"/>
        </w:rPr>
        <w:t>As provided in our articles of association, subject to Dutch law, we have full capacity to carry on or undertake any business or activity as a holding company, do any act or enter into any transaction consistent with the objects specified in our articles of association, and, for such purposes, full rights, powers and privileges. Our registered office is Friedrich-Miescher-Strasse 15, 72076, Tübingen, Germany.</w:t>
      </w:r>
    </w:p>
    <w:p>
      <w:pPr>
        <w:spacing w:after="0" w:line="91" w:lineRule="exact"/>
        <w:rPr>
          <w:sz w:val="20"/>
          <w:szCs w:val="20"/>
          <w:color w:val="auto"/>
        </w:rPr>
      </w:pPr>
    </w:p>
    <w:p>
      <w:pPr>
        <w:ind w:left="1260" w:right="419" w:firstLine="648"/>
        <w:spacing w:after="0"/>
        <w:rPr>
          <w:sz w:val="20"/>
          <w:szCs w:val="20"/>
          <w:color w:val="auto"/>
        </w:rPr>
      </w:pPr>
      <w:r>
        <w:rPr>
          <w:rFonts w:ascii="Arial" w:cs="Arial" w:eastAsia="Arial" w:hAnsi="Arial"/>
          <w:sz w:val="18"/>
          <w:szCs w:val="18"/>
          <w:color w:val="auto"/>
        </w:rPr>
        <w:t>As of the execution of our deed of conversion and amendment as part of the Corporate Reorganization (see “Corporate Reorganization”), our authorized share capital amounts to €92,700,000, divided into 386,250,000 common shares and 386,250,000 preferred shares, each with a nominal value of €0.12. As of December 31, 2020, our issued share capital amounted to €21,665,271. Upon the closing of this offering, our issued share capital will amount to €22,255,271. Our common shares are listed on Nasdaq under the symbol “CVAC.”</w:t>
      </w:r>
    </w:p>
    <w:p>
      <w:pPr>
        <w:spacing w:after="0" w:line="122" w:lineRule="exact"/>
        <w:rPr>
          <w:sz w:val="20"/>
          <w:szCs w:val="20"/>
          <w:color w:val="auto"/>
        </w:rPr>
      </w:pPr>
    </w:p>
    <w:p>
      <w:pPr>
        <w:jc w:val="both"/>
        <w:ind w:left="1260" w:right="699" w:firstLine="648"/>
        <w:spacing w:after="0"/>
        <w:rPr>
          <w:sz w:val="20"/>
          <w:szCs w:val="20"/>
          <w:color w:val="auto"/>
        </w:rPr>
      </w:pPr>
      <w:r>
        <w:rPr>
          <w:rFonts w:ascii="Arial" w:cs="Arial" w:eastAsia="Arial" w:hAnsi="Arial"/>
          <w:sz w:val="18"/>
          <w:szCs w:val="18"/>
          <w:color w:val="auto"/>
        </w:rPr>
        <w:t>The settlement of the common shares being issued in this offering will take place on the closing date of this offering through The Depository Trust Company, or DTC, in accordance with its customary settlement procedures for equity securities. Each person owning common shares held through DTC must rely on the procedures thereof and on institutions that have accounts therewith to exercise any rights of a holder of the common shares. Persons wishing to obtain certificates for their common shares must make arrangements with DTC.</w:t>
      </w:r>
    </w:p>
    <w:p>
      <w:pPr>
        <w:spacing w:after="0" w:line="122" w:lineRule="exact"/>
        <w:rPr>
          <w:sz w:val="20"/>
          <w:szCs w:val="20"/>
          <w:color w:val="auto"/>
        </w:rPr>
      </w:pPr>
    </w:p>
    <w:p>
      <w:pPr>
        <w:ind w:left="1260" w:right="439" w:firstLine="648"/>
        <w:spacing w:after="0" w:line="248" w:lineRule="auto"/>
        <w:rPr>
          <w:sz w:val="20"/>
          <w:szCs w:val="20"/>
          <w:color w:val="auto"/>
        </w:rPr>
      </w:pPr>
      <w:r>
        <w:rPr>
          <w:rFonts w:ascii="Arial" w:cs="Arial" w:eastAsia="Arial" w:hAnsi="Arial"/>
          <w:sz w:val="18"/>
          <w:szCs w:val="18"/>
          <w:color w:val="auto"/>
        </w:rPr>
        <w:t>The following is a summary of relevant information concerning our share capital and our articles of association. This summary does not constitute legal advice regarding those matters and should not be regarded as such.</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Shares</w:t>
      </w:r>
    </w:p>
    <w:p>
      <w:pPr>
        <w:spacing w:after="0" w:line="14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following summarizes the main rights of holders of our common shares:</w:t>
      </w:r>
    </w:p>
    <w:p>
      <w:pPr>
        <w:spacing w:after="0" w:line="117" w:lineRule="exact"/>
        <w:rPr>
          <w:sz w:val="20"/>
          <w:szCs w:val="20"/>
          <w:color w:val="auto"/>
        </w:rPr>
      </w:pPr>
    </w:p>
    <w:p>
      <w:pPr>
        <w:ind w:left="2260" w:right="459" w:hanging="352"/>
        <w:spacing w:after="0" w:line="263" w:lineRule="auto"/>
        <w:tabs>
          <w:tab w:leader="none" w:pos="22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each holder of common shares is entitled to one vote per share on all matters to be voted on by shareholders generally, including the appointment of managing directors and supervisory directors;</w:t>
      </w:r>
    </w:p>
    <w:p>
      <w:pPr>
        <w:spacing w:after="0" w:line="75" w:lineRule="exact"/>
        <w:rPr>
          <w:rFonts w:ascii="Arial" w:cs="Arial" w:eastAsia="Arial" w:hAnsi="Arial"/>
          <w:sz w:val="18"/>
          <w:szCs w:val="18"/>
          <w:color w:val="auto"/>
        </w:rPr>
      </w:pPr>
    </w:p>
    <w:p>
      <w:pPr>
        <w:ind w:left="2260" w:hanging="352"/>
        <w:spacing w:after="0"/>
        <w:tabs>
          <w:tab w:leader="none" w:pos="22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there are no cumulative voting rights;</w:t>
      </w:r>
    </w:p>
    <w:p>
      <w:pPr>
        <w:spacing w:after="0" w:line="103" w:lineRule="exact"/>
        <w:rPr>
          <w:rFonts w:ascii="Arial" w:cs="Arial" w:eastAsia="Arial" w:hAnsi="Arial"/>
          <w:sz w:val="18"/>
          <w:szCs w:val="18"/>
          <w:color w:val="auto"/>
        </w:rPr>
      </w:pPr>
    </w:p>
    <w:p>
      <w:pPr>
        <w:ind w:left="2260" w:right="639" w:hanging="352"/>
        <w:spacing w:after="0" w:line="286" w:lineRule="auto"/>
        <w:tabs>
          <w:tab w:leader="none" w:pos="226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holders of our common shares are entitled to dividends and other distributions as may be declared from time to time by us out of funds legally available for that purpose, if any, following payment of the preferred dividend if any preferred shares are outstanding;</w:t>
      </w:r>
    </w:p>
    <w:p>
      <w:pPr>
        <w:spacing w:after="0" w:line="57" w:lineRule="exact"/>
        <w:rPr>
          <w:rFonts w:ascii="Arial" w:cs="Arial" w:eastAsia="Arial" w:hAnsi="Arial"/>
          <w:sz w:val="17"/>
          <w:szCs w:val="17"/>
          <w:color w:val="auto"/>
        </w:rPr>
      </w:pPr>
    </w:p>
    <w:p>
      <w:pPr>
        <w:ind w:left="2260" w:right="479" w:hanging="352"/>
        <w:spacing w:after="0" w:line="259" w:lineRule="auto"/>
        <w:tabs>
          <w:tab w:leader="none" w:pos="22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upon our liquidation, dissolution or winding up, the holders of common shares will be entitled to share ratably in the distribution of all of our assets remaining available for distribution after satisfaction of all our liabilities, following payment of the preferred dividend if any preferred shares are outstanding; and</w:t>
      </w:r>
    </w:p>
    <w:p>
      <w:pPr>
        <w:spacing w:after="0" w:line="78" w:lineRule="exact"/>
        <w:rPr>
          <w:rFonts w:ascii="Arial" w:cs="Arial" w:eastAsia="Arial" w:hAnsi="Arial"/>
          <w:sz w:val="18"/>
          <w:szCs w:val="18"/>
          <w:color w:val="auto"/>
        </w:rPr>
      </w:pPr>
    </w:p>
    <w:p>
      <w:pPr>
        <w:ind w:left="2260" w:right="459" w:hanging="352"/>
        <w:spacing w:after="0" w:line="259" w:lineRule="auto"/>
        <w:tabs>
          <w:tab w:leader="none" w:pos="22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holders of common shares have preemptive rights in case of share issuances or the grant or rights to subscribe for shares, except if such rights are limited or excluded by the corporate body authorized to do so and except in such cases as provided by Dutch law and our articles of association.</w:t>
      </w: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66" w:name="page267"/>
    <w:bookmarkEnd w:id="26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Shareholders’ Register</w:t>
      </w:r>
    </w:p>
    <w:p>
      <w:pPr>
        <w:spacing w:after="0" w:line="162" w:lineRule="exact"/>
        <w:rPr>
          <w:sz w:val="20"/>
          <w:szCs w:val="20"/>
          <w:color w:val="auto"/>
        </w:rPr>
      </w:pPr>
    </w:p>
    <w:p>
      <w:pPr>
        <w:ind w:left="1260" w:right="619" w:firstLine="648"/>
        <w:spacing w:after="0" w:line="238" w:lineRule="auto"/>
        <w:rPr>
          <w:sz w:val="20"/>
          <w:szCs w:val="20"/>
          <w:color w:val="auto"/>
        </w:rPr>
      </w:pPr>
      <w:r>
        <w:rPr>
          <w:rFonts w:ascii="Arial" w:cs="Arial" w:eastAsia="Arial" w:hAnsi="Arial"/>
          <w:sz w:val="18"/>
          <w:szCs w:val="18"/>
          <w:color w:val="auto"/>
        </w:rPr>
        <w:t>Pursuant to Dutch law and our articles of association, we must keep our shareholders’ register accurate and current. The management board keeps our shareholders’ register and records names and addresses of all holders of shares, showing the date on which the shares were acquired, the date of the acknowledgement by or notification of us as well as the amount paid on each share. The register also includes the names and addresses of those with a right of use and enjoyment (</w:t>
      </w:r>
      <w:r>
        <w:rPr>
          <w:rFonts w:ascii="Arial" w:cs="Arial" w:eastAsia="Arial" w:hAnsi="Arial"/>
          <w:sz w:val="18"/>
          <w:szCs w:val="18"/>
          <w:i w:val="1"/>
          <w:iCs w:val="1"/>
          <w:color w:val="auto"/>
        </w:rPr>
        <w:t>vruchtgebruik</w:t>
      </w:r>
      <w:r>
        <w:rPr>
          <w:rFonts w:ascii="Arial" w:cs="Arial" w:eastAsia="Arial" w:hAnsi="Arial"/>
          <w:sz w:val="18"/>
          <w:szCs w:val="18"/>
          <w:color w:val="auto"/>
        </w:rPr>
        <w:t xml:space="preserve"> ) in shares belonging to another or a pledge (</w:t>
      </w:r>
      <w:r>
        <w:rPr>
          <w:rFonts w:ascii="Arial" w:cs="Arial" w:eastAsia="Arial" w:hAnsi="Arial"/>
          <w:sz w:val="18"/>
          <w:szCs w:val="18"/>
          <w:i w:val="1"/>
          <w:iCs w:val="1"/>
          <w:color w:val="auto"/>
        </w:rPr>
        <w:t>pandrecht</w:t>
      </w:r>
      <w:r>
        <w:rPr>
          <w:rFonts w:ascii="Arial" w:cs="Arial" w:eastAsia="Arial" w:hAnsi="Arial"/>
          <w:sz w:val="18"/>
          <w:szCs w:val="18"/>
          <w:color w:val="auto"/>
        </w:rPr>
        <w:t>) in respect of such shares. The common shares offered in this offering will be held through DTC, therefore DTC or its nominee will be recorded in the shareholders’ register as the holder of those common shares. The shares are in registered form (</w:t>
      </w:r>
      <w:r>
        <w:rPr>
          <w:rFonts w:ascii="Arial" w:cs="Arial" w:eastAsia="Arial" w:hAnsi="Arial"/>
          <w:sz w:val="18"/>
          <w:szCs w:val="18"/>
          <w:i w:val="1"/>
          <w:iCs w:val="1"/>
          <w:color w:val="auto"/>
        </w:rPr>
        <w:t>op naam</w:t>
      </w:r>
      <w:r>
        <w:rPr>
          <w:rFonts w:ascii="Arial" w:cs="Arial" w:eastAsia="Arial" w:hAnsi="Arial"/>
          <w:sz w:val="18"/>
          <w:szCs w:val="18"/>
          <w:color w:val="auto"/>
        </w:rPr>
        <w:t>) . We may issue share certificates (</w:t>
      </w:r>
      <w:r>
        <w:rPr>
          <w:rFonts w:ascii="Arial" w:cs="Arial" w:eastAsia="Arial" w:hAnsi="Arial"/>
          <w:sz w:val="18"/>
          <w:szCs w:val="18"/>
          <w:i w:val="1"/>
          <w:iCs w:val="1"/>
          <w:color w:val="auto"/>
        </w:rPr>
        <w:t>aandeelbewijzen</w:t>
      </w:r>
      <w:r>
        <w:rPr>
          <w:rFonts w:ascii="Arial" w:cs="Arial" w:eastAsia="Arial" w:hAnsi="Arial"/>
          <w:sz w:val="18"/>
          <w:szCs w:val="18"/>
          <w:color w:val="auto"/>
        </w:rPr>
        <w:t>) for registered shares in such form as may be approved by our management board.</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Corporate Objectives</w:t>
      </w:r>
    </w:p>
    <w:p>
      <w:pPr>
        <w:spacing w:after="0" w:line="16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Pursuant to our articles of association, our main corporate objectives are:</w:t>
      </w:r>
    </w:p>
    <w:p>
      <w:pPr>
        <w:spacing w:after="0" w:line="117" w:lineRule="exact"/>
        <w:rPr>
          <w:sz w:val="20"/>
          <w:szCs w:val="20"/>
          <w:color w:val="auto"/>
        </w:rPr>
      </w:pPr>
    </w:p>
    <w:p>
      <w:pPr>
        <w:ind w:left="2260" w:right="799" w:hanging="352"/>
        <w:spacing w:after="0" w:line="263" w:lineRule="auto"/>
        <w:tabs>
          <w:tab w:leader="none" w:pos="22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to incorporate, to participate in, to finance, to hold any other interest in and to conduct the management or supervision of other entities, companies and partnerships in the area of pharmaceuticals and related products;</w:t>
      </w:r>
    </w:p>
    <w:p>
      <w:pPr>
        <w:spacing w:after="0" w:line="62" w:lineRule="exact"/>
        <w:rPr>
          <w:rFonts w:ascii="Arial" w:cs="Arial" w:eastAsia="Arial" w:hAnsi="Arial"/>
          <w:sz w:val="18"/>
          <w:szCs w:val="18"/>
          <w:color w:val="auto"/>
        </w:rPr>
      </w:pPr>
    </w:p>
    <w:p>
      <w:pPr>
        <w:ind w:left="2260" w:hanging="352"/>
        <w:spacing w:after="0"/>
        <w:tabs>
          <w:tab w:leader="none" w:pos="226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to acquire, to manage, to invest, to exploit, to encumber and to dispose of assets and liabilities;</w:t>
      </w:r>
    </w:p>
    <w:p>
      <w:pPr>
        <w:spacing w:after="0" w:line="128" w:lineRule="exact"/>
        <w:rPr>
          <w:rFonts w:ascii="Arial" w:cs="Arial" w:eastAsia="Arial" w:hAnsi="Arial"/>
          <w:sz w:val="17"/>
          <w:szCs w:val="17"/>
          <w:color w:val="auto"/>
        </w:rPr>
      </w:pPr>
    </w:p>
    <w:p>
      <w:pPr>
        <w:ind w:left="2260" w:right="539" w:hanging="352"/>
        <w:spacing w:after="0" w:line="263" w:lineRule="auto"/>
        <w:tabs>
          <w:tab w:leader="none" w:pos="22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to furnish guarantees, to provide security, to warrant performance in any other way and to assume liability, whether jointly and severally or otherwise, in respect of obligations of group companies or other parties; and</w:t>
      </w:r>
    </w:p>
    <w:p>
      <w:pPr>
        <w:spacing w:after="0" w:line="75" w:lineRule="exact"/>
        <w:rPr>
          <w:rFonts w:ascii="Arial" w:cs="Arial" w:eastAsia="Arial" w:hAnsi="Arial"/>
          <w:sz w:val="18"/>
          <w:szCs w:val="18"/>
          <w:color w:val="auto"/>
        </w:rPr>
      </w:pPr>
    </w:p>
    <w:p>
      <w:pPr>
        <w:ind w:left="2260" w:right="979" w:hanging="352"/>
        <w:spacing w:after="0" w:line="277" w:lineRule="auto"/>
        <w:tabs>
          <w:tab w:leader="none" w:pos="22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to do anything which, in the widest sense, is connected with or may be conducive to the objects described above.</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Limitations on the Rights to Own Securities</w:t>
      </w:r>
    </w:p>
    <w:p>
      <w:pPr>
        <w:spacing w:after="0" w:line="162" w:lineRule="exact"/>
        <w:rPr>
          <w:sz w:val="20"/>
          <w:szCs w:val="20"/>
          <w:color w:val="auto"/>
        </w:rPr>
      </w:pPr>
    </w:p>
    <w:p>
      <w:pPr>
        <w:ind w:left="1260" w:right="539" w:firstLine="648"/>
        <w:spacing w:after="0" w:line="241" w:lineRule="auto"/>
        <w:rPr>
          <w:sz w:val="20"/>
          <w:szCs w:val="20"/>
          <w:color w:val="auto"/>
        </w:rPr>
      </w:pPr>
      <w:r>
        <w:rPr>
          <w:rFonts w:ascii="Arial" w:cs="Arial" w:eastAsia="Arial" w:hAnsi="Arial"/>
          <w:sz w:val="18"/>
          <w:szCs w:val="18"/>
          <w:color w:val="auto"/>
        </w:rPr>
        <w:t>Our common shares may be issued to individuals, corporations, trusts, estates of deceased individuals, partnerships and unincorporated associations of persons. Our articles of association contain no limitation on the rights to own our common shares and no limitation on the rights of nonresidents of the Netherlands or foreign shareholders to hold or exercise voting rights. Our preferred shares shall only be issued to the protective foundation, if and when incorporated.</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Limitation on Liability and Indemnification Matters</w:t>
      </w:r>
    </w:p>
    <w:p>
      <w:pPr>
        <w:spacing w:after="0" w:line="148" w:lineRule="exact"/>
        <w:rPr>
          <w:sz w:val="20"/>
          <w:szCs w:val="20"/>
          <w:color w:val="auto"/>
        </w:rPr>
      </w:pPr>
    </w:p>
    <w:p>
      <w:pPr>
        <w:ind w:left="1260" w:right="419" w:firstLine="648"/>
        <w:spacing w:after="0" w:line="254" w:lineRule="auto"/>
        <w:rPr>
          <w:sz w:val="20"/>
          <w:szCs w:val="20"/>
          <w:color w:val="auto"/>
        </w:rPr>
      </w:pPr>
      <w:r>
        <w:rPr>
          <w:rFonts w:ascii="Arial" w:cs="Arial" w:eastAsia="Arial" w:hAnsi="Arial"/>
          <w:sz w:val="18"/>
          <w:szCs w:val="18"/>
          <w:color w:val="auto"/>
        </w:rPr>
        <w:t>Under Dutch law, managing directors and supervisory directors may be held liable for damages in the event of improper or negligent performance of their duties. They may be held jointly and severally liable for damages to the company and to third parties for infringement of the articles of association or of certain provisions of Dutch law. In certain circumstances, they may also incur additional specific civil and criminal liabilities. Subject to certain exceptions, our articles of association provide for indemnification of our current and former managing directors and supervisory directors (and other current and former officers and employees as designated by our management board, subject to approval by our supervisory board). No indemnification shall be given to an indemnified person:</w:t>
      </w:r>
    </w:p>
    <w:p>
      <w:pPr>
        <w:spacing w:after="0" w:line="124" w:lineRule="exact"/>
        <w:rPr>
          <w:sz w:val="20"/>
          <w:szCs w:val="20"/>
          <w:color w:val="auto"/>
        </w:rPr>
      </w:pPr>
    </w:p>
    <w:p>
      <w:pPr>
        <w:ind w:left="2560" w:right="519" w:hanging="652"/>
        <w:spacing w:after="0" w:line="255" w:lineRule="auto"/>
        <w:tabs>
          <w:tab w:leader="none" w:pos="25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if a competent court or arbitral tribunal has established, without having (or no longer having) the possibility for appeal, that the acts or omissions of such indemnified person that led to the financial losses, damages, expenses, suit, claim, action or legal proceedings as described above are of an unlawful nature (including acts or omissions which are considered to constitute malice, gross negligence, intentional recklessness and/or serious culpability attributable to such indemnified person);</w:t>
      </w:r>
    </w:p>
    <w:p>
      <w:pPr>
        <w:spacing w:after="0" w:line="124" w:lineRule="exact"/>
        <w:rPr>
          <w:rFonts w:ascii="Arial" w:cs="Arial" w:eastAsia="Arial" w:hAnsi="Arial"/>
          <w:sz w:val="18"/>
          <w:szCs w:val="18"/>
          <w:color w:val="auto"/>
        </w:rPr>
      </w:pPr>
    </w:p>
    <w:p>
      <w:pPr>
        <w:ind w:left="2560" w:right="739" w:hanging="652"/>
        <w:spacing w:after="0" w:line="311" w:lineRule="auto"/>
        <w:tabs>
          <w:tab w:leader="none" w:pos="256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to the extent that his or her financial losses, damages and expenses are covered under insurance and the relevant insurer has settled, or has provided reimbursement for, these financial losses, damages and expenses (or has irrevocably undertaken to do so);</w:t>
      </w:r>
    </w:p>
    <w:p>
      <w:pPr>
        <w:spacing w:after="0" w:line="67" w:lineRule="exact"/>
        <w:rPr>
          <w:rFonts w:ascii="Arial" w:cs="Arial" w:eastAsia="Arial" w:hAnsi="Arial"/>
          <w:sz w:val="16"/>
          <w:szCs w:val="16"/>
          <w:color w:val="auto"/>
        </w:rPr>
      </w:pPr>
    </w:p>
    <w:p>
      <w:pPr>
        <w:ind w:left="2560" w:hanging="652"/>
        <w:spacing w:after="0"/>
        <w:tabs>
          <w:tab w:leader="none" w:pos="256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in relation to proceedings brought by such indemnified person against the company, except</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67" w:name="page268"/>
    <w:bookmarkEnd w:id="26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560" w:right="519"/>
        <w:spacing w:after="0" w:line="262" w:lineRule="auto"/>
        <w:rPr>
          <w:sz w:val="20"/>
          <w:szCs w:val="20"/>
          <w:color w:val="auto"/>
        </w:rPr>
      </w:pPr>
      <w:r>
        <w:rPr>
          <w:rFonts w:ascii="Arial" w:cs="Arial" w:eastAsia="Arial" w:hAnsi="Arial"/>
          <w:sz w:val="17"/>
          <w:szCs w:val="17"/>
          <w:color w:val="auto"/>
        </w:rPr>
        <w:t>for proceedings brought to enforce indemnification to which he is entitled pursuant to our articles of association, pursuant to an agreement between such indemnified person and the company which has been approved by the management board or pursuant to insurance taken out by the company for the benefit of such indemnified person; and</w:t>
      </w:r>
    </w:p>
    <w:p>
      <w:pPr>
        <w:spacing w:after="0" w:line="105" w:lineRule="exact"/>
        <w:rPr>
          <w:sz w:val="20"/>
          <w:szCs w:val="20"/>
          <w:color w:val="auto"/>
        </w:rPr>
      </w:pPr>
    </w:p>
    <w:p>
      <w:pPr>
        <w:ind w:left="2560" w:right="599" w:hanging="652"/>
        <w:spacing w:after="0" w:line="277" w:lineRule="auto"/>
        <w:tabs>
          <w:tab w:leader="none" w:pos="25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for any financial losses, damages or expenses incurred in connection with a settlement of any proceedings effected without the company’s prior consent.</w:t>
      </w:r>
    </w:p>
    <w:p>
      <w:pPr>
        <w:spacing w:after="0" w:line="89" w:lineRule="exact"/>
        <w:rPr>
          <w:sz w:val="20"/>
          <w:szCs w:val="20"/>
          <w:color w:val="auto"/>
        </w:rPr>
      </w:pPr>
    </w:p>
    <w:p>
      <w:pPr>
        <w:ind w:left="1260" w:right="479" w:firstLine="648"/>
        <w:spacing w:after="0" w:line="261" w:lineRule="auto"/>
        <w:rPr>
          <w:sz w:val="20"/>
          <w:szCs w:val="20"/>
          <w:color w:val="auto"/>
        </w:rPr>
      </w:pPr>
      <w:r>
        <w:rPr>
          <w:rFonts w:ascii="Arial" w:cs="Arial" w:eastAsia="Arial" w:hAnsi="Arial"/>
          <w:sz w:val="18"/>
          <w:szCs w:val="18"/>
          <w:color w:val="auto"/>
        </w:rPr>
        <w:t>Under our articles of association, our management board may stipulate additional terms, conditions and restrictions in relation to the indemnification described above.</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Shareholders’ Meetings</w:t>
      </w:r>
    </w:p>
    <w:p>
      <w:pPr>
        <w:spacing w:after="0" w:line="162" w:lineRule="exact"/>
        <w:rPr>
          <w:sz w:val="20"/>
          <w:szCs w:val="20"/>
          <w:color w:val="auto"/>
        </w:rPr>
      </w:pPr>
    </w:p>
    <w:p>
      <w:pPr>
        <w:ind w:left="1260" w:right="479" w:firstLine="648"/>
        <w:spacing w:after="0" w:line="238" w:lineRule="auto"/>
        <w:rPr>
          <w:sz w:val="20"/>
          <w:szCs w:val="20"/>
          <w:color w:val="auto"/>
        </w:rPr>
      </w:pPr>
      <w:r>
        <w:rPr>
          <w:rFonts w:ascii="Arial" w:cs="Arial" w:eastAsia="Arial" w:hAnsi="Arial"/>
          <w:sz w:val="18"/>
          <w:szCs w:val="18"/>
          <w:color w:val="auto"/>
        </w:rPr>
        <w:t>General meetings may be held in Amsterdam, Arnhem, Assen, The Hague, Haarlem, Hertogenbosch, Groningen, Leeuwarden, Lelystad, Maastricht, Middelburg, Rotterdam, Schiphol (Haarlemmermeer), Utrecht or Zwolle, all in the Netherlands. The annual general meeting must be held within six months of the end of each financial year. Additional extraordinary general meetings may also be held, whenever considered appropriate by the management board or the supervisory board and shall be held within three months after our management board has considered it to be likely that our equity has decreased to an amount equal to or lower than half of its paid-in and called-up share capital, in order to discuss the measures to be taken if so required.</w:t>
      </w:r>
    </w:p>
    <w:p>
      <w:pPr>
        <w:spacing w:after="0" w:line="126" w:lineRule="exact"/>
        <w:rPr>
          <w:sz w:val="20"/>
          <w:szCs w:val="20"/>
          <w:color w:val="auto"/>
        </w:rPr>
      </w:pPr>
    </w:p>
    <w:p>
      <w:pPr>
        <w:ind w:left="1260" w:right="519" w:firstLine="648"/>
        <w:spacing w:after="0" w:line="253" w:lineRule="auto"/>
        <w:rPr>
          <w:sz w:val="20"/>
          <w:szCs w:val="20"/>
          <w:color w:val="auto"/>
        </w:rPr>
      </w:pPr>
      <w:r>
        <w:rPr>
          <w:rFonts w:ascii="Arial" w:cs="Arial" w:eastAsia="Arial" w:hAnsi="Arial"/>
          <w:sz w:val="17"/>
          <w:szCs w:val="17"/>
          <w:color w:val="auto"/>
        </w:rPr>
        <w:t>Pursuant to Dutch law, one or more shareholders or others with meeting rights under Dutch law who jointly represent at least one-tenth of the issued share capital may request us to convene a general meeting, setting out in detail the matters to be discussed. If we have not taken the steps necessary to ensure that such meeting can be held within six weeks after the request, the requesting party/parties may, on their application, be authorized by the competent Dutch court in preliminary relief proceedings to convene a general meeting. The court shall disallow the application if it does not appear that the applicants have previously requested our management board and our supervisory board to convene a general meeting and neither our management board nor our supervisory board has taken the necessary steps so that the general meeting could be held within six weeks after the request.</w:t>
      </w:r>
    </w:p>
    <w:p>
      <w:pPr>
        <w:spacing w:after="0" w:line="103" w:lineRule="exact"/>
        <w:rPr>
          <w:sz w:val="20"/>
          <w:szCs w:val="20"/>
          <w:color w:val="auto"/>
        </w:rPr>
      </w:pPr>
    </w:p>
    <w:p>
      <w:pPr>
        <w:ind w:left="1260" w:right="419" w:firstLine="648"/>
        <w:spacing w:after="0" w:line="252" w:lineRule="auto"/>
        <w:rPr>
          <w:sz w:val="20"/>
          <w:szCs w:val="20"/>
          <w:color w:val="auto"/>
        </w:rPr>
      </w:pPr>
      <w:r>
        <w:rPr>
          <w:rFonts w:ascii="Arial" w:cs="Arial" w:eastAsia="Arial" w:hAnsi="Arial"/>
          <w:sz w:val="17"/>
          <w:szCs w:val="17"/>
          <w:color w:val="auto"/>
        </w:rPr>
        <w:t>General meetings must be convened by an announcement published in a Dutch daily newspaper with national distribution. The notice must state the agenda, the time and place of the meeting, the record date (if any), the procedure for participating in the general meeting by proxy, as well as other information as required by Dutch law. The notice must be given at least 15 days prior to the day of the meeting. The agenda for the annual general meeting shall include, among other things, the adoption of the annual accounts, appropriation of our profits and proposals relating to the composition of the management board and supervisory board, including the filling of any vacancies in such bodies. In addition, the agenda shall include such items as have been included therein by the management board or the supervisory board. The agenda shall also include such items requested by one or more shareholders, or others with meeting rights under Dutch law, representing at least 3% of the issued share capital. Requests must be made in writing or by electronic means and received by us at least 60 days before the day of the meeting. No resolutions shall be adopted on items other than those that have been included in the agenda.</w:t>
      </w:r>
    </w:p>
    <w:p>
      <w:pPr>
        <w:spacing w:after="0" w:line="116" w:lineRule="exact"/>
        <w:rPr>
          <w:sz w:val="20"/>
          <w:szCs w:val="20"/>
          <w:color w:val="auto"/>
        </w:rPr>
      </w:pPr>
    </w:p>
    <w:p>
      <w:pPr>
        <w:ind w:left="1260" w:right="439" w:firstLine="648"/>
        <w:spacing w:after="0" w:line="252" w:lineRule="auto"/>
        <w:rPr>
          <w:sz w:val="20"/>
          <w:szCs w:val="20"/>
          <w:color w:val="auto"/>
        </w:rPr>
      </w:pPr>
      <w:r>
        <w:rPr>
          <w:rFonts w:ascii="Arial" w:cs="Arial" w:eastAsia="Arial" w:hAnsi="Arial"/>
          <w:sz w:val="17"/>
          <w:szCs w:val="17"/>
          <w:color w:val="auto"/>
        </w:rPr>
        <w:t>In accordance with the DCGC and our articles of association, shareholders having the right to put an item on the agenda under the rules described above shall exercise such right only after consulting the management board in that respect. If one or more shareholders intend to request that an item be put on the agenda that may result in a change in the company’s strategy (for example, the removal of managing directors or supervisory directors), the management board must be given the opportunity to invoke a reasonable period to respond to such intention. Such period shall not exceed 180 days (or such other period as may be stipulated for such purpose by Dutch law and/or the DCGC from time to time). If invoked, the management board must use such response period for further deliberation and constructive consultation, in any event with the shareholders(s) concerned, and shall explore the alternatives. At the end of the response time, the management board shall report on this consultation and the exploration of alternatives to the general meeting. This shall be supervised by our supervisory board. The response period may be invoked only once for any given general meeting and shall not apply (a) in respect of a matter for which a response period has been previously invoked; or (b) if a shareholder holds at least 75% of the company’s issued share</w:t>
      </w:r>
    </w:p>
    <w:p>
      <w:pPr>
        <w:spacing w:after="0" w:line="35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68" w:name="page269"/>
    <w:bookmarkEnd w:id="26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479"/>
        <w:spacing w:after="0" w:line="263" w:lineRule="auto"/>
        <w:rPr>
          <w:sz w:val="20"/>
          <w:szCs w:val="20"/>
          <w:color w:val="auto"/>
        </w:rPr>
      </w:pPr>
      <w:r>
        <w:rPr>
          <w:rFonts w:ascii="Arial" w:cs="Arial" w:eastAsia="Arial" w:hAnsi="Arial"/>
          <w:sz w:val="18"/>
          <w:szCs w:val="18"/>
          <w:color w:val="auto"/>
        </w:rPr>
        <w:t>capital as a consequence of a successful public bid. The response period may also be invoked in response to shareholders or others with meeting rights under Dutch law requesting that a general meeting be convened, as described above.</w:t>
      </w:r>
    </w:p>
    <w:p>
      <w:pPr>
        <w:spacing w:after="0" w:line="116" w:lineRule="exact"/>
        <w:rPr>
          <w:sz w:val="20"/>
          <w:szCs w:val="20"/>
          <w:color w:val="auto"/>
        </w:rPr>
      </w:pPr>
    </w:p>
    <w:p>
      <w:pPr>
        <w:ind w:left="1260" w:right="439" w:firstLine="648"/>
        <w:spacing w:after="0" w:line="269" w:lineRule="auto"/>
        <w:rPr>
          <w:sz w:val="20"/>
          <w:szCs w:val="20"/>
          <w:color w:val="auto"/>
        </w:rPr>
      </w:pPr>
      <w:r>
        <w:rPr>
          <w:rFonts w:ascii="Arial" w:cs="Arial" w:eastAsia="Arial" w:hAnsi="Arial"/>
          <w:sz w:val="17"/>
          <w:szCs w:val="17"/>
          <w:color w:val="auto"/>
        </w:rPr>
        <w:t>The general meeting is presided over by the chairman of the supervisory board. If no chairman has been elected or if he or she is not present at the meeting, the general meeting shall be presided over by the vice-chairman of the supervisory board. If no vice-chairman has been elected or if he or she is not present at the meeting, the general meeting shall be presided over by another supervisory director present at the meeting. If no supervisory director is present, the meeting shall be presided over by our CEO. If no CEO has been elected or if he or she is not present at the meeting, the general meeting shall be presided over by another managing director present at the meeting. If no managing director is present at the meeting, the general meeting shall be presided over by any other person appointed by the general meeting. In each case, the person who should chair the general meeting pursuant to the rules described above may appoint another person to chair the general meeting instead. Managing directors and supervisory directors may always attend a general meeting. In these meetings, they have an advisory vote. The chairman of the meeting may decide, at his or her discretion, to admit other persons to the meeting.</w:t>
      </w:r>
    </w:p>
    <w:p>
      <w:pPr>
        <w:spacing w:after="0" w:line="111" w:lineRule="exact"/>
        <w:rPr>
          <w:sz w:val="20"/>
          <w:szCs w:val="20"/>
          <w:color w:val="auto"/>
        </w:rPr>
      </w:pPr>
    </w:p>
    <w:p>
      <w:pPr>
        <w:ind w:left="1260" w:right="459" w:firstLine="648"/>
        <w:spacing w:after="0" w:line="254" w:lineRule="auto"/>
        <w:rPr>
          <w:sz w:val="20"/>
          <w:szCs w:val="20"/>
          <w:color w:val="auto"/>
        </w:rPr>
      </w:pPr>
      <w:r>
        <w:rPr>
          <w:rFonts w:ascii="Arial" w:cs="Arial" w:eastAsia="Arial" w:hAnsi="Arial"/>
          <w:sz w:val="18"/>
          <w:szCs w:val="18"/>
          <w:color w:val="auto"/>
        </w:rPr>
        <w:t>All shareholders and others with meeting rights under Dutch law are authorized to attend the general meeting, to address the meeting and, in so far as they have such right, to vote pro rata to his or her shareholding. Shareholders may exercise these rights, if they are the holders of shares on the record date, if any, as required by Dutch law, which is currently the 28th day before the day of the general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spacing w:after="0" w:line="111" w:lineRule="exact"/>
        <w:rPr>
          <w:sz w:val="20"/>
          <w:szCs w:val="20"/>
          <w:color w:val="auto"/>
        </w:rPr>
      </w:pPr>
    </w:p>
    <w:p>
      <w:pPr>
        <w:jc w:val="both"/>
        <w:ind w:left="1260" w:right="479" w:firstLine="648"/>
        <w:spacing w:after="0" w:line="271" w:lineRule="auto"/>
        <w:rPr>
          <w:sz w:val="20"/>
          <w:szCs w:val="20"/>
          <w:color w:val="auto"/>
        </w:rPr>
      </w:pPr>
      <w:r>
        <w:rPr>
          <w:rFonts w:ascii="Arial" w:cs="Arial" w:eastAsia="Arial" w:hAnsi="Arial"/>
          <w:sz w:val="17"/>
          <w:szCs w:val="17"/>
          <w:color w:val="auto"/>
        </w:rPr>
        <w:t>Each common share and each preferred share confers the right on the holder to cast one vote at the general meeting. Shareholders may vote by proxy. No votes may be cast at a general meeting on shares held by us or our subsidiaries or on shares for which we or our subsidiaries hold depository receipts.</w:t>
      </w:r>
    </w:p>
    <w:p>
      <w:pPr>
        <w:ind w:left="1260" w:right="419"/>
        <w:spacing w:after="0" w:line="268" w:lineRule="auto"/>
        <w:rPr>
          <w:sz w:val="20"/>
          <w:szCs w:val="20"/>
          <w:color w:val="auto"/>
        </w:rPr>
      </w:pPr>
      <w:r>
        <w:rPr>
          <w:rFonts w:ascii="Arial" w:cs="Arial" w:eastAsia="Arial" w:hAnsi="Arial"/>
          <w:sz w:val="17"/>
          <w:szCs w:val="17"/>
          <w:color w:val="auto"/>
        </w:rPr>
        <w:t>Nonetheless, the holders of a right of use and enjoyment (</w:t>
      </w:r>
      <w:r>
        <w:rPr>
          <w:rFonts w:ascii="Arial" w:cs="Arial" w:eastAsia="Arial" w:hAnsi="Arial"/>
          <w:sz w:val="17"/>
          <w:szCs w:val="17"/>
          <w:i w:val="1"/>
          <w:iCs w:val="1"/>
          <w:color w:val="auto"/>
        </w:rPr>
        <w:t>vruchtgebruik</w:t>
      </w:r>
      <w:r>
        <w:rPr>
          <w:rFonts w:ascii="Arial" w:cs="Arial" w:eastAsia="Arial" w:hAnsi="Arial"/>
          <w:sz w:val="17"/>
          <w:szCs w:val="17"/>
          <w:color w:val="auto"/>
        </w:rPr>
        <w:t>) and the holders of a right of pledge (</w:t>
      </w:r>
      <w:r>
        <w:rPr>
          <w:rFonts w:ascii="Arial" w:cs="Arial" w:eastAsia="Arial" w:hAnsi="Arial"/>
          <w:sz w:val="17"/>
          <w:szCs w:val="17"/>
          <w:i w:val="1"/>
          <w:iCs w:val="1"/>
          <w:color w:val="auto"/>
        </w:rPr>
        <w:t>pandrecht</w:t>
      </w:r>
      <w:r>
        <w:rPr>
          <w:rFonts w:ascii="Arial" w:cs="Arial" w:eastAsia="Arial" w:hAnsi="Arial"/>
          <w:sz w:val="17"/>
          <w:szCs w:val="17"/>
          <w:color w:val="auto"/>
        </w:rPr>
        <w:t>) in respect of shares held by us or our subsidiaries in our share capital are not excluded from the right to vote on such shares, if the right of use and enjoyment (</w:t>
      </w:r>
      <w:r>
        <w:rPr>
          <w:rFonts w:ascii="Arial" w:cs="Arial" w:eastAsia="Arial" w:hAnsi="Arial"/>
          <w:sz w:val="17"/>
          <w:szCs w:val="17"/>
          <w:i w:val="1"/>
          <w:iCs w:val="1"/>
          <w:color w:val="auto"/>
        </w:rPr>
        <w:t>vruchtgebruik</w:t>
      </w:r>
      <w:r>
        <w:rPr>
          <w:rFonts w:ascii="Arial" w:cs="Arial" w:eastAsia="Arial" w:hAnsi="Arial"/>
          <w:sz w:val="17"/>
          <w:szCs w:val="17"/>
          <w:color w:val="auto"/>
        </w:rPr>
        <w:t>) or the right of pledge (</w:t>
      </w:r>
      <w:r>
        <w:rPr>
          <w:rFonts w:ascii="Arial" w:cs="Arial" w:eastAsia="Arial" w:hAnsi="Arial"/>
          <w:sz w:val="17"/>
          <w:szCs w:val="17"/>
          <w:i w:val="1"/>
          <w:iCs w:val="1"/>
          <w:color w:val="auto"/>
        </w:rPr>
        <w:t>pandrecht</w:t>
      </w:r>
      <w:r>
        <w:rPr>
          <w:rFonts w:ascii="Arial" w:cs="Arial" w:eastAsia="Arial" w:hAnsi="Arial"/>
          <w:sz w:val="17"/>
          <w:szCs w:val="17"/>
          <w:color w:val="auto"/>
        </w:rPr>
        <w:t>) was granted prior to the time such shares were acquired by us or any of our subsidiaries. Neither we nor any of our subsidiaries may cast votes in respect of a share on which we or such subsidiary holds a right of use and enjoyment (</w:t>
      </w:r>
      <w:r>
        <w:rPr>
          <w:rFonts w:ascii="Arial" w:cs="Arial" w:eastAsia="Arial" w:hAnsi="Arial"/>
          <w:sz w:val="17"/>
          <w:szCs w:val="17"/>
          <w:i w:val="1"/>
          <w:iCs w:val="1"/>
          <w:color w:val="auto"/>
        </w:rPr>
        <w:t>vruchtgebruik</w:t>
      </w:r>
      <w:r>
        <w:rPr>
          <w:rFonts w:ascii="Arial" w:cs="Arial" w:eastAsia="Arial" w:hAnsi="Arial"/>
          <w:sz w:val="17"/>
          <w:szCs w:val="17"/>
          <w:color w:val="auto"/>
        </w:rPr>
        <w:t>) or a right of pledge (</w:t>
      </w:r>
      <w:r>
        <w:rPr>
          <w:rFonts w:ascii="Arial" w:cs="Arial" w:eastAsia="Arial" w:hAnsi="Arial"/>
          <w:sz w:val="17"/>
          <w:szCs w:val="17"/>
          <w:i w:val="1"/>
          <w:iCs w:val="1"/>
          <w:color w:val="auto"/>
        </w:rPr>
        <w:t>pandrecht</w:t>
      </w:r>
      <w:r>
        <w:rPr>
          <w:rFonts w:ascii="Arial" w:cs="Arial" w:eastAsia="Arial" w:hAnsi="Arial"/>
          <w:sz w:val="17"/>
          <w:szCs w:val="17"/>
          <w:color w:val="auto"/>
        </w:rPr>
        <w:t>). Shares which are not entitled to voting rights pursuant to the preceding sentences will not be taken into account for the purpose of determining the number of shareholders that vote and that are present or represented, or the amount of the share capital that is provided or that is represented at a general meeting.</w:t>
      </w:r>
    </w:p>
    <w:p>
      <w:pPr>
        <w:spacing w:after="0" w:line="114" w:lineRule="exact"/>
        <w:rPr>
          <w:sz w:val="20"/>
          <w:szCs w:val="20"/>
          <w:color w:val="auto"/>
        </w:rPr>
      </w:pPr>
    </w:p>
    <w:p>
      <w:pPr>
        <w:ind w:left="1260" w:right="559" w:firstLine="648"/>
        <w:spacing w:after="0" w:line="277" w:lineRule="auto"/>
        <w:rPr>
          <w:sz w:val="20"/>
          <w:szCs w:val="20"/>
          <w:color w:val="auto"/>
        </w:rPr>
      </w:pPr>
      <w:r>
        <w:rPr>
          <w:rFonts w:ascii="Arial" w:cs="Arial" w:eastAsia="Arial" w:hAnsi="Arial"/>
          <w:sz w:val="18"/>
          <w:szCs w:val="18"/>
          <w:color w:val="auto"/>
        </w:rPr>
        <w:t>Decisions of the general meeting are taken by a simple majority of votes cast, except where Dutch law or our articles of association provide for a qualified majority or unanimity.</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Managing Directors and Supervisory Directors</w:t>
      </w:r>
    </w:p>
    <w:p>
      <w:pPr>
        <w:spacing w:after="0" w:line="229"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Appointment of Managing Directors and Supervisory Directors</w:t>
      </w:r>
    </w:p>
    <w:p>
      <w:pPr>
        <w:spacing w:after="0" w:line="158" w:lineRule="exact"/>
        <w:rPr>
          <w:sz w:val="20"/>
          <w:szCs w:val="20"/>
          <w:color w:val="auto"/>
        </w:rPr>
      </w:pPr>
    </w:p>
    <w:p>
      <w:pPr>
        <w:ind w:left="1260" w:right="419" w:firstLine="648"/>
        <w:spacing w:after="0" w:line="273" w:lineRule="auto"/>
        <w:rPr>
          <w:sz w:val="20"/>
          <w:szCs w:val="20"/>
          <w:color w:val="auto"/>
        </w:rPr>
      </w:pPr>
      <w:r>
        <w:rPr>
          <w:rFonts w:ascii="Arial" w:cs="Arial" w:eastAsia="Arial" w:hAnsi="Arial"/>
          <w:sz w:val="17"/>
          <w:szCs w:val="17"/>
          <w:color w:val="auto"/>
        </w:rPr>
        <w:t>Under our articles of association, the managing directors and supervisory directors are appointed by the general meeting upon binding nomination by our supervisory board. During the periods specified below, dievini (or its legal successor or permitted assigns under the KfW dievini Shareholders’ Agreement), KfW (or its legal successors or permitted assigns under the KfW dievini Shareholders’ Agreement), and any other shareholder or group of shareholders owning at least 20% of our issued share capital, or nomination concert, have the right to make a binding nomination for one or more supervisory directors as specified below:</w:t>
      </w:r>
    </w:p>
    <w:p>
      <w:pPr>
        <w:spacing w:after="0" w:line="70" w:lineRule="exact"/>
        <w:rPr>
          <w:sz w:val="20"/>
          <w:szCs w:val="20"/>
          <w:color w:val="auto"/>
        </w:rPr>
      </w:pPr>
    </w:p>
    <w:p>
      <w:pPr>
        <w:ind w:left="2260" w:right="419" w:hanging="352"/>
        <w:spacing w:after="0" w:line="286" w:lineRule="auto"/>
        <w:tabs>
          <w:tab w:leader="none" w:pos="226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during the initial nomination period for dievini, dievini (or its legal successor or permitted assigns under the KfW dievini Shareholders’ Agreement) will have the right under our articles of association to make a binding nomination for the following number of supervisory directors:</w:t>
      </w:r>
    </w:p>
    <w:p>
      <w:pPr>
        <w:spacing w:after="0" w:line="34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69" w:name="page270"/>
    <w:bookmarkEnd w:id="26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920" w:right="439" w:hanging="364"/>
        <w:spacing w:after="0" w:line="263" w:lineRule="auto"/>
        <w:tabs>
          <w:tab w:leader="none" w:pos="292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four (4) supervisory directors for as long as dievini (or its legal successor or permitted assigns under the KfW dievini Shareholders’ Agreement) and its affiliates as defined by</w:t>
      </w:r>
    </w:p>
    <w:p>
      <w:pPr>
        <w:spacing w:after="0" w:line="75" w:lineRule="exact"/>
        <w:rPr>
          <w:rFonts w:ascii="Arial" w:cs="Arial" w:eastAsia="Arial" w:hAnsi="Arial"/>
          <w:sz w:val="18"/>
          <w:szCs w:val="18"/>
          <w:color w:val="auto"/>
        </w:rPr>
      </w:pPr>
    </w:p>
    <w:p>
      <w:pPr>
        <w:ind w:left="2920" w:right="859" w:hanging="364"/>
        <w:spacing w:after="0" w:line="263" w:lineRule="auto"/>
        <w:tabs>
          <w:tab w:leader="none" w:pos="292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our articles of association and ultimate beneficiaries as defined by our articles of association (individually or collectively) owns at least 70% of our issued share capital;</w:t>
      </w:r>
    </w:p>
    <w:p>
      <w:pPr>
        <w:spacing w:after="0" w:line="75" w:lineRule="exact"/>
        <w:rPr>
          <w:rFonts w:ascii="Arial" w:cs="Arial" w:eastAsia="Arial" w:hAnsi="Arial"/>
          <w:sz w:val="18"/>
          <w:szCs w:val="18"/>
          <w:color w:val="auto"/>
        </w:rPr>
      </w:pPr>
    </w:p>
    <w:p>
      <w:pPr>
        <w:ind w:left="2920" w:right="599" w:hanging="364"/>
        <w:spacing w:after="0" w:line="257" w:lineRule="auto"/>
        <w:tabs>
          <w:tab w:leader="none" w:pos="292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three (3) supervisory directors for as long as dievini (or its legal successor or permitted assigns under the KfW dievini Shareholders’ Agreement) and its affiliates as defined by our articles of association and ultimate beneficiaries as defined by our articles of association (individually or collectively) owns at least 50% (but less than 70%) of our issued share capital;</w:t>
      </w:r>
    </w:p>
    <w:p>
      <w:pPr>
        <w:spacing w:after="0" w:line="79" w:lineRule="exact"/>
        <w:rPr>
          <w:rFonts w:ascii="Arial" w:cs="Arial" w:eastAsia="Arial" w:hAnsi="Arial"/>
          <w:sz w:val="18"/>
          <w:szCs w:val="18"/>
          <w:color w:val="auto"/>
        </w:rPr>
      </w:pPr>
    </w:p>
    <w:p>
      <w:pPr>
        <w:ind w:left="2920" w:right="479" w:hanging="364"/>
        <w:spacing w:after="0" w:line="257" w:lineRule="auto"/>
        <w:tabs>
          <w:tab w:leader="none" w:pos="292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two (2) supervisory directors for as long as dievini (or its legal successor or permitted assigns under the KfW dievini Shareholders’ Agreement) and its affiliates as defined by our articles of association and ultimate beneficiaries as defined by our articles of association (individually or collectively) owns at least 30% (but less than 50%) of our issued share capital; and</w:t>
      </w:r>
    </w:p>
    <w:p>
      <w:pPr>
        <w:spacing w:after="0" w:line="79" w:lineRule="exact"/>
        <w:rPr>
          <w:rFonts w:ascii="Arial" w:cs="Arial" w:eastAsia="Arial" w:hAnsi="Arial"/>
          <w:sz w:val="18"/>
          <w:szCs w:val="18"/>
          <w:color w:val="auto"/>
        </w:rPr>
      </w:pPr>
    </w:p>
    <w:p>
      <w:pPr>
        <w:ind w:left="2920" w:right="479" w:hanging="364"/>
        <w:spacing w:after="0" w:line="257" w:lineRule="auto"/>
        <w:tabs>
          <w:tab w:leader="none" w:pos="292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one (1) supervisory director for as long as dievini (or its legal successor or permitted assigns under the KfW dievini Shareholders’ Agreement) and its affiliates as defined by our articles of association and ultimate beneficiaries as defined by our articles of association (individually or collectively) owns at least 10% (but less than 30%) of our issued share capital;</w:t>
      </w:r>
    </w:p>
    <w:p>
      <w:pPr>
        <w:spacing w:after="0" w:line="79" w:lineRule="exact"/>
        <w:rPr>
          <w:rFonts w:ascii="Arial" w:cs="Arial" w:eastAsia="Arial" w:hAnsi="Arial"/>
          <w:sz w:val="18"/>
          <w:szCs w:val="18"/>
          <w:color w:val="auto"/>
        </w:rPr>
      </w:pPr>
    </w:p>
    <w:p>
      <w:pPr>
        <w:ind w:left="2260" w:right="439" w:hanging="352"/>
        <w:spacing w:after="0" w:line="263" w:lineRule="auto"/>
        <w:tabs>
          <w:tab w:leader="none" w:pos="22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during the initial nomination period for KfW, KfW (or its legal successors or permitted assigns under the KfW dievini Shareholders’ Agreement) will have the right under our articles of association to make a binding nomination for one supervisory director; and</w:t>
      </w:r>
    </w:p>
    <w:p>
      <w:pPr>
        <w:spacing w:after="0" w:line="62" w:lineRule="exact"/>
        <w:rPr>
          <w:rFonts w:ascii="Arial" w:cs="Arial" w:eastAsia="Arial" w:hAnsi="Arial"/>
          <w:sz w:val="18"/>
          <w:szCs w:val="18"/>
          <w:color w:val="auto"/>
        </w:rPr>
      </w:pPr>
    </w:p>
    <w:p>
      <w:pPr>
        <w:ind w:left="2260" w:right="459" w:hanging="352"/>
        <w:spacing w:after="0" w:line="253" w:lineRule="auto"/>
        <w:tabs>
          <w:tab w:leader="none" w:pos="22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at any time, each nomination concert (excluding dievini (or its legal successors or permitted assigns under the KfW dievini Shareholders’ Agreement), its affiliates and its ultimate beneficiaries and excluding KfW (or its legal successors or permitted assigns under the KfW dievini Shareholders’ Agreement) and its affiliates for as long as dievini and KfW, respectively, have the nomination rights discussed above) will have the right under our articles of association to make a binding nomination for one supervisory director for each 20% of our issued share capital represented by that nomination concert, provided such nominee is independent from the nomination concert and CureVac N.V. under the DCGC and applicable U.S. securities laws and Nasdaq rules.</w:t>
      </w:r>
    </w:p>
    <w:p>
      <w:pPr>
        <w:spacing w:after="0" w:line="129" w:lineRule="exact"/>
        <w:rPr>
          <w:sz w:val="20"/>
          <w:szCs w:val="20"/>
          <w:color w:val="auto"/>
        </w:rPr>
      </w:pPr>
    </w:p>
    <w:p>
      <w:pPr>
        <w:ind w:left="1260" w:right="479" w:firstLine="648"/>
        <w:spacing w:after="0" w:line="273" w:lineRule="auto"/>
        <w:rPr>
          <w:sz w:val="20"/>
          <w:szCs w:val="20"/>
          <w:color w:val="auto"/>
        </w:rPr>
      </w:pPr>
      <w:r>
        <w:rPr>
          <w:rFonts w:ascii="Arial" w:cs="Arial" w:eastAsia="Arial" w:hAnsi="Arial"/>
          <w:sz w:val="17"/>
          <w:szCs w:val="17"/>
          <w:color w:val="auto"/>
        </w:rPr>
        <w:t>If a supervisory director who was nominated by dievini, KfW or a nomination concert ceases to be a supervisory director before the expiry of his or her term of appointment, dievini, KfW or the relevant nomination concert, as applicable, shall as soon as reasonably possible nominate a successor (if, at that time, dievini, KfW or the nomination concert, as applicable, still has nomination rights under our articles of association at that time) and our supervisory board shall subsequently and promptly convene our general meeting for purposes of appointing such nominee to the supervisory board.</w:t>
      </w:r>
    </w:p>
    <w:p>
      <w:pPr>
        <w:spacing w:after="0" w:line="110" w:lineRule="exact"/>
        <w:rPr>
          <w:sz w:val="20"/>
          <w:szCs w:val="20"/>
          <w:color w:val="auto"/>
        </w:rPr>
      </w:pPr>
    </w:p>
    <w:p>
      <w:pPr>
        <w:ind w:left="1260" w:right="459" w:firstLine="648"/>
        <w:spacing w:after="0" w:line="259" w:lineRule="auto"/>
        <w:rPr>
          <w:sz w:val="20"/>
          <w:szCs w:val="20"/>
          <w:color w:val="auto"/>
        </w:rPr>
      </w:pPr>
      <w:r>
        <w:rPr>
          <w:rFonts w:ascii="Arial" w:cs="Arial" w:eastAsia="Arial" w:hAnsi="Arial"/>
          <w:sz w:val="18"/>
          <w:szCs w:val="18"/>
          <w:color w:val="auto"/>
        </w:rPr>
        <w:t>The general meeting may at all times overrule the binding nomination by a resolution adopted by a simple majority of the votes cast, provided such majority represents at least one-third of the issued share capital. If the general meeting overrules the binding nature of a binding nomination, a new nomination shall be prepared by whoever made the overruled nomination.</w:t>
      </w:r>
    </w:p>
    <w:p>
      <w:pPr>
        <w:spacing w:after="0" w:line="106" w:lineRule="exact"/>
        <w:rPr>
          <w:sz w:val="20"/>
          <w:szCs w:val="20"/>
          <w:color w:val="auto"/>
        </w:rPr>
      </w:pPr>
    </w:p>
    <w:p>
      <w:pPr>
        <w:ind w:left="1260" w:right="719" w:firstLine="648"/>
        <w:spacing w:after="0" w:line="259" w:lineRule="auto"/>
        <w:rPr>
          <w:sz w:val="20"/>
          <w:szCs w:val="20"/>
          <w:color w:val="auto"/>
        </w:rPr>
      </w:pPr>
      <w:r>
        <w:rPr>
          <w:rFonts w:ascii="Arial" w:cs="Arial" w:eastAsia="Arial" w:hAnsi="Arial"/>
          <w:sz w:val="18"/>
          <w:szCs w:val="18"/>
          <w:color w:val="auto"/>
        </w:rPr>
        <w:t>If dievini, KfW and/or a nomination concert loses the right to nominate one or more of our supervisory directors, as applicable, the supervisory director(s), so nominated, must promptly resign. A supervisory director nominated by a nomination concert must also promptly resign once that supervisory director is no longer independent from the nomination concert or our company.</w:t>
      </w:r>
    </w:p>
    <w:p>
      <w:pPr>
        <w:spacing w:after="0" w:line="119" w:lineRule="exact"/>
        <w:rPr>
          <w:sz w:val="20"/>
          <w:szCs w:val="20"/>
          <w:color w:val="auto"/>
        </w:rPr>
      </w:pPr>
    </w:p>
    <w:p>
      <w:pPr>
        <w:ind w:left="1260" w:right="439" w:firstLine="648"/>
        <w:spacing w:after="0" w:line="279" w:lineRule="auto"/>
        <w:rPr>
          <w:sz w:val="20"/>
          <w:szCs w:val="20"/>
          <w:color w:val="auto"/>
        </w:rPr>
      </w:pPr>
      <w:r>
        <w:rPr>
          <w:rFonts w:ascii="Arial" w:cs="Arial" w:eastAsia="Arial" w:hAnsi="Arial"/>
          <w:sz w:val="17"/>
          <w:szCs w:val="17"/>
          <w:color w:val="auto"/>
        </w:rPr>
        <w:t>Our supervisory board adopted a diversity policy for the composition of our management board and our supervisory board, as well as a profile for the composition of the supervisory board. The supervisory board shall make any nomination for the appointment of a managing director or supervisory director with due regard to the rules and principles set forth in such diversity policy and profile, as applicable.</w:t>
      </w:r>
    </w:p>
    <w:p>
      <w:pPr>
        <w:sectPr>
          <w:pgSz w:w="11900" w:h="16838" w:orient="portrait"/>
          <w:cols w:equalWidth="0" w:num="1">
            <w:col w:w="9879"/>
          </w:cols>
          <w:pgMar w:left="580" w:top="132" w:right="1440" w:bottom="1440" w:gutter="0" w:footer="0" w:header="0"/>
        </w:sectPr>
      </w:pPr>
    </w:p>
    <w:p>
      <w:pPr>
        <w:spacing w:after="0" w:line="34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286385</wp:posOffset>
            </wp:positionV>
            <wp:extent cx="6806565" cy="171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70" w:name="page271"/>
    <w:bookmarkEnd w:id="27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579" w:firstLine="648"/>
        <w:spacing w:after="0" w:line="248" w:lineRule="auto"/>
        <w:rPr>
          <w:sz w:val="20"/>
          <w:szCs w:val="20"/>
          <w:color w:val="auto"/>
        </w:rPr>
      </w:pPr>
      <w:r>
        <w:rPr>
          <w:rFonts w:ascii="Arial" w:cs="Arial" w:eastAsia="Arial" w:hAnsi="Arial"/>
          <w:sz w:val="18"/>
          <w:szCs w:val="18"/>
          <w:color w:val="auto"/>
        </w:rPr>
        <w:t>At a general meeting, a resolution to appoint a managing director or supervisory director can only be passed in respect of candidates whose names are stated for that purpose in the agenda of that general meeting or in the explanatory notes thereto.</w:t>
      </w:r>
    </w:p>
    <w:p>
      <w:pPr>
        <w:spacing w:after="0" w:line="114" w:lineRule="exact"/>
        <w:rPr>
          <w:sz w:val="20"/>
          <w:szCs w:val="20"/>
          <w:color w:val="auto"/>
        </w:rPr>
      </w:pPr>
    </w:p>
    <w:p>
      <w:pPr>
        <w:ind w:left="1260" w:right="439" w:firstLine="648"/>
        <w:spacing w:after="0" w:line="255" w:lineRule="auto"/>
        <w:rPr>
          <w:sz w:val="20"/>
          <w:szCs w:val="20"/>
          <w:color w:val="auto"/>
        </w:rPr>
      </w:pPr>
      <w:r>
        <w:rPr>
          <w:rFonts w:ascii="Arial" w:cs="Arial" w:eastAsia="Arial" w:hAnsi="Arial"/>
          <w:sz w:val="17"/>
          <w:szCs w:val="17"/>
          <w:color w:val="auto"/>
        </w:rPr>
        <w:t>Under Dutch law, when nominating a person for appointment or reappointment as a supervisory director, the nomination must be supported by reasons (if it concerns a reappointment, past performance must be taken into consideration) and the following information about such person must be provided: (i) age and profession; (ii) the aggregate nominal value of the shares held in the company’s capital; (iii) present and past positions, to the extent relevant for the performance of the tasks of a supervisory director; and (iv) the name of each entity where such person already holds a position as supervisory director or non-executive director (in case of multiple entities within the same group, the name of the group shall suffice).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Duties and Liabilities of Managing Directors and Supervisory Directors</w:t>
      </w:r>
    </w:p>
    <w:p>
      <w:pPr>
        <w:spacing w:after="0" w:line="158" w:lineRule="exact"/>
        <w:rPr>
          <w:sz w:val="20"/>
          <w:szCs w:val="20"/>
          <w:color w:val="auto"/>
        </w:rPr>
      </w:pPr>
    </w:p>
    <w:p>
      <w:pPr>
        <w:ind w:left="1260" w:right="499" w:firstLine="648"/>
        <w:spacing w:after="0" w:line="251" w:lineRule="auto"/>
        <w:rPr>
          <w:sz w:val="20"/>
          <w:szCs w:val="20"/>
          <w:color w:val="auto"/>
        </w:rPr>
      </w:pPr>
      <w:r>
        <w:rPr>
          <w:rFonts w:ascii="Arial" w:cs="Arial" w:eastAsia="Arial" w:hAnsi="Arial"/>
          <w:sz w:val="17"/>
          <w:szCs w:val="17"/>
          <w:color w:val="auto"/>
        </w:rPr>
        <w:t>Under Dutch law, the management board is charged with the management of the company, subject to the restrictions contained in our articles of association, and the supervisory board is charged with the supervision of the policy of the management board and the general course of affairs of the company and of the business connected with it. The managing directors may divide their tasks among themselves in or pursuant to the internal rules applicable to the management board. Each managing director and supervisory director has a statutory duty to act in the corporate interest of the company and its business. Under Dutch law, the corporate interest extends to the interests of all corporate stakeholders, such as shareholders, creditors, employees, customers and suppliers. The duty to act in the corporate interest of the company also applies in the event of a proposed sale or break- up of the company, provided that the circumstances generally dictate how such duty is to be applied and how the respective interests of various groups of stakeholders should be weighed. The supervisory board will also observe the corporate social responsibility issues that are relevant to us. Any resolution of the management board regarding a material change in our identity or character requires approval of the general meeting. In addition, for the duration of the initial approval period, the following additional resolutions of the management board will require approval of the general meeting and our supervisory board:</w:t>
      </w:r>
    </w:p>
    <w:p>
      <w:pPr>
        <w:spacing w:after="0" w:line="66" w:lineRule="exact"/>
        <w:rPr>
          <w:sz w:val="20"/>
          <w:szCs w:val="20"/>
          <w:color w:val="auto"/>
        </w:rPr>
      </w:pPr>
    </w:p>
    <w:p>
      <w:pPr>
        <w:ind w:left="2260" w:right="1059" w:hanging="352"/>
        <w:spacing w:after="0" w:line="277" w:lineRule="auto"/>
        <w:tabs>
          <w:tab w:leader="none" w:pos="22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transferring the tax domicile of CureVac N.V. and/or the approval of the transfer of the corporate or administrative seat of CureVac AG;</w:t>
      </w:r>
    </w:p>
    <w:p>
      <w:pPr>
        <w:spacing w:after="0" w:line="62" w:lineRule="exact"/>
        <w:rPr>
          <w:rFonts w:ascii="Arial" w:cs="Arial" w:eastAsia="Arial" w:hAnsi="Arial"/>
          <w:sz w:val="18"/>
          <w:szCs w:val="18"/>
          <w:color w:val="auto"/>
        </w:rPr>
      </w:pPr>
    </w:p>
    <w:p>
      <w:pPr>
        <w:ind w:left="2260" w:right="419" w:hanging="352"/>
        <w:spacing w:after="0" w:line="257" w:lineRule="auto"/>
        <w:tabs>
          <w:tab w:leader="none" w:pos="22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relocating or ceasing (including by way of disposal, demerger or similar transactions) activities in specified areas in or to a state outside the European Union, except to the extent our supervisory board considers such activities (in particular in the area of the development of vaccines) not to be material for the protection of the health of the population of the European Union;</w:t>
      </w:r>
    </w:p>
    <w:p>
      <w:pPr>
        <w:spacing w:after="0" w:line="79" w:lineRule="exact"/>
        <w:rPr>
          <w:rFonts w:ascii="Arial" w:cs="Arial" w:eastAsia="Arial" w:hAnsi="Arial"/>
          <w:sz w:val="18"/>
          <w:szCs w:val="18"/>
          <w:color w:val="auto"/>
        </w:rPr>
      </w:pPr>
    </w:p>
    <w:p>
      <w:pPr>
        <w:ind w:left="2260" w:right="539" w:hanging="352"/>
        <w:spacing w:after="0" w:line="263" w:lineRule="auto"/>
        <w:tabs>
          <w:tab w:leader="none" w:pos="22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entering into mergers, demergers and similar reorganizations and entering into acquisitions of businesses or participations, except to the extent our supervisory board considers such transactions not to be material;</w:t>
      </w:r>
    </w:p>
    <w:p>
      <w:pPr>
        <w:spacing w:after="0" w:line="75" w:lineRule="exact"/>
        <w:rPr>
          <w:rFonts w:ascii="Arial" w:cs="Arial" w:eastAsia="Arial" w:hAnsi="Arial"/>
          <w:sz w:val="18"/>
          <w:szCs w:val="18"/>
          <w:color w:val="auto"/>
        </w:rPr>
      </w:pPr>
    </w:p>
    <w:p>
      <w:pPr>
        <w:ind w:left="2260" w:right="639" w:hanging="352"/>
        <w:spacing w:after="0" w:line="277" w:lineRule="auto"/>
        <w:tabs>
          <w:tab w:leader="none" w:pos="22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amendments to the articles of association of CureVac AG which would affect these approval rights during the initial approval period; and</w:t>
      </w:r>
    </w:p>
    <w:p>
      <w:pPr>
        <w:spacing w:after="0" w:line="48" w:lineRule="exact"/>
        <w:rPr>
          <w:rFonts w:ascii="Arial" w:cs="Arial" w:eastAsia="Arial" w:hAnsi="Arial"/>
          <w:sz w:val="18"/>
          <w:szCs w:val="18"/>
          <w:color w:val="auto"/>
        </w:rPr>
      </w:pPr>
    </w:p>
    <w:p>
      <w:pPr>
        <w:ind w:left="2260" w:right="1079" w:hanging="352"/>
        <w:spacing w:after="0" w:line="277" w:lineRule="auto"/>
        <w:tabs>
          <w:tab w:leader="none" w:pos="22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exercise of voting rights in CureVac AG approving, directing or causing any of the foregoing matters.</w:t>
      </w:r>
    </w:p>
    <w:p>
      <w:pPr>
        <w:spacing w:after="0" w:line="103" w:lineRule="exact"/>
        <w:rPr>
          <w:sz w:val="20"/>
          <w:szCs w:val="20"/>
          <w:color w:val="auto"/>
        </w:rPr>
      </w:pPr>
    </w:p>
    <w:p>
      <w:pPr>
        <w:jc w:val="both"/>
        <w:ind w:left="1260" w:right="599" w:firstLine="648"/>
        <w:spacing w:after="0" w:line="248" w:lineRule="auto"/>
        <w:rPr>
          <w:sz w:val="20"/>
          <w:szCs w:val="20"/>
          <w:color w:val="auto"/>
        </w:rPr>
      </w:pPr>
      <w:r>
        <w:rPr>
          <w:rFonts w:ascii="Arial" w:cs="Arial" w:eastAsia="Arial" w:hAnsi="Arial"/>
          <w:sz w:val="18"/>
          <w:szCs w:val="18"/>
          <w:color w:val="auto"/>
        </w:rPr>
        <w:t>Our management board is entitled to represent the company. The power to represent the company also vests in the chief executive officer individually, as well as in any other two managing directors acting jointly.</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Dividends and Other Distributions</w:t>
      </w:r>
    </w:p>
    <w:p>
      <w:pPr>
        <w:spacing w:after="0" w:line="229"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Dividends</w:t>
      </w:r>
    </w:p>
    <w:p>
      <w:pPr>
        <w:spacing w:after="0" w:line="158" w:lineRule="exact"/>
        <w:rPr>
          <w:sz w:val="20"/>
          <w:szCs w:val="20"/>
          <w:color w:val="auto"/>
        </w:rPr>
      </w:pPr>
    </w:p>
    <w:p>
      <w:pPr>
        <w:ind w:left="1260" w:right="419" w:firstLine="648"/>
        <w:spacing w:after="0" w:line="270" w:lineRule="auto"/>
        <w:rPr>
          <w:sz w:val="20"/>
          <w:szCs w:val="20"/>
          <w:color w:val="auto"/>
        </w:rPr>
      </w:pPr>
      <w:r>
        <w:rPr>
          <w:rFonts w:ascii="Arial" w:cs="Arial" w:eastAsia="Arial" w:hAnsi="Arial"/>
          <w:sz w:val="17"/>
          <w:szCs w:val="17"/>
          <w:color w:val="auto"/>
        </w:rPr>
        <w:t>We may only make distributions, whether a distribution of profits or of freely distributable reserves, to our shareholders to the extent our shareholders’ equity (</w:t>
      </w:r>
      <w:r>
        <w:rPr>
          <w:rFonts w:ascii="Arial" w:cs="Arial" w:eastAsia="Arial" w:hAnsi="Arial"/>
          <w:sz w:val="17"/>
          <w:szCs w:val="17"/>
          <w:i w:val="1"/>
          <w:iCs w:val="1"/>
          <w:color w:val="auto"/>
        </w:rPr>
        <w:t>eigen vermogen</w:t>
      </w:r>
      <w:r>
        <w:rPr>
          <w:rFonts w:ascii="Arial" w:cs="Arial" w:eastAsia="Arial" w:hAnsi="Arial"/>
          <w:sz w:val="17"/>
          <w:szCs w:val="17"/>
          <w:color w:val="auto"/>
        </w:rPr>
        <w:t>) exceeds the sum of the paid-in and called-up share capital plus any reserves required by Dutch law or by our articles of association.</w:t>
      </w:r>
    </w:p>
    <w:p>
      <w:pPr>
        <w:spacing w:after="0" w:line="33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71" w:name="page272"/>
    <w:bookmarkEnd w:id="27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39"/>
        <w:spacing w:after="0" w:line="270" w:lineRule="auto"/>
        <w:rPr>
          <w:sz w:val="20"/>
          <w:szCs w:val="20"/>
          <w:color w:val="auto"/>
        </w:rPr>
      </w:pPr>
      <w:r>
        <w:rPr>
          <w:rFonts w:ascii="Arial" w:cs="Arial" w:eastAsia="Arial" w:hAnsi="Arial"/>
          <w:sz w:val="17"/>
          <w:szCs w:val="17"/>
          <w:color w:val="auto"/>
        </w:rPr>
        <w:t>Under our articles of association, our management board with the approval of our supervisory board may decide that all or part of the profits are carried to reserves. Before reservation of any profit, to the extent that preferred shares have been canceled and preferred distributions on those canceled shares are outstanding, the profits are first to be used to satisfy the outstanding claim to those who held those preferred shares at the moment of such cancellation becoming effective and subsequently if any preferred shares are outstanding, the preferred dividend is paid out on those preferred shares in accordance with our articles of association. The remaining profit will be at the disposal of the general meeting at the proposal of the management board for distribution on the common shares, subject to restrictions of Dutch law and approval by our supervisory board of such proposal of our management board.</w:t>
      </w:r>
    </w:p>
    <w:p>
      <w:pPr>
        <w:spacing w:after="0" w:line="113" w:lineRule="exact"/>
        <w:rPr>
          <w:sz w:val="20"/>
          <w:szCs w:val="20"/>
          <w:color w:val="auto"/>
        </w:rPr>
      </w:pPr>
    </w:p>
    <w:p>
      <w:pPr>
        <w:ind w:left="1260" w:right="679" w:firstLine="648"/>
        <w:spacing w:after="0" w:line="259" w:lineRule="auto"/>
        <w:rPr>
          <w:sz w:val="20"/>
          <w:szCs w:val="20"/>
          <w:color w:val="auto"/>
        </w:rPr>
      </w:pPr>
      <w:r>
        <w:rPr>
          <w:rFonts w:ascii="Arial" w:cs="Arial" w:eastAsia="Arial" w:hAnsi="Arial"/>
          <w:sz w:val="18"/>
          <w:szCs w:val="18"/>
          <w:color w:val="auto"/>
        </w:rPr>
        <w:t>We only make a distribution of dividends to our shareholders after the adoption of our annual accounts demonstrating that such distribution is legally permitted. The management board is permitted, subject to certain requirements, to declare interim dividends without the approval of the general meeting, but only with the approval of the supervisory board.</w:t>
      </w:r>
    </w:p>
    <w:p>
      <w:pPr>
        <w:spacing w:after="0" w:line="119" w:lineRule="exact"/>
        <w:rPr>
          <w:sz w:val="20"/>
          <w:szCs w:val="20"/>
          <w:color w:val="auto"/>
        </w:rPr>
      </w:pPr>
    </w:p>
    <w:p>
      <w:pPr>
        <w:ind w:left="1260" w:right="599" w:firstLine="648"/>
        <w:spacing w:after="0" w:line="259" w:lineRule="auto"/>
        <w:rPr>
          <w:sz w:val="20"/>
          <w:szCs w:val="20"/>
          <w:color w:val="auto"/>
        </w:rPr>
      </w:pPr>
      <w:r>
        <w:rPr>
          <w:rFonts w:ascii="Arial" w:cs="Arial" w:eastAsia="Arial" w:hAnsi="Arial"/>
          <w:sz w:val="18"/>
          <w:szCs w:val="18"/>
          <w:color w:val="auto"/>
        </w:rPr>
        <w:t>Dividends and other distributions shall be made payable not later than the date determined by the management board. Claims to dividends and other distributions not made within five years from the date that such dividends or distributions became payable will lapse and any such amounts will be considered to have been forfeited to us (</w:t>
      </w:r>
      <w:r>
        <w:rPr>
          <w:rFonts w:ascii="Arial" w:cs="Arial" w:eastAsia="Arial" w:hAnsi="Arial"/>
          <w:sz w:val="18"/>
          <w:szCs w:val="18"/>
          <w:i w:val="1"/>
          <w:iCs w:val="1"/>
          <w:color w:val="auto"/>
        </w:rPr>
        <w:t>verjaring</w:t>
      </w:r>
      <w:r>
        <w:rPr>
          <w:rFonts w:ascii="Arial" w:cs="Arial" w:eastAsia="Arial" w:hAnsi="Arial"/>
          <w:sz w:val="18"/>
          <w:szCs w:val="18"/>
          <w:color w:val="auto"/>
        </w:rPr>
        <w:t>).</w:t>
      </w:r>
    </w:p>
    <w:p>
      <w:pPr>
        <w:spacing w:after="0" w:line="187"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Exchange Controls</w:t>
      </w:r>
    </w:p>
    <w:p>
      <w:pPr>
        <w:spacing w:after="0" w:line="144" w:lineRule="exact"/>
        <w:rPr>
          <w:sz w:val="20"/>
          <w:szCs w:val="20"/>
          <w:color w:val="auto"/>
        </w:rPr>
      </w:pPr>
    </w:p>
    <w:p>
      <w:pPr>
        <w:ind w:left="1260" w:right="459" w:firstLine="648"/>
        <w:spacing w:after="0" w:line="254" w:lineRule="auto"/>
        <w:rPr>
          <w:sz w:val="20"/>
          <w:szCs w:val="20"/>
          <w:color w:val="auto"/>
        </w:rPr>
      </w:pPr>
      <w:r>
        <w:rPr>
          <w:rFonts w:ascii="Arial" w:cs="Arial" w:eastAsia="Arial" w:hAnsi="Arial"/>
          <w:sz w:val="18"/>
          <w:szCs w:val="18"/>
          <w:color w:val="auto"/>
        </w:rPr>
        <w:t>Under Dutch law, there are no exchange controls applicable to the transfer to persons outside of the Netherlands of dividends or other distributions with respect to, or of the proceeds from the sale of, shares of a Dutch company, subject to applicable restrictions under sanctions and measures, including those concerning export control, pursuant to European Union regulations, the Sanctions Act 1977 (</w:t>
      </w:r>
      <w:r>
        <w:rPr>
          <w:rFonts w:ascii="Arial" w:cs="Arial" w:eastAsia="Arial" w:hAnsi="Arial"/>
          <w:sz w:val="18"/>
          <w:szCs w:val="18"/>
          <w:i w:val="1"/>
          <w:iCs w:val="1"/>
          <w:color w:val="auto"/>
        </w:rPr>
        <w:t>Sanctiewet</w:t>
      </w:r>
      <w:r>
        <w:rPr>
          <w:rFonts w:ascii="Arial" w:cs="Arial" w:eastAsia="Arial" w:hAnsi="Arial"/>
          <w:sz w:val="18"/>
          <w:szCs w:val="18"/>
          <w:color w:val="auto"/>
        </w:rPr>
        <w:t xml:space="preserve"> </w:t>
      </w:r>
      <w:r>
        <w:rPr>
          <w:rFonts w:ascii="Arial" w:cs="Arial" w:eastAsia="Arial" w:hAnsi="Arial"/>
          <w:sz w:val="18"/>
          <w:szCs w:val="18"/>
          <w:i w:val="1"/>
          <w:iCs w:val="1"/>
          <w:color w:val="auto"/>
        </w:rPr>
        <w:t>1977</w:t>
      </w:r>
      <w:r>
        <w:rPr>
          <w:rFonts w:ascii="Arial" w:cs="Arial" w:eastAsia="Arial" w:hAnsi="Arial"/>
          <w:sz w:val="18"/>
          <w:szCs w:val="18"/>
          <w:color w:val="auto"/>
        </w:rPr>
        <w:t>) or other legislation, applicable anti-boycott regulations and similar rules. There are no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in the articles of association or Dutch law that limit the right of shareholders who are not citizens or residents of the Netherlands to hold or vote shares.</w:t>
      </w:r>
    </w:p>
    <w:p>
      <w:pPr>
        <w:spacing w:after="0" w:line="195"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Squeeze-Out Procedures</w:t>
      </w:r>
    </w:p>
    <w:p>
      <w:pPr>
        <w:spacing w:after="0" w:line="158" w:lineRule="exact"/>
        <w:rPr>
          <w:sz w:val="20"/>
          <w:szCs w:val="20"/>
          <w:color w:val="auto"/>
        </w:rPr>
      </w:pPr>
    </w:p>
    <w:p>
      <w:pPr>
        <w:ind w:left="1260" w:right="439" w:firstLine="648"/>
        <w:spacing w:after="0" w:line="268" w:lineRule="auto"/>
        <w:rPr>
          <w:sz w:val="20"/>
          <w:szCs w:val="20"/>
          <w:color w:val="auto"/>
        </w:rPr>
      </w:pPr>
      <w:r>
        <w:rPr>
          <w:rFonts w:ascii="Arial" w:cs="Arial" w:eastAsia="Arial" w:hAnsi="Arial"/>
          <w:sz w:val="17"/>
          <w:szCs w:val="17"/>
          <w:color w:val="auto"/>
        </w:rPr>
        <w:t>Pursuant to Section 2:92a of the Dutch Civil Code, a shareholder who holds at least 95% of our issued share capital for his or her own account, alone or together with group companies, may initiate proceedings against the other shareholders jointly for the transfer of their shares to such shareholder. The proceedings are held before the Enterprise Chamber of the Amsterdam Court of Appeal, or the Enterprise Chamber (</w:t>
      </w:r>
      <w:r>
        <w:rPr>
          <w:rFonts w:ascii="Arial" w:cs="Arial" w:eastAsia="Arial" w:hAnsi="Arial"/>
          <w:sz w:val="17"/>
          <w:szCs w:val="17"/>
          <w:i w:val="1"/>
          <w:iCs w:val="1"/>
          <w:color w:val="auto"/>
        </w:rPr>
        <w:t>Ondernemingskamer</w:t>
      </w:r>
      <w:r>
        <w:rPr>
          <w:rFonts w:ascii="Arial" w:cs="Arial" w:eastAsia="Arial" w:hAnsi="Arial"/>
          <w:sz w:val="17"/>
          <w:szCs w:val="17"/>
          <w:color w:val="auto"/>
        </w:rPr>
        <w:t>), and can be instituted by means of a writ of summons served upon each of the other shareholders in accordance with the provisions of the Dutch Code of Civil Procedure (</w:t>
      </w:r>
      <w:r>
        <w:rPr>
          <w:rFonts w:ascii="Arial" w:cs="Arial" w:eastAsia="Arial" w:hAnsi="Arial"/>
          <w:sz w:val="17"/>
          <w:szCs w:val="17"/>
          <w:i w:val="1"/>
          <w:iCs w:val="1"/>
          <w:color w:val="auto"/>
        </w:rPr>
        <w:t>Wetboek van</w:t>
      </w:r>
      <w:r>
        <w:rPr>
          <w:rFonts w:ascii="Arial" w:cs="Arial" w:eastAsia="Arial" w:hAnsi="Arial"/>
          <w:sz w:val="17"/>
          <w:szCs w:val="17"/>
          <w:color w:val="auto"/>
        </w:rPr>
        <w:t xml:space="preserve"> </w:t>
      </w:r>
      <w:r>
        <w:rPr>
          <w:rFonts w:ascii="Arial" w:cs="Arial" w:eastAsia="Arial" w:hAnsi="Arial"/>
          <w:sz w:val="17"/>
          <w:szCs w:val="17"/>
          <w:i w:val="1"/>
          <w:iCs w:val="1"/>
          <w:color w:val="auto"/>
        </w:rPr>
        <w:t>Burgerlijke Rechtsvordering</w:t>
      </w:r>
      <w:r>
        <w:rPr>
          <w:rFonts w:ascii="Arial" w:cs="Arial" w:eastAsia="Arial" w:hAnsi="Arial"/>
          <w:sz w:val="17"/>
          <w:szCs w:val="17"/>
          <w:color w:val="auto"/>
        </w:rPr>
        <w:t>). The Enterprise Chamber may grant the claim for squeeze-out in relation to</w:t>
      </w:r>
      <w:r>
        <w:rPr>
          <w:rFonts w:ascii="Arial" w:cs="Arial" w:eastAsia="Arial" w:hAnsi="Arial"/>
          <w:sz w:val="17"/>
          <w:szCs w:val="17"/>
          <w:i w:val="1"/>
          <w:iCs w:val="1"/>
          <w:color w:val="auto"/>
        </w:rPr>
        <w:t xml:space="preserve"> </w:t>
      </w:r>
      <w:r>
        <w:rPr>
          <w:rFonts w:ascii="Arial" w:cs="Arial" w:eastAsia="Arial" w:hAnsi="Arial"/>
          <w:sz w:val="17"/>
          <w:szCs w:val="17"/>
          <w:color w:val="auto"/>
        </w:rPr>
        <w:t>the other shareholders and will determine the price to be paid for the shares, if necessary, after appointment of one or three experts who will offer an opinion to the Enterprise Chamber on the value to be paid for the shares of the other shareholders. Once the order to transfer becomes final before the Enterprise Chamber, the person acquiring the shares shall give written notice of the date and place of payment and the price to the holders of the shares to be acquired whose addresses are known to him. Unless the addresses of all of them are known to the acquiring person, such person is required to publish the same in a daily newspaper with a national circulation.</w:t>
      </w:r>
    </w:p>
    <w:p>
      <w:pPr>
        <w:spacing w:after="0" w:line="184"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Dissolution and Liquidation</w:t>
      </w:r>
    </w:p>
    <w:p>
      <w:pPr>
        <w:spacing w:after="0" w:line="158" w:lineRule="exact"/>
        <w:rPr>
          <w:sz w:val="20"/>
          <w:szCs w:val="20"/>
          <w:color w:val="auto"/>
        </w:rPr>
      </w:pPr>
    </w:p>
    <w:p>
      <w:pPr>
        <w:ind w:left="1260" w:right="439" w:firstLine="648"/>
        <w:spacing w:after="0" w:line="254" w:lineRule="auto"/>
        <w:rPr>
          <w:sz w:val="20"/>
          <w:szCs w:val="20"/>
          <w:color w:val="auto"/>
        </w:rPr>
      </w:pPr>
      <w:r>
        <w:rPr>
          <w:rFonts w:ascii="Arial" w:cs="Arial" w:eastAsia="Arial" w:hAnsi="Arial"/>
          <w:sz w:val="18"/>
          <w:szCs w:val="18"/>
          <w:color w:val="auto"/>
        </w:rPr>
        <w:t>Under our articles of association, we may be dissolved by a resolution of the general meeting, subject to a proposal of the management board approved by our supervisory board. In the event of a dissolution, the liquidation shall be effected by the management board, under supervision of our supervisory board, unless the general meeting decides otherwise. During liquidation, the provisions of our articles of association will remain in force as far as possible. To the extent that any assets remain after payment of all debts, if any preferred shares are outstanding, the preferred dividend is first paid out on those preferred shares in accordance with our articles of association. Any remaining assets shall be distributed to the holders of common shares in proportion of their number of shares.</w:t>
      </w:r>
    </w:p>
    <w:p>
      <w:pPr>
        <w:sectPr>
          <w:pgSz w:w="11900" w:h="16838" w:orient="portrait"/>
          <w:cols w:equalWidth="0" w:num="1">
            <w:col w:w="9879"/>
          </w:cols>
          <w:pgMar w:left="580" w:top="132" w:right="1440" w:bottom="1440" w:gutter="0" w:footer="0" w:header="0"/>
        </w:sectPr>
      </w:pP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72" w:name="page273"/>
    <w:bookmarkEnd w:id="27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Dutch Corporate Governance Code</w:t>
      </w:r>
    </w:p>
    <w:p>
      <w:pPr>
        <w:spacing w:after="0" w:line="162" w:lineRule="exact"/>
        <w:rPr>
          <w:sz w:val="20"/>
          <w:szCs w:val="20"/>
          <w:color w:val="auto"/>
        </w:rPr>
      </w:pPr>
    </w:p>
    <w:p>
      <w:pPr>
        <w:ind w:left="1260" w:right="499" w:firstLine="648"/>
        <w:spacing w:after="0" w:line="270" w:lineRule="auto"/>
        <w:rPr>
          <w:sz w:val="20"/>
          <w:szCs w:val="20"/>
          <w:color w:val="auto"/>
        </w:rPr>
      </w:pPr>
      <w:r>
        <w:rPr>
          <w:rFonts w:ascii="Arial" w:cs="Arial" w:eastAsia="Arial" w:hAnsi="Arial"/>
          <w:sz w:val="17"/>
          <w:szCs w:val="17"/>
          <w:color w:val="auto"/>
        </w:rPr>
        <w:t>As a listed Dutch public company (</w:t>
      </w:r>
      <w:r>
        <w:rPr>
          <w:rFonts w:ascii="Arial" w:cs="Arial" w:eastAsia="Arial" w:hAnsi="Arial"/>
          <w:sz w:val="17"/>
          <w:szCs w:val="17"/>
          <w:i w:val="1"/>
          <w:iCs w:val="1"/>
          <w:color w:val="auto"/>
        </w:rPr>
        <w:t>naamloze vennootschap</w:t>
      </w:r>
      <w:r>
        <w:rPr>
          <w:rFonts w:ascii="Arial" w:cs="Arial" w:eastAsia="Arial" w:hAnsi="Arial"/>
          <w:sz w:val="17"/>
          <w:szCs w:val="17"/>
          <w:color w:val="auto"/>
        </w:rPr>
        <w:t>), we are subject to the DCGC. The DCGC contains both principles and best practice provisions on corporate governance that regulate relations between the management board, the supervisory board and the general meeting and matters in respect of financial reporting, auditors, disclosure, compliance and enforcement standards. The DCGC is based on a “comply or explain” principle. Accordingly, companies are required to disclose in their statutory annual reports, filed in the Netherlands, whether they comply with the provisions of the DCGC. If they do not comply with these provisions (for example, because of a conflicting Nasdaq requirement), the company is required to give the reasons for such noncompliance. See “Risk factors — we are not obligated to, and do not, comply with all best practice provisions of the Dutch Corporate Governance Code.”</w:t>
      </w:r>
    </w:p>
    <w:p>
      <w:pPr>
        <w:spacing w:after="0" w:line="113" w:lineRule="exact"/>
        <w:rPr>
          <w:sz w:val="20"/>
          <w:szCs w:val="20"/>
          <w:color w:val="auto"/>
        </w:rPr>
      </w:pPr>
    </w:p>
    <w:p>
      <w:pPr>
        <w:ind w:left="1260" w:right="499" w:firstLine="648"/>
        <w:spacing w:after="0" w:line="259" w:lineRule="auto"/>
        <w:rPr>
          <w:sz w:val="20"/>
          <w:szCs w:val="20"/>
          <w:color w:val="auto"/>
        </w:rPr>
      </w:pPr>
      <w:r>
        <w:rPr>
          <w:rFonts w:ascii="Arial" w:cs="Arial" w:eastAsia="Arial" w:hAnsi="Arial"/>
          <w:sz w:val="18"/>
          <w:szCs w:val="18"/>
          <w:color w:val="auto"/>
        </w:rPr>
        <w:t>We do not comply with all principles and best practice provisions of the DCGC. As of the date of this prospectus, we deviate from the DCGC as summarized below, but cannot exclude the possibility of deviating from additional provisions of the DCGC, including after the date hereof in order to follow market practice or governance practices in the United States.</w:t>
      </w:r>
    </w:p>
    <w:p>
      <w:pPr>
        <w:spacing w:after="0" w:line="106" w:lineRule="exact"/>
        <w:rPr>
          <w:sz w:val="20"/>
          <w:szCs w:val="20"/>
          <w:color w:val="auto"/>
        </w:rPr>
      </w:pPr>
    </w:p>
    <w:p>
      <w:pPr>
        <w:ind w:left="1260" w:right="439" w:firstLine="648"/>
        <w:spacing w:after="0" w:line="270" w:lineRule="auto"/>
        <w:rPr>
          <w:sz w:val="20"/>
          <w:szCs w:val="20"/>
          <w:color w:val="auto"/>
        </w:rPr>
      </w:pPr>
      <w:r>
        <w:rPr>
          <w:rFonts w:ascii="Arial" w:cs="Arial" w:eastAsia="Arial" w:hAnsi="Arial"/>
          <w:sz w:val="17"/>
          <w:szCs w:val="17"/>
          <w:color w:val="auto"/>
        </w:rPr>
        <w:t>Under our articles of association, managing directors and supervisory directors can only be dismissed by the general meeting by simple majority, if the supervisory board or, with respect to supervisory directors nominated by dievini or KfW, by dievini (or its legal successor or permitted assigns under the KfW dievini Shareholders’ Agreement) during the nomination period for dievini or by KfW (or its legal successors or permitted assigns under the KfW dievini Shareholders’ Agreement) during the nomination period for KfW, respectively, proposes the dismissal. In other cases, the general meeting can only pass such resolution by a two-thirds majority representing at least half of the issued share capital. The DCGC recommends that the general meeting can pass a resolution to dismiss a managing director or supervisory director by simple majority, representing no more than one-third of the issued share capital.</w:t>
      </w:r>
    </w:p>
    <w:p>
      <w:pPr>
        <w:spacing w:after="0" w:line="113" w:lineRule="exact"/>
        <w:rPr>
          <w:sz w:val="20"/>
          <w:szCs w:val="20"/>
          <w:color w:val="auto"/>
        </w:rPr>
      </w:pPr>
    </w:p>
    <w:p>
      <w:pPr>
        <w:ind w:left="1260" w:right="459" w:firstLine="648"/>
        <w:spacing w:after="0" w:line="271" w:lineRule="auto"/>
        <w:rPr>
          <w:sz w:val="20"/>
          <w:szCs w:val="20"/>
          <w:color w:val="auto"/>
        </w:rPr>
      </w:pPr>
      <w:r>
        <w:rPr>
          <w:rFonts w:ascii="Arial" w:cs="Arial" w:eastAsia="Arial" w:hAnsi="Arial"/>
          <w:sz w:val="17"/>
          <w:szCs w:val="17"/>
          <w:color w:val="auto"/>
        </w:rPr>
        <w:t>The DCGC recommends that, for each shareholder or group of affiliated shareholders, who directly or indirectly hold more than ten percent of our issued share capital, there should be no more than one member of our supervisory board who is affiliated with that shareholder or group of shareholders. During the initial nomination period, dievini (or its legal successor or permitted assigns under the KfW dievini Shareholders’ Agreement) has the right under our articles of association to make a binding nomination for one or more supervisory directors, depending on its shareholding at that time (see above under “Appointment of Managing Directors and Supervisory Directors”) who may be affiliated with dievini. As of the date of this prospectus, two members of our supervisory board are affiliated with dievini.</w:t>
      </w:r>
    </w:p>
    <w:p>
      <w:pPr>
        <w:spacing w:after="0" w:line="111" w:lineRule="exact"/>
        <w:rPr>
          <w:sz w:val="20"/>
          <w:szCs w:val="20"/>
          <w:color w:val="auto"/>
        </w:rPr>
      </w:pPr>
    </w:p>
    <w:p>
      <w:pPr>
        <w:ind w:left="1260" w:right="499" w:firstLine="648"/>
        <w:spacing w:after="0" w:line="257" w:lineRule="auto"/>
        <w:rPr>
          <w:sz w:val="20"/>
          <w:szCs w:val="20"/>
          <w:color w:val="auto"/>
        </w:rPr>
      </w:pPr>
      <w:r>
        <w:rPr>
          <w:rFonts w:ascii="Arial" w:cs="Arial" w:eastAsia="Arial" w:hAnsi="Arial"/>
          <w:sz w:val="18"/>
          <w:szCs w:val="18"/>
          <w:color w:val="auto"/>
        </w:rPr>
        <w:t>The DCGC recommends that more than half of the members of our compensation committee and our nomination and corporate governance committee be independent within the meaning of the DCGC. As of the date of this prospectus, more than half of the members of our compensation committee and our nomination and corporate governance committee are not independent within the meaning of the DCGC (see “Management — Committees”).</w:t>
      </w:r>
    </w:p>
    <w:p>
      <w:pPr>
        <w:spacing w:after="0" w:line="107" w:lineRule="exact"/>
        <w:rPr>
          <w:sz w:val="20"/>
          <w:szCs w:val="20"/>
          <w:color w:val="auto"/>
        </w:rPr>
      </w:pPr>
    </w:p>
    <w:p>
      <w:pPr>
        <w:ind w:left="1260" w:right="599" w:firstLine="648"/>
        <w:spacing w:after="0" w:line="263" w:lineRule="auto"/>
        <w:rPr>
          <w:sz w:val="20"/>
          <w:szCs w:val="20"/>
          <w:color w:val="auto"/>
        </w:rPr>
      </w:pPr>
      <w:r>
        <w:rPr>
          <w:rFonts w:ascii="Arial" w:cs="Arial" w:eastAsia="Arial" w:hAnsi="Arial"/>
          <w:sz w:val="18"/>
          <w:szCs w:val="18"/>
          <w:color w:val="auto"/>
        </w:rPr>
        <w:t>The DCGC recommends against providing equity awards as part of the compensation of a supervisory director. However, we expect to deviate from this recommendation and grant equity awards to our supervisory directors, consistent with U.S. market practice.</w:t>
      </w:r>
    </w:p>
    <w:p>
      <w:pPr>
        <w:spacing w:after="0" w:line="116" w:lineRule="exact"/>
        <w:rPr>
          <w:sz w:val="20"/>
          <w:szCs w:val="20"/>
          <w:color w:val="auto"/>
        </w:rPr>
      </w:pPr>
    </w:p>
    <w:p>
      <w:pPr>
        <w:ind w:left="1260" w:right="579" w:firstLine="648"/>
        <w:spacing w:after="0" w:line="257" w:lineRule="auto"/>
        <w:rPr>
          <w:sz w:val="20"/>
          <w:szCs w:val="20"/>
          <w:color w:val="auto"/>
        </w:rPr>
      </w:pPr>
      <w:r>
        <w:rPr>
          <w:rFonts w:ascii="Arial" w:cs="Arial" w:eastAsia="Arial" w:hAnsi="Arial"/>
          <w:sz w:val="18"/>
          <w:szCs w:val="18"/>
          <w:color w:val="auto"/>
        </w:rPr>
        <w:t>Our Plan allows us to set the terms and conditions of equity awards granted thereunder. Under the Plan, we may grant common shares that are not subject to a lock-up period of at least five years after the date of grant, and we may grant options without restricting the exercisability of those options during the first three years after the date of grant. In those cases, this would cause additional deviations from the DCGC.</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Dutch Financial Reporting Supervision Act</w:t>
      </w:r>
    </w:p>
    <w:p>
      <w:pPr>
        <w:spacing w:after="0" w:line="162" w:lineRule="exact"/>
        <w:rPr>
          <w:sz w:val="20"/>
          <w:szCs w:val="20"/>
          <w:color w:val="auto"/>
        </w:rPr>
      </w:pPr>
    </w:p>
    <w:p>
      <w:pPr>
        <w:ind w:left="1260" w:right="459" w:firstLine="648"/>
        <w:spacing w:after="0" w:line="259" w:lineRule="auto"/>
        <w:rPr>
          <w:sz w:val="20"/>
          <w:szCs w:val="20"/>
          <w:color w:val="auto"/>
        </w:rPr>
      </w:pPr>
      <w:r>
        <w:rPr>
          <w:rFonts w:ascii="Arial" w:cs="Arial" w:eastAsia="Arial" w:hAnsi="Arial"/>
          <w:sz w:val="18"/>
          <w:szCs w:val="18"/>
          <w:color w:val="auto"/>
        </w:rPr>
        <w:t>On the basis of the Dutch Financial Reporting Supervision Act (</w:t>
      </w:r>
      <w:r>
        <w:rPr>
          <w:rFonts w:ascii="Arial" w:cs="Arial" w:eastAsia="Arial" w:hAnsi="Arial"/>
          <w:sz w:val="18"/>
          <w:szCs w:val="18"/>
          <w:i w:val="1"/>
          <w:iCs w:val="1"/>
          <w:color w:val="auto"/>
        </w:rPr>
        <w:t>Wet toezicht financiële</w:t>
      </w:r>
      <w:r>
        <w:rPr>
          <w:rFonts w:ascii="Arial" w:cs="Arial" w:eastAsia="Arial" w:hAnsi="Arial"/>
          <w:sz w:val="18"/>
          <w:szCs w:val="18"/>
          <w:color w:val="auto"/>
        </w:rPr>
        <w:t xml:space="preserve"> </w:t>
      </w:r>
      <w:r>
        <w:rPr>
          <w:rFonts w:ascii="Arial" w:cs="Arial" w:eastAsia="Arial" w:hAnsi="Arial"/>
          <w:sz w:val="18"/>
          <w:szCs w:val="18"/>
          <w:i w:val="1"/>
          <w:iCs w:val="1"/>
          <w:color w:val="auto"/>
        </w:rPr>
        <w:t>verslaggeving</w:t>
      </w:r>
      <w:r>
        <w:rPr>
          <w:rFonts w:ascii="Arial" w:cs="Arial" w:eastAsia="Arial" w:hAnsi="Arial"/>
          <w:sz w:val="18"/>
          <w:szCs w:val="18"/>
          <w:color w:val="auto"/>
        </w:rPr>
        <w:t>), or the FRSA, the Dutch Authority for the Financial Markets (</w:t>
      </w:r>
      <w:r>
        <w:rPr>
          <w:rFonts w:ascii="Arial" w:cs="Arial" w:eastAsia="Arial" w:hAnsi="Arial"/>
          <w:sz w:val="18"/>
          <w:szCs w:val="18"/>
          <w:i w:val="1"/>
          <w:iCs w:val="1"/>
          <w:color w:val="auto"/>
        </w:rPr>
        <w:t>Stichting Autoriteit Financiële Markten</w:t>
      </w:r>
      <w:r>
        <w:rPr>
          <w:rFonts w:ascii="Arial" w:cs="Arial" w:eastAsia="Arial" w:hAnsi="Arial"/>
          <w:sz w:val="18"/>
          <w:szCs w:val="18"/>
          <w:color w:val="auto"/>
        </w:rPr>
        <w:t>), or AFM, supervises the application of financial reporting standards by Dutch companies whose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are listed on a Dutch or foreign stock exchange.</w:t>
      </w:r>
    </w:p>
    <w:p>
      <w:pPr>
        <w:sectPr>
          <w:pgSz w:w="11900" w:h="16838" w:orient="portrait"/>
          <w:cols w:equalWidth="0" w:num="1">
            <w:col w:w="9879"/>
          </w:cols>
          <w:pgMar w:left="580" w:top="132" w:right="1440" w:bottom="1440" w:gutter="0" w:footer="0" w:header="0"/>
        </w:sectPr>
      </w:pP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73" w:name="page274"/>
    <w:bookmarkEnd w:id="27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39" w:firstLine="648"/>
        <w:spacing w:after="0" w:line="271" w:lineRule="auto"/>
        <w:rPr>
          <w:sz w:val="20"/>
          <w:szCs w:val="20"/>
          <w:color w:val="auto"/>
        </w:rPr>
      </w:pPr>
      <w:r>
        <w:rPr>
          <w:rFonts w:ascii="Arial" w:cs="Arial" w:eastAsia="Arial" w:hAnsi="Arial"/>
          <w:sz w:val="17"/>
          <w:szCs w:val="17"/>
          <w:color w:val="auto"/>
        </w:rPr>
        <w:t>Pursuant to the FRSA, the AFM has an independent right to (i) request an explanation from us regarding our application of the applicable financial reporting standards if, based on publicly known facts or circumstances, it has reason to doubt that the company’s financial reporting meets such standards and</w:t>
      </w:r>
    </w:p>
    <w:p>
      <w:pPr>
        <w:jc w:val="both"/>
        <w:ind w:left="1260" w:right="539"/>
        <w:spacing w:after="0" w:line="265" w:lineRule="auto"/>
        <w:tabs>
          <w:tab w:leader="none" w:pos="1543" w:val="left"/>
        </w:tabs>
        <w:numPr>
          <w:ilvl w:val="0"/>
          <w:numId w:val="166"/>
        </w:numPr>
        <w:rPr>
          <w:rFonts w:ascii="Arial" w:cs="Arial" w:eastAsia="Arial" w:hAnsi="Arial"/>
          <w:sz w:val="17"/>
          <w:szCs w:val="17"/>
          <w:color w:val="auto"/>
        </w:rPr>
      </w:pPr>
      <w:r>
        <w:rPr>
          <w:rFonts w:ascii="Arial" w:cs="Arial" w:eastAsia="Arial" w:hAnsi="Arial"/>
          <w:sz w:val="17"/>
          <w:szCs w:val="17"/>
          <w:color w:val="auto"/>
        </w:rPr>
        <w:t>recommend to us the making available of further explanations. If we do not comply with such a request or recommendation, the AFM may request that the Enterprise Chamber of the Amsterdam Court of Appeal (</w:t>
      </w:r>
      <w:r>
        <w:rPr>
          <w:rFonts w:ascii="Arial" w:cs="Arial" w:eastAsia="Arial" w:hAnsi="Arial"/>
          <w:sz w:val="17"/>
          <w:szCs w:val="17"/>
          <w:i w:val="1"/>
          <w:iCs w:val="1"/>
          <w:color w:val="auto"/>
        </w:rPr>
        <w:t>Ondernemingskamer</w:t>
      </w:r>
      <w:r>
        <w:rPr>
          <w:rFonts w:ascii="Arial" w:cs="Arial" w:eastAsia="Arial" w:hAnsi="Arial"/>
          <w:sz w:val="17"/>
          <w:szCs w:val="17"/>
          <w:color w:val="auto"/>
        </w:rPr>
        <w:t>) order us to (i) make available further explanations as recommended by the AFM,</w:t>
      </w:r>
    </w:p>
    <w:p>
      <w:pPr>
        <w:ind w:left="1260" w:right="459"/>
        <w:spacing w:after="0" w:line="255" w:lineRule="auto"/>
        <w:tabs>
          <w:tab w:leader="none" w:pos="1543" w:val="left"/>
        </w:tabs>
        <w:numPr>
          <w:ilvl w:val="0"/>
          <w:numId w:val="167"/>
        </w:numPr>
        <w:rPr>
          <w:rFonts w:ascii="Arial" w:cs="Arial" w:eastAsia="Arial" w:hAnsi="Arial"/>
          <w:sz w:val="18"/>
          <w:szCs w:val="18"/>
          <w:color w:val="auto"/>
        </w:rPr>
      </w:pPr>
      <w:r>
        <w:rPr>
          <w:rFonts w:ascii="Arial" w:cs="Arial" w:eastAsia="Arial" w:hAnsi="Arial"/>
          <w:sz w:val="18"/>
          <w:szCs w:val="18"/>
          <w:color w:val="auto"/>
        </w:rPr>
        <w:t>provide an explanation of the way we have applied the applicable financial reporting standards to our financial reports or (iii) prepare or restate our financial reports in accordance with the Enterprise Chamber’s orders.</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Foreign Investment Legislation</w:t>
      </w:r>
    </w:p>
    <w:p>
      <w:pPr>
        <w:spacing w:after="0" w:line="162" w:lineRule="exact"/>
        <w:rPr>
          <w:sz w:val="20"/>
          <w:szCs w:val="20"/>
          <w:color w:val="auto"/>
        </w:rPr>
      </w:pPr>
    </w:p>
    <w:p>
      <w:pPr>
        <w:ind w:left="1260" w:right="459" w:firstLine="648"/>
        <w:spacing w:after="0" w:line="272" w:lineRule="auto"/>
        <w:rPr>
          <w:sz w:val="20"/>
          <w:szCs w:val="20"/>
          <w:color w:val="auto"/>
        </w:rPr>
      </w:pPr>
      <w:r>
        <w:rPr>
          <w:rFonts w:ascii="Arial" w:cs="Arial" w:eastAsia="Arial" w:hAnsi="Arial"/>
          <w:sz w:val="17"/>
          <w:szCs w:val="17"/>
          <w:color w:val="auto"/>
        </w:rPr>
        <w:t>Under existing laws of the Netherlands, there are no exchange controls applicable to the transfer to persons outside of the Netherlands of dividends or other distributions with respect to, or of the proceeds from the sale of, shares of a Dutch company, subject to applicable restrictions under sanctions and measures, including those concerning export control, pursuant to European Union regulations, the Sanctions Act 1977 (</w:t>
      </w:r>
      <w:r>
        <w:rPr>
          <w:rFonts w:ascii="Arial" w:cs="Arial" w:eastAsia="Arial" w:hAnsi="Arial"/>
          <w:sz w:val="17"/>
          <w:szCs w:val="17"/>
          <w:i w:val="1"/>
          <w:iCs w:val="1"/>
          <w:color w:val="auto"/>
        </w:rPr>
        <w:t>Sanctiewet 1977</w:t>
      </w:r>
      <w:r>
        <w:rPr>
          <w:rFonts w:ascii="Arial" w:cs="Arial" w:eastAsia="Arial" w:hAnsi="Arial"/>
          <w:sz w:val="17"/>
          <w:szCs w:val="17"/>
          <w:color w:val="auto"/>
        </w:rPr>
        <w:t>) or other legislation, applicable anti-boycott regulations and similar rules. There are no special restrictions in the articles of association or Dutch law that limit the right of shareholders who are not citizens or residents of the Netherlands to hold or vote shares.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Listing</w:t>
      </w:r>
    </w:p>
    <w:p>
      <w:pPr>
        <w:spacing w:after="0" w:line="16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Our common shares are listed on Nasdaq under the symbol “CVAC.”</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 Agent and Registrar</w:t>
      </w:r>
    </w:p>
    <w:p>
      <w:pPr>
        <w:spacing w:after="0" w:line="148"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Our transfer agent and registrar for the common shares is American Stock and Transfer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74" w:name="page275"/>
    <w:bookmarkEnd w:id="27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COMPARISON OF DUTCH CORPORATE LAW AND U.S. CORPORATE LAW</w:t>
      </w:r>
    </w:p>
    <w:p>
      <w:pPr>
        <w:spacing w:after="0" w:line="162" w:lineRule="exact"/>
        <w:rPr>
          <w:sz w:val="20"/>
          <w:szCs w:val="20"/>
          <w:color w:val="auto"/>
        </w:rPr>
      </w:pPr>
    </w:p>
    <w:p>
      <w:pPr>
        <w:ind w:left="1260" w:right="459" w:firstLine="648"/>
        <w:spacing w:after="0" w:line="275" w:lineRule="auto"/>
        <w:rPr>
          <w:sz w:val="20"/>
          <w:szCs w:val="20"/>
          <w:color w:val="auto"/>
        </w:rPr>
      </w:pPr>
      <w:r>
        <w:rPr>
          <w:rFonts w:ascii="Arial" w:cs="Arial" w:eastAsia="Arial" w:hAnsi="Arial"/>
          <w:sz w:val="17"/>
          <w:szCs w:val="17"/>
          <w:color w:val="auto"/>
        </w:rPr>
        <w:t>The following comparison between Dutch corporate law, which applies to us, and Delaware corporation law, the law under which many publicly listed corporations in the United States are incorporated, discusses additional matters not otherwise described in this prospectus. Although we believe this summary is materially accurate, the summary is subject to Dutch law, including Book 2 of the Dutch Civil Code and the DCGC and Delaware corporation law, including the Delaware General Corporation Law.</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Corporate Governance</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Duties of Managing and Supervisory Directors</w:t>
      </w:r>
    </w:p>
    <w:p>
      <w:pPr>
        <w:spacing w:after="0" w:line="158" w:lineRule="exact"/>
        <w:rPr>
          <w:sz w:val="20"/>
          <w:szCs w:val="20"/>
          <w:color w:val="auto"/>
        </w:rPr>
      </w:pPr>
    </w:p>
    <w:p>
      <w:pPr>
        <w:ind w:left="1260" w:right="479" w:firstLine="648"/>
        <w:spacing w:after="0" w:line="301" w:lineRule="auto"/>
        <w:rPr>
          <w:sz w:val="20"/>
          <w:szCs w:val="20"/>
          <w:color w:val="auto"/>
        </w:rPr>
      </w:pPr>
      <w:r>
        <w:rPr>
          <w:rFonts w:ascii="Arial" w:cs="Arial" w:eastAsia="Arial" w:hAnsi="Arial"/>
          <w:sz w:val="16"/>
          <w:szCs w:val="16"/>
          <w:i w:val="1"/>
          <w:iCs w:val="1"/>
          <w:color w:val="auto"/>
        </w:rPr>
        <w:t xml:space="preserve">The Netherlands. </w:t>
      </w:r>
      <w:r>
        <w:rPr>
          <w:rFonts w:ascii="Arial" w:cs="Arial" w:eastAsia="Arial" w:hAnsi="Arial"/>
          <w:sz w:val="16"/>
          <w:szCs w:val="16"/>
          <w:color w:val="auto"/>
        </w:rPr>
        <w:t>In the Netherlands, a listed company typically has a two-tier board structure</w:t>
      </w:r>
      <w:r>
        <w:rPr>
          <w:rFonts w:ascii="Arial" w:cs="Arial" w:eastAsia="Arial" w:hAnsi="Arial"/>
          <w:sz w:val="16"/>
          <w:szCs w:val="16"/>
          <w:i w:val="1"/>
          <w:iCs w:val="1"/>
          <w:color w:val="auto"/>
        </w:rPr>
        <w:t xml:space="preserve"> </w:t>
      </w:r>
      <w:r>
        <w:rPr>
          <w:rFonts w:ascii="Arial" w:cs="Arial" w:eastAsia="Arial" w:hAnsi="Arial"/>
          <w:sz w:val="16"/>
          <w:szCs w:val="16"/>
          <w:color w:val="auto"/>
        </w:rPr>
        <w:t>with a management board comprised of the managing directors (executive directors) and a supervisory board comprised of the supervisory directors (non-executive directors). We have a two-tier board structure consisting of our management board (</w:t>
      </w:r>
      <w:r>
        <w:rPr>
          <w:rFonts w:ascii="Arial" w:cs="Arial" w:eastAsia="Arial" w:hAnsi="Arial"/>
          <w:sz w:val="16"/>
          <w:szCs w:val="16"/>
          <w:i w:val="1"/>
          <w:iCs w:val="1"/>
          <w:color w:val="auto"/>
        </w:rPr>
        <w:t>bestuur</w:t>
      </w:r>
      <w:r>
        <w:rPr>
          <w:rFonts w:ascii="Arial" w:cs="Arial" w:eastAsia="Arial" w:hAnsi="Arial"/>
          <w:sz w:val="16"/>
          <w:szCs w:val="16"/>
          <w:color w:val="auto"/>
        </w:rPr>
        <w:t>) and a separate supervisory board (</w:t>
      </w:r>
      <w:r>
        <w:rPr>
          <w:rFonts w:ascii="Arial" w:cs="Arial" w:eastAsia="Arial" w:hAnsi="Arial"/>
          <w:sz w:val="16"/>
          <w:szCs w:val="16"/>
          <w:i w:val="1"/>
          <w:iCs w:val="1"/>
          <w:color w:val="auto"/>
        </w:rPr>
        <w:t>raad van commissarissen</w:t>
      </w:r>
      <w:r>
        <w:rPr>
          <w:rFonts w:ascii="Arial" w:cs="Arial" w:eastAsia="Arial" w:hAnsi="Arial"/>
          <w:sz w:val="16"/>
          <w:szCs w:val="16"/>
          <w:color w:val="auto"/>
        </w:rPr>
        <w:t>).</w:t>
      </w:r>
    </w:p>
    <w:p>
      <w:pPr>
        <w:spacing w:after="0" w:line="76" w:lineRule="exact"/>
        <w:rPr>
          <w:sz w:val="20"/>
          <w:szCs w:val="20"/>
          <w:color w:val="auto"/>
        </w:rPr>
      </w:pPr>
    </w:p>
    <w:p>
      <w:pPr>
        <w:ind w:left="1260" w:right="499" w:firstLine="648"/>
        <w:spacing w:after="0" w:line="268" w:lineRule="auto"/>
        <w:rPr>
          <w:sz w:val="20"/>
          <w:szCs w:val="20"/>
          <w:color w:val="auto"/>
        </w:rPr>
      </w:pPr>
      <w:r>
        <w:rPr>
          <w:rFonts w:ascii="Arial" w:cs="Arial" w:eastAsia="Arial" w:hAnsi="Arial"/>
          <w:sz w:val="17"/>
          <w:szCs w:val="17"/>
          <w:color w:val="auto"/>
        </w:rPr>
        <w:t>Under Dutch law, the management board is charged with the management of the company, subject to the restrictions contained in our articles of association, and the supervisory board is charged with the supervision of the policy of the management board and the general course of affairs of the company and of the business connected with it. The managing directors may divide their tasks among themselves in or pursuant to the internal rules applicable to the management board. Each managing director and supervisory director has a statutory duty to act in the corporate interest of the company and its business.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provided that the circumstances generally dictate how such duty is to be applied and how the respective interests of various groups of stakeholders should be weighed. Any resolution of the management board regarding a material change in our identity or character requires approval of the general meeting. In addition, during the initial approval period, the following additional resolutions of the management board will require approval of the general meeting and our supervisory board:</w:t>
      </w:r>
    </w:p>
    <w:p>
      <w:pPr>
        <w:spacing w:after="0" w:line="90" w:lineRule="exact"/>
        <w:rPr>
          <w:sz w:val="20"/>
          <w:szCs w:val="20"/>
          <w:color w:val="auto"/>
        </w:rPr>
      </w:pPr>
    </w:p>
    <w:p>
      <w:pPr>
        <w:ind w:left="2260" w:right="1059" w:hanging="352"/>
        <w:spacing w:after="0" w:line="277" w:lineRule="auto"/>
        <w:tabs>
          <w:tab w:leader="none" w:pos="22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transferring the tax domicile of CureVac N.V. and/or the approval of the transfer of the corporate or administrative seat of CureVac AG;</w:t>
      </w:r>
    </w:p>
    <w:p>
      <w:pPr>
        <w:spacing w:after="0" w:line="75" w:lineRule="exact"/>
        <w:rPr>
          <w:rFonts w:ascii="Arial" w:cs="Arial" w:eastAsia="Arial" w:hAnsi="Arial"/>
          <w:sz w:val="18"/>
          <w:szCs w:val="18"/>
          <w:color w:val="auto"/>
        </w:rPr>
      </w:pPr>
    </w:p>
    <w:p>
      <w:pPr>
        <w:ind w:left="2260" w:right="419" w:hanging="352"/>
        <w:spacing w:after="0" w:line="257" w:lineRule="auto"/>
        <w:tabs>
          <w:tab w:leader="none" w:pos="22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relocating or ceasing (including by way of disposal, demerger or similar transactions) activities in specified areas in or to a state outside the European Union, except to the extent our supervisory board considers such activities (in particular in the area of the development of vaccines) not to be material for the protection of the health of the population of the European Union;</w:t>
      </w:r>
    </w:p>
    <w:p>
      <w:pPr>
        <w:spacing w:after="0" w:line="79" w:lineRule="exact"/>
        <w:rPr>
          <w:rFonts w:ascii="Arial" w:cs="Arial" w:eastAsia="Arial" w:hAnsi="Arial"/>
          <w:sz w:val="18"/>
          <w:szCs w:val="18"/>
          <w:color w:val="auto"/>
        </w:rPr>
      </w:pPr>
    </w:p>
    <w:p>
      <w:pPr>
        <w:ind w:left="2260" w:right="539" w:hanging="352"/>
        <w:spacing w:after="0" w:line="263" w:lineRule="auto"/>
        <w:tabs>
          <w:tab w:leader="none" w:pos="22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entering into mergers, demergers and similar reorganizations and entering into acquisitions or businesses or participations, except to the extent our supervisory board considers such transactions not to be material;</w:t>
      </w:r>
    </w:p>
    <w:p>
      <w:pPr>
        <w:spacing w:after="0" w:line="89" w:lineRule="exact"/>
        <w:rPr>
          <w:rFonts w:ascii="Arial" w:cs="Arial" w:eastAsia="Arial" w:hAnsi="Arial"/>
          <w:sz w:val="18"/>
          <w:szCs w:val="18"/>
          <w:color w:val="auto"/>
        </w:rPr>
      </w:pPr>
    </w:p>
    <w:p>
      <w:pPr>
        <w:ind w:left="2260" w:right="639" w:hanging="352"/>
        <w:spacing w:after="0" w:line="277" w:lineRule="auto"/>
        <w:tabs>
          <w:tab w:leader="none" w:pos="22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amendments to the articles of association of CureVac AG which would affect these approval rights during the initial approval period; and</w:t>
      </w:r>
    </w:p>
    <w:p>
      <w:pPr>
        <w:spacing w:after="0" w:line="62" w:lineRule="exact"/>
        <w:rPr>
          <w:rFonts w:ascii="Arial" w:cs="Arial" w:eastAsia="Arial" w:hAnsi="Arial"/>
          <w:sz w:val="18"/>
          <w:szCs w:val="18"/>
          <w:color w:val="auto"/>
        </w:rPr>
      </w:pPr>
    </w:p>
    <w:p>
      <w:pPr>
        <w:ind w:left="2260" w:right="1079" w:hanging="352"/>
        <w:spacing w:after="0" w:line="277" w:lineRule="auto"/>
        <w:tabs>
          <w:tab w:leader="none" w:pos="22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exercise of voting rights in CureVac AG approving, directing or causing any of the foregoing matters.</w:t>
      </w:r>
    </w:p>
    <w:p>
      <w:pPr>
        <w:spacing w:after="0" w:line="103" w:lineRule="exact"/>
        <w:rPr>
          <w:sz w:val="20"/>
          <w:szCs w:val="20"/>
          <w:color w:val="auto"/>
        </w:rPr>
      </w:pPr>
    </w:p>
    <w:p>
      <w:pPr>
        <w:ind w:left="1260" w:right="1099" w:firstLine="648"/>
        <w:spacing w:after="0" w:line="277" w:lineRule="auto"/>
        <w:rPr>
          <w:sz w:val="20"/>
          <w:szCs w:val="20"/>
          <w:color w:val="auto"/>
        </w:rPr>
      </w:pPr>
      <w:r>
        <w:rPr>
          <w:rFonts w:ascii="Arial" w:cs="Arial" w:eastAsia="Arial" w:hAnsi="Arial"/>
          <w:sz w:val="18"/>
          <w:szCs w:val="18"/>
          <w:color w:val="auto"/>
        </w:rPr>
        <w:t>Under our articles of association, the approval of our supervisory board is also required for resolutions of the management board, including concerning the following matters:</w:t>
      </w:r>
    </w:p>
    <w:p>
      <w:pPr>
        <w:spacing w:after="0" w:line="62" w:lineRule="exact"/>
        <w:rPr>
          <w:sz w:val="20"/>
          <w:szCs w:val="20"/>
          <w:color w:val="auto"/>
        </w:rPr>
      </w:pPr>
    </w:p>
    <w:p>
      <w:pPr>
        <w:ind w:left="2260" w:hanging="352"/>
        <w:spacing w:after="0"/>
        <w:tabs>
          <w:tab w:leader="none" w:pos="22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making of certain proposals to the general meeting;</w:t>
      </w:r>
    </w:p>
    <w:p>
      <w:pPr>
        <w:spacing w:after="0" w:line="130" w:lineRule="exact"/>
        <w:rPr>
          <w:rFonts w:ascii="Arial" w:cs="Arial" w:eastAsia="Arial" w:hAnsi="Arial"/>
          <w:sz w:val="18"/>
          <w:szCs w:val="18"/>
          <w:color w:val="auto"/>
        </w:rPr>
      </w:pPr>
    </w:p>
    <w:p>
      <w:pPr>
        <w:ind w:left="2260" w:hanging="352"/>
        <w:spacing w:after="0"/>
        <w:tabs>
          <w:tab w:leader="none" w:pos="22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issue of shares or the granting of rights to subscribe for shares;</w:t>
      </w:r>
    </w:p>
    <w:p>
      <w:pPr>
        <w:spacing w:after="0" w:line="130" w:lineRule="exact"/>
        <w:rPr>
          <w:rFonts w:ascii="Arial" w:cs="Arial" w:eastAsia="Arial" w:hAnsi="Arial"/>
          <w:sz w:val="18"/>
          <w:szCs w:val="18"/>
          <w:color w:val="auto"/>
        </w:rPr>
      </w:pPr>
    </w:p>
    <w:p>
      <w:pPr>
        <w:ind w:left="2260" w:hanging="352"/>
        <w:spacing w:after="0"/>
        <w:tabs>
          <w:tab w:leader="none" w:pos="22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limitation or exclusion of pre-emption rights;</w:t>
      </w: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75" w:name="page276"/>
    <w:bookmarkEnd w:id="27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60" w:right="659" w:hanging="352"/>
        <w:spacing w:after="0" w:line="259" w:lineRule="auto"/>
        <w:tabs>
          <w:tab w:leader="none" w:pos="22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establishment of new activities of us or our direct or indirect subsidiaries in the areas of research, development, production and administration and/or the approval to establish activities of CureVac AG or its subsidiaries in these areas, in each case in a state outside the European Union;</w:t>
      </w:r>
    </w:p>
    <w:p>
      <w:pPr>
        <w:spacing w:after="0" w:line="78" w:lineRule="exact"/>
        <w:rPr>
          <w:rFonts w:ascii="Arial" w:cs="Arial" w:eastAsia="Arial" w:hAnsi="Arial"/>
          <w:sz w:val="18"/>
          <w:szCs w:val="18"/>
          <w:color w:val="auto"/>
        </w:rPr>
      </w:pPr>
    </w:p>
    <w:p>
      <w:pPr>
        <w:ind w:left="2260" w:hanging="352"/>
        <w:spacing w:after="0"/>
        <w:tabs>
          <w:tab w:leader="none" w:pos="22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acquisition of shares by us in our own capital;</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drawing up or amendment of our management board rules;</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performance of legal acts relating to non-cash contributions on shares;</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material changes to the identity or the character of the company or its business;</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charging of amounts to be paid up on shares against the company’s reserves;</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making of an interim distribution;</w:t>
      </w:r>
    </w:p>
    <w:p>
      <w:pPr>
        <w:spacing w:after="0" w:line="103" w:lineRule="exact"/>
        <w:rPr>
          <w:rFonts w:ascii="Arial" w:cs="Arial" w:eastAsia="Arial" w:hAnsi="Arial"/>
          <w:sz w:val="18"/>
          <w:szCs w:val="18"/>
          <w:color w:val="auto"/>
        </w:rPr>
      </w:pPr>
    </w:p>
    <w:p>
      <w:pPr>
        <w:ind w:left="2260" w:right="999" w:hanging="352"/>
        <w:spacing w:after="0" w:line="277" w:lineRule="auto"/>
        <w:tabs>
          <w:tab w:leader="none" w:pos="22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designating a current or former officer or employee as indemnitees under our articles of association;</w:t>
      </w:r>
    </w:p>
    <w:p>
      <w:pPr>
        <w:spacing w:after="0" w:line="62" w:lineRule="exact"/>
        <w:rPr>
          <w:rFonts w:ascii="Arial" w:cs="Arial" w:eastAsia="Arial" w:hAnsi="Arial"/>
          <w:sz w:val="18"/>
          <w:szCs w:val="18"/>
          <w:color w:val="auto"/>
        </w:rPr>
      </w:pPr>
    </w:p>
    <w:p>
      <w:pPr>
        <w:ind w:left="2260" w:right="419" w:hanging="352"/>
        <w:spacing w:after="0" w:line="277" w:lineRule="auto"/>
        <w:tabs>
          <w:tab w:leader="none" w:pos="22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stipulation of additional terms, conditions and restrictions in relation to the indemnification offered under our articles of association; and</w:t>
      </w:r>
    </w:p>
    <w:p>
      <w:pPr>
        <w:spacing w:after="0" w:line="62" w:lineRule="exact"/>
        <w:rPr>
          <w:rFonts w:ascii="Arial" w:cs="Arial" w:eastAsia="Arial" w:hAnsi="Arial"/>
          <w:sz w:val="18"/>
          <w:szCs w:val="18"/>
          <w:color w:val="auto"/>
        </w:rPr>
      </w:pPr>
    </w:p>
    <w:p>
      <w:pPr>
        <w:ind w:left="2260" w:right="539" w:hanging="352"/>
        <w:spacing w:after="0" w:line="277" w:lineRule="auto"/>
        <w:tabs>
          <w:tab w:leader="none" w:pos="22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and such other resolutions as the supervisory board shall have specified in a resolution to that effect and notified to the management board.</w:t>
      </w:r>
    </w:p>
    <w:p>
      <w:pPr>
        <w:spacing w:after="0" w:line="103" w:lineRule="exact"/>
        <w:rPr>
          <w:sz w:val="20"/>
          <w:szCs w:val="20"/>
          <w:color w:val="auto"/>
        </w:rPr>
      </w:pPr>
    </w:p>
    <w:p>
      <w:pPr>
        <w:ind w:left="1260" w:right="819" w:firstLine="648"/>
        <w:spacing w:after="0" w:line="261" w:lineRule="auto"/>
        <w:rPr>
          <w:sz w:val="20"/>
          <w:szCs w:val="20"/>
          <w:color w:val="auto"/>
        </w:rPr>
      </w:pPr>
      <w:r>
        <w:rPr>
          <w:rFonts w:ascii="Arial" w:cs="Arial" w:eastAsia="Arial" w:hAnsi="Arial"/>
          <w:sz w:val="18"/>
          <w:szCs w:val="18"/>
          <w:color w:val="auto"/>
        </w:rPr>
        <w:t>Under the internal rules applicable to our management board, certain additional resolutions are subject to the approval of our supervisory board.</w:t>
      </w:r>
    </w:p>
    <w:p>
      <w:pPr>
        <w:spacing w:after="0" w:line="90" w:lineRule="exact"/>
        <w:rPr>
          <w:sz w:val="20"/>
          <w:szCs w:val="20"/>
          <w:color w:val="auto"/>
        </w:rPr>
      </w:pPr>
    </w:p>
    <w:p>
      <w:pPr>
        <w:ind w:left="1260" w:right="419" w:firstLine="648"/>
        <w:spacing w:after="0" w:line="251" w:lineRule="auto"/>
        <w:rPr>
          <w:sz w:val="20"/>
          <w:szCs w:val="20"/>
          <w:color w:val="auto"/>
        </w:rPr>
      </w:pPr>
      <w:r>
        <w:rPr>
          <w:rFonts w:ascii="Arial" w:cs="Arial" w:eastAsia="Arial" w:hAnsi="Arial"/>
          <w:sz w:val="17"/>
          <w:szCs w:val="17"/>
          <w:color w:val="auto"/>
        </w:rPr>
        <w:t>Under the internal rules applicable to our supervisory board, resolutions of our supervisory board to approve a resolution of our management board to exclude or limit pre-emption rights (except in connection with the ordinary operation of our equity incentive plans) or to issue shares against non -cash contribution, shall require the approval of a special committee consisting of one supervisory director nominated by dievini (or its legal successors or permitted assigns under the KfW dievini Shareholders’ Agreement) (during the initial nomination period for dievini), the supervisory director nominated by KfW (or its legal successors or permitted assigns under the KfW dievini Shareholders’ Agreement) (during the initial nomination period for KfW) and, if applicable, one supervisory director nominated by a nomination concert. In this special committee, the affirmative votes of one supervisory director nominated by dievini (or its legal successors or permitted assigns under the KfW dievini Shareholders’ Agreement) (during the initial nomination period for dievini) and the supervisory director nominated by KfW (or its legal successors or permitted assigns under the KfW dievini Shareholders’ Agreement) (during the initial nomination period for KfW) shall be required. Similarly, the affirmative votes of at least one supervisory director nominated by dievini (or its legal successors or permitted assigns under the KfW dievini Shareholders’ Agreement) (during the initial nomination period for dievini) and the supervisory director nominated by KfW (or its legal successors or permitted assigns under the KfW dievini Shareholders’ Agreement) (during the initial nomination period for KfW) shall be required for certain resolutions of the supervisory board specified by our articles of association and the internal rules applicable to our supervisory board.</w:t>
      </w:r>
    </w:p>
    <w:p>
      <w:pPr>
        <w:spacing w:after="0" w:line="114" w:lineRule="exact"/>
        <w:rPr>
          <w:sz w:val="20"/>
          <w:szCs w:val="20"/>
          <w:color w:val="auto"/>
        </w:rPr>
      </w:pPr>
    </w:p>
    <w:p>
      <w:pPr>
        <w:ind w:left="1260" w:right="539" w:firstLine="648"/>
        <w:spacing w:after="0" w:line="248" w:lineRule="auto"/>
        <w:rPr>
          <w:sz w:val="20"/>
          <w:szCs w:val="20"/>
          <w:color w:val="auto"/>
        </w:rPr>
      </w:pPr>
      <w:r>
        <w:rPr>
          <w:rFonts w:ascii="Arial" w:cs="Arial" w:eastAsia="Arial" w:hAnsi="Arial"/>
          <w:sz w:val="18"/>
          <w:szCs w:val="18"/>
          <w:color w:val="auto"/>
        </w:rPr>
        <w:t>The absence of the approval of the supervisory board shall result in the relevant resolution being null and void but shall not affect the powers of representation of the management board or of the managing directors.</w:t>
      </w:r>
    </w:p>
    <w:p>
      <w:pPr>
        <w:spacing w:after="0" w:line="114" w:lineRule="exact"/>
        <w:rPr>
          <w:sz w:val="20"/>
          <w:szCs w:val="20"/>
          <w:color w:val="auto"/>
        </w:rPr>
      </w:pPr>
    </w:p>
    <w:p>
      <w:pPr>
        <w:ind w:left="1260" w:right="519" w:firstLine="648"/>
        <w:spacing w:after="0" w:line="261" w:lineRule="auto"/>
        <w:rPr>
          <w:sz w:val="20"/>
          <w:szCs w:val="20"/>
          <w:color w:val="auto"/>
        </w:rPr>
      </w:pPr>
      <w:r>
        <w:rPr>
          <w:rFonts w:ascii="Arial" w:cs="Arial" w:eastAsia="Arial" w:hAnsi="Arial"/>
          <w:sz w:val="18"/>
          <w:szCs w:val="18"/>
          <w:color w:val="auto"/>
        </w:rPr>
        <w:t>Our management board is entitled to represent us. The power to represent us also vests in the chief executive officer individually, as well as in any other two managing directors acting jointly.</w:t>
      </w:r>
    </w:p>
    <w:p>
      <w:pPr>
        <w:spacing w:after="0" w:line="90" w:lineRule="exact"/>
        <w:rPr>
          <w:sz w:val="20"/>
          <w:szCs w:val="20"/>
          <w:color w:val="auto"/>
        </w:rPr>
      </w:pPr>
    </w:p>
    <w:p>
      <w:pPr>
        <w:ind w:left="1260" w:right="459" w:firstLine="648"/>
        <w:spacing w:after="0" w:line="238"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The board of directors bears the ultimate responsibility for managing the business and</w:t>
      </w:r>
      <w:r>
        <w:rPr>
          <w:rFonts w:ascii="Arial" w:cs="Arial" w:eastAsia="Arial" w:hAnsi="Arial"/>
          <w:sz w:val="18"/>
          <w:szCs w:val="18"/>
          <w:i w:val="1"/>
          <w:iCs w:val="1"/>
          <w:color w:val="auto"/>
        </w:rPr>
        <w:t xml:space="preserve"> </w:t>
      </w:r>
      <w:r>
        <w:rPr>
          <w:rFonts w:ascii="Arial" w:cs="Arial" w:eastAsia="Arial" w:hAnsi="Arial"/>
          <w:sz w:val="18"/>
          <w:szCs w:val="18"/>
          <w:color w:val="auto"/>
        </w:rPr>
        <w:t>affairs of a corporation. In discharging this function, directors of a Delaware corporation owe fiduciary duties of care and loyalty to the corporation and to its stockholders. Delaware courts have decided that the directors of a Delaware corporation are required to exercise informed business judgment in the performance of their duties. Informed business judgment means that the directors have informed themselves of all material information reasonably available to them. Delaware courts have also imposed a heightened standard of conduct upon directors of a Delaware corporation who take any action designed to defeat a threatened</w:t>
      </w:r>
    </w:p>
    <w:p>
      <w:pPr>
        <w:sectPr>
          <w:pgSz w:w="11900" w:h="16838" w:orient="portrait"/>
          <w:cols w:equalWidth="0" w:num="1">
            <w:col w:w="9879"/>
          </w:cols>
          <w:pgMar w:left="580" w:top="132" w:right="1440" w:bottom="1440" w:gutter="0" w:footer="0" w:header="0"/>
        </w:sectPr>
      </w:pPr>
    </w:p>
    <w:p>
      <w:pPr>
        <w:spacing w:after="0" w:line="38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76" w:name="page277"/>
    <w:bookmarkEnd w:id="27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579"/>
        <w:spacing w:after="0" w:line="286" w:lineRule="auto"/>
        <w:rPr>
          <w:sz w:val="20"/>
          <w:szCs w:val="20"/>
          <w:color w:val="auto"/>
        </w:rPr>
      </w:pPr>
      <w:r>
        <w:rPr>
          <w:rFonts w:ascii="Arial" w:cs="Arial" w:eastAsia="Arial" w:hAnsi="Arial"/>
          <w:sz w:val="17"/>
          <w:szCs w:val="17"/>
          <w:color w:val="auto"/>
        </w:rPr>
        <w:t>change in control of the corporation. In addition, under Delaware law, when the board of directors of a Delaware corporation approves the sale or break-up of a corporation, the board of directors may, in certain circumstances, have a duty to obtain the highest value reasonably available to the stockholders.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Director Terms</w:t>
      </w:r>
    </w:p>
    <w:p>
      <w:pPr>
        <w:spacing w:after="0" w:line="158" w:lineRule="exact"/>
        <w:rPr>
          <w:sz w:val="20"/>
          <w:szCs w:val="20"/>
          <w:color w:val="auto"/>
        </w:rPr>
      </w:pPr>
    </w:p>
    <w:p>
      <w:pPr>
        <w:ind w:left="1260" w:right="559" w:firstLine="648"/>
        <w:spacing w:after="0" w:line="277" w:lineRule="auto"/>
        <w:rPr>
          <w:sz w:val="20"/>
          <w:szCs w:val="20"/>
          <w:color w:val="auto"/>
        </w:rPr>
      </w:pPr>
      <w:r>
        <w:rPr>
          <w:rFonts w:ascii="Arial" w:cs="Arial" w:eastAsia="Arial" w:hAnsi="Arial"/>
          <w:sz w:val="18"/>
          <w:szCs w:val="18"/>
          <w:i w:val="1"/>
          <w:iCs w:val="1"/>
          <w:color w:val="auto"/>
        </w:rPr>
        <w:t xml:space="preserve">The Netherlands. </w:t>
      </w:r>
      <w:r>
        <w:rPr>
          <w:rFonts w:ascii="Arial" w:cs="Arial" w:eastAsia="Arial" w:hAnsi="Arial"/>
          <w:sz w:val="18"/>
          <w:szCs w:val="18"/>
          <w:color w:val="auto"/>
        </w:rPr>
        <w:t>The DCGC provides the following best practice recommendations on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for tenure of managing directors and supervisory directors:</w:t>
      </w:r>
    </w:p>
    <w:p>
      <w:pPr>
        <w:spacing w:after="0" w:line="62" w:lineRule="exact"/>
        <w:rPr>
          <w:sz w:val="20"/>
          <w:szCs w:val="20"/>
          <w:color w:val="auto"/>
        </w:rPr>
      </w:pPr>
    </w:p>
    <w:p>
      <w:pPr>
        <w:ind w:left="2260" w:right="519" w:hanging="352"/>
        <w:spacing w:after="0" w:line="277" w:lineRule="auto"/>
        <w:tabs>
          <w:tab w:leader="none" w:pos="22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Managing directors should be appointed for a maximum period of four years, without limiting the number of consecutive terms managing directors may serve.</w:t>
      </w:r>
    </w:p>
    <w:p>
      <w:pPr>
        <w:spacing w:after="0" w:line="75" w:lineRule="exact"/>
        <w:rPr>
          <w:rFonts w:ascii="Arial" w:cs="Arial" w:eastAsia="Arial" w:hAnsi="Arial"/>
          <w:sz w:val="18"/>
          <w:szCs w:val="18"/>
          <w:color w:val="auto"/>
        </w:rPr>
      </w:pPr>
    </w:p>
    <w:p>
      <w:pPr>
        <w:ind w:left="2260" w:right="439" w:hanging="352"/>
        <w:spacing w:after="0" w:line="259" w:lineRule="auto"/>
        <w:tabs>
          <w:tab w:leader="none" w:pos="22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Supervisory directors should be appointed for two consecutive periods of no more than four years. Thereafter, supervisory directors may be reappointed for a maximum of two consecutive periods of no more than two years, provided that any reappointment after an eight-year term of office should be disclosed in the company’s annual report.</w:t>
      </w:r>
    </w:p>
    <w:p>
      <w:pPr>
        <w:spacing w:after="0" w:line="106" w:lineRule="exact"/>
        <w:rPr>
          <w:sz w:val="20"/>
          <w:szCs w:val="20"/>
          <w:color w:val="auto"/>
        </w:rPr>
      </w:pPr>
    </w:p>
    <w:p>
      <w:pPr>
        <w:ind w:left="1260" w:right="479" w:firstLine="648"/>
        <w:spacing w:after="0" w:line="268" w:lineRule="auto"/>
        <w:rPr>
          <w:sz w:val="20"/>
          <w:szCs w:val="20"/>
          <w:color w:val="auto"/>
        </w:rPr>
      </w:pPr>
      <w:r>
        <w:rPr>
          <w:rFonts w:ascii="Arial" w:cs="Arial" w:eastAsia="Arial" w:hAnsi="Arial"/>
          <w:sz w:val="17"/>
          <w:szCs w:val="17"/>
          <w:color w:val="auto"/>
        </w:rPr>
        <w:t>The general meeting shall at all times be entitled to suspend or dismiss a managing director or supervisory director. Under our articles of association, the general meeting may only adopt a resolution to suspend or dismiss such director by at least a two-thirds majority of the votes cast, provided that such majority represents more than half of the issued share capital, unless the resolution is passed at the proposal of the supervisory board or, with respect to supervisory directors nominated by dievini or KfW, by dievini (or its legal successor or permitted assigns under the KfW dievini Shareholders’ Agreement) during the nomination period for dievini (or its legal successor or permitted assigns under the KfW dievini Shareholders’ Agreement) or by KfW (or its legal successor or permitted assigns under the KfW dievini Shareholders’ Agreement) during the nomination period for KfW, respectively, in which case a simple majority of the votes cast is sufficient. In addition, the supervisory board may at any time suspend a managing director. A suspension by the supervisory board can at any time be lifted by the general meeting. If a managing director is suspended and the general meeting does not resolve to dismiss him or her within three months from the date of such suspension, the suspension shall lapse.</w:t>
      </w:r>
    </w:p>
    <w:p>
      <w:pPr>
        <w:spacing w:after="0" w:line="119" w:lineRule="exact"/>
        <w:rPr>
          <w:sz w:val="20"/>
          <w:szCs w:val="20"/>
          <w:color w:val="auto"/>
        </w:rPr>
      </w:pPr>
    </w:p>
    <w:p>
      <w:pPr>
        <w:ind w:left="1260" w:right="499" w:firstLine="648"/>
        <w:spacing w:after="0" w:line="255"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The Delaware General Corporation Law generally provides for a one-year term for</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but permits directorships to be divided into up to three classes with up to three-year terms, with the years for each class expiring in different years, if permitted by the certificate of incorporation, an initial bylaw or a bylaw adopted by the stockholders. A director elected to serve a term on a “classified” board may not be removed by stockholders without cause. There is no limit in the number of terms a director may serve.</w:t>
      </w:r>
    </w:p>
    <w:p>
      <w:pPr>
        <w:spacing w:after="0" w:line="192"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Director Vacancies</w:t>
      </w:r>
    </w:p>
    <w:p>
      <w:pPr>
        <w:spacing w:after="0" w:line="144" w:lineRule="exact"/>
        <w:rPr>
          <w:sz w:val="20"/>
          <w:szCs w:val="20"/>
          <w:color w:val="auto"/>
        </w:rPr>
      </w:pPr>
    </w:p>
    <w:p>
      <w:pPr>
        <w:ind w:left="1260" w:right="479" w:firstLine="648"/>
        <w:spacing w:after="0" w:line="272" w:lineRule="auto"/>
        <w:rPr>
          <w:sz w:val="20"/>
          <w:szCs w:val="20"/>
          <w:color w:val="auto"/>
        </w:rPr>
      </w:pPr>
      <w:r>
        <w:rPr>
          <w:rFonts w:ascii="Arial" w:cs="Arial" w:eastAsia="Arial" w:hAnsi="Arial"/>
          <w:sz w:val="17"/>
          <w:szCs w:val="17"/>
          <w:i w:val="1"/>
          <w:iCs w:val="1"/>
          <w:color w:val="auto"/>
        </w:rPr>
        <w:t xml:space="preserve">The Netherlands. </w:t>
      </w:r>
      <w:r>
        <w:rPr>
          <w:rFonts w:ascii="Arial" w:cs="Arial" w:eastAsia="Arial" w:hAnsi="Arial"/>
          <w:sz w:val="17"/>
          <w:szCs w:val="17"/>
          <w:color w:val="auto"/>
        </w:rPr>
        <w:t>Under Dutch law, managing directors and supervisory directors of a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like ours are appointed and reappointed by the general meeting. Under our articles of association, managing directors and supervisory directors are appointed by the general meeting upon the binding nomination by our supervisory board. During the periods specified below, dievini (or its legal successor or permitted assigns under the KfW dievini Shareholders’ Agreement), KfW (or its legal successor or permitted assigns under the KfW dievini Shareholders’ Agreement), and any nomination concert have the right to make a binding nomination for one or more supervisory directors as specified below:</w:t>
      </w:r>
    </w:p>
    <w:p>
      <w:pPr>
        <w:spacing w:after="0" w:line="83" w:lineRule="exact"/>
        <w:rPr>
          <w:sz w:val="20"/>
          <w:szCs w:val="20"/>
          <w:color w:val="auto"/>
        </w:rPr>
      </w:pPr>
    </w:p>
    <w:p>
      <w:pPr>
        <w:ind w:left="2260" w:right="419" w:hanging="352"/>
        <w:spacing w:after="0" w:line="286" w:lineRule="auto"/>
        <w:tabs>
          <w:tab w:leader="none" w:pos="226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during the initial nomination period for dievini, dievini (or its legal successor or permitted assigns under the KfW dievini Shareholders’ Agreement) will have the right under our articles of association to make a binding nomination for the following number of supervisory directors:</w:t>
      </w:r>
    </w:p>
    <w:p>
      <w:pPr>
        <w:spacing w:after="0" w:line="57" w:lineRule="exact"/>
        <w:rPr>
          <w:rFonts w:ascii="Arial" w:cs="Arial" w:eastAsia="Arial" w:hAnsi="Arial"/>
          <w:sz w:val="17"/>
          <w:szCs w:val="17"/>
          <w:color w:val="auto"/>
        </w:rPr>
      </w:pPr>
    </w:p>
    <w:p>
      <w:pPr>
        <w:ind w:left="2920" w:right="519" w:hanging="364"/>
        <w:spacing w:after="0" w:line="257" w:lineRule="auto"/>
        <w:tabs>
          <w:tab w:leader="none" w:pos="292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four (4) supervisory directors for as long as dievini (or its legal successors or permitted assigns under the KfW dievini Shareholders’ Agreement) and its affiliates, as defined by our articles of association, and ultimate beneficiaries, as defined by our articles of association (individually or collectively) owns at least 70% of our issued share capital;</w:t>
      </w:r>
    </w:p>
    <w:p>
      <w:pPr>
        <w:spacing w:after="0" w:line="3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77" w:name="page278"/>
    <w:bookmarkEnd w:id="27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920" w:right="519" w:hanging="364"/>
        <w:spacing w:after="0" w:line="257" w:lineRule="auto"/>
        <w:tabs>
          <w:tab w:leader="none" w:pos="292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three (3) supervisory directors for as long as dievini (or its legal successors or permitted assigns under the KfW dievini Shareholders’ Agreement) and its affiliates, as defined by our articles of association, and ultimate beneficiaries, as defined by our articles of association (individually or collectively) owns at least 50% (but less than 70%) of our issued share capital;</w:t>
      </w:r>
    </w:p>
    <w:p>
      <w:pPr>
        <w:spacing w:after="0" w:line="79" w:lineRule="exact"/>
        <w:rPr>
          <w:rFonts w:ascii="Arial" w:cs="Arial" w:eastAsia="Arial" w:hAnsi="Arial"/>
          <w:sz w:val="18"/>
          <w:szCs w:val="18"/>
          <w:color w:val="auto"/>
        </w:rPr>
      </w:pPr>
    </w:p>
    <w:p>
      <w:pPr>
        <w:ind w:left="2920" w:right="519" w:hanging="364"/>
        <w:spacing w:after="0" w:line="257" w:lineRule="auto"/>
        <w:tabs>
          <w:tab w:leader="none" w:pos="292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two (2) supervisory directors for as long as dievini (or its legal successors or permitted assigns under the KfW dievini Shareholders’ Agreement) and its affiliates, as defined by our articles of association, and ultimate beneficiaries, as defined by our articles of association (individually or collectively) owns at least 30% (but less than 50%) of our issued share capital; and</w:t>
      </w:r>
    </w:p>
    <w:p>
      <w:pPr>
        <w:spacing w:after="0" w:line="79" w:lineRule="exact"/>
        <w:rPr>
          <w:rFonts w:ascii="Arial" w:cs="Arial" w:eastAsia="Arial" w:hAnsi="Arial"/>
          <w:sz w:val="18"/>
          <w:szCs w:val="18"/>
          <w:color w:val="auto"/>
        </w:rPr>
      </w:pPr>
    </w:p>
    <w:p>
      <w:pPr>
        <w:ind w:left="2920" w:right="479" w:hanging="364"/>
        <w:spacing w:after="0" w:line="257" w:lineRule="auto"/>
        <w:tabs>
          <w:tab w:leader="none" w:pos="292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one (1) supervisory director for as long as dievini (or its legal successors or permitted assigns under the KfW dievini Shareholders’ Agreement) and its affiliates, as defined by our articles of association, and ultimate beneficiaries, as defined by our articles of association (individually or collectively) owns at least 10% (but less than 30%) of our issued share capital.</w:t>
      </w:r>
    </w:p>
    <w:p>
      <w:pPr>
        <w:spacing w:after="0" w:line="66" w:lineRule="exact"/>
        <w:rPr>
          <w:rFonts w:ascii="Arial" w:cs="Arial" w:eastAsia="Arial" w:hAnsi="Arial"/>
          <w:sz w:val="18"/>
          <w:szCs w:val="18"/>
          <w:color w:val="auto"/>
        </w:rPr>
      </w:pPr>
    </w:p>
    <w:p>
      <w:pPr>
        <w:ind w:left="2260" w:right="519" w:hanging="352"/>
        <w:spacing w:after="0" w:line="263" w:lineRule="auto"/>
        <w:tabs>
          <w:tab w:leader="none" w:pos="22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during the initial nomination period for KfW, KfW (or its legal successor or permitted assigns under the KfW dievini Shareholders’ Agreement) will have the right under our articles of association to make a binding nomination for one supervisory director; and</w:t>
      </w:r>
    </w:p>
    <w:p>
      <w:pPr>
        <w:spacing w:after="0" w:line="75" w:lineRule="exact"/>
        <w:rPr>
          <w:rFonts w:ascii="Arial" w:cs="Arial" w:eastAsia="Arial" w:hAnsi="Arial"/>
          <w:sz w:val="18"/>
          <w:szCs w:val="18"/>
          <w:color w:val="auto"/>
        </w:rPr>
      </w:pPr>
    </w:p>
    <w:p>
      <w:pPr>
        <w:ind w:left="2260" w:right="459" w:hanging="352"/>
        <w:spacing w:after="0" w:line="254" w:lineRule="auto"/>
        <w:tabs>
          <w:tab w:leader="none" w:pos="22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at any time, each nomination concert (excluding dievini, its affiliates and its ultimate beneficiaries and excluding KfW and its affiliates for as long as dievini and KfW, respectively, have the nomination rights discussed above) will have the right under our articles of association to make a binding nomination for one supervisory director for each 20% of our issued share capital represented by that nomination concert, provided such nominee is independent from the nomination concert and CureVac N.V. under the DCGC and applicable U.S. securities laws and Nasdaq rules.</w:t>
      </w:r>
    </w:p>
    <w:p>
      <w:pPr>
        <w:spacing w:after="0" w:line="127" w:lineRule="exact"/>
        <w:rPr>
          <w:sz w:val="20"/>
          <w:szCs w:val="20"/>
          <w:color w:val="auto"/>
        </w:rPr>
      </w:pPr>
    </w:p>
    <w:p>
      <w:pPr>
        <w:ind w:left="1260" w:right="419" w:firstLine="648"/>
        <w:spacing w:after="0" w:line="243" w:lineRule="auto"/>
        <w:rPr>
          <w:sz w:val="20"/>
          <w:szCs w:val="20"/>
          <w:color w:val="auto"/>
        </w:rPr>
      </w:pPr>
      <w:r>
        <w:rPr>
          <w:rFonts w:ascii="Arial" w:cs="Arial" w:eastAsia="Arial" w:hAnsi="Arial"/>
          <w:sz w:val="18"/>
          <w:szCs w:val="18"/>
          <w:color w:val="auto"/>
        </w:rPr>
        <w:t>The general meeting may at all times overrule the binding nomination by a resolution adopted by a simple majority of the votes cast, provided that such majority represents at least one-third of the issued share capital. If the general meeting overrules the binding nature of a binding nomination, a new nomination shall be prepared by whoever made the overruled nomination.</w:t>
      </w:r>
    </w:p>
    <w:p>
      <w:pPr>
        <w:spacing w:after="0" w:line="107" w:lineRule="exact"/>
        <w:rPr>
          <w:sz w:val="20"/>
          <w:szCs w:val="20"/>
          <w:color w:val="auto"/>
        </w:rPr>
      </w:pPr>
    </w:p>
    <w:p>
      <w:pPr>
        <w:ind w:left="1260" w:right="719" w:firstLine="648"/>
        <w:spacing w:after="0" w:line="243" w:lineRule="auto"/>
        <w:rPr>
          <w:sz w:val="20"/>
          <w:szCs w:val="20"/>
          <w:color w:val="auto"/>
        </w:rPr>
      </w:pPr>
      <w:r>
        <w:rPr>
          <w:rFonts w:ascii="Arial" w:cs="Arial" w:eastAsia="Arial" w:hAnsi="Arial"/>
          <w:sz w:val="18"/>
          <w:szCs w:val="18"/>
          <w:color w:val="auto"/>
        </w:rPr>
        <w:t>If dievini, KfW and/or a nomination concert loses the right to nominate one or more of our supervisory directors, as applicable, the supervisory director(s) so nominated must promptly resign. A supervisory director nominated by a nomination concert must also promptly resign once that supervisory director is no longer independent from the nomination concert or our company.</w:t>
      </w:r>
    </w:p>
    <w:p>
      <w:pPr>
        <w:spacing w:after="0" w:line="120" w:lineRule="exact"/>
        <w:rPr>
          <w:sz w:val="20"/>
          <w:szCs w:val="20"/>
          <w:color w:val="auto"/>
        </w:rPr>
      </w:pPr>
    </w:p>
    <w:p>
      <w:pPr>
        <w:ind w:left="1260" w:right="439" w:firstLine="648"/>
        <w:spacing w:after="0" w:line="262" w:lineRule="auto"/>
        <w:rPr>
          <w:sz w:val="20"/>
          <w:szCs w:val="20"/>
          <w:color w:val="auto"/>
        </w:rPr>
      </w:pPr>
      <w:r>
        <w:rPr>
          <w:rFonts w:ascii="Arial" w:cs="Arial" w:eastAsia="Arial" w:hAnsi="Arial"/>
          <w:sz w:val="17"/>
          <w:szCs w:val="17"/>
          <w:color w:val="auto"/>
        </w:rPr>
        <w:t>Our supervisory board adopted a diversity policy for the composition of our management board and our supervisory board, as well as a profile for the composition of the supervisory board. The supervisory board shall make any nomination for the appointment of a managing director or supervisory director with due regard to the rules and principles set forth in such diversity policy and profile, as applicable.</w:t>
      </w:r>
    </w:p>
    <w:p>
      <w:pPr>
        <w:spacing w:after="0" w:line="105" w:lineRule="exact"/>
        <w:rPr>
          <w:sz w:val="20"/>
          <w:szCs w:val="20"/>
          <w:color w:val="auto"/>
        </w:rPr>
      </w:pPr>
    </w:p>
    <w:p>
      <w:pPr>
        <w:ind w:left="1260" w:right="439" w:firstLine="648"/>
        <w:spacing w:after="0" w:line="255" w:lineRule="auto"/>
        <w:rPr>
          <w:sz w:val="20"/>
          <w:szCs w:val="20"/>
          <w:color w:val="auto"/>
        </w:rPr>
      </w:pPr>
      <w:r>
        <w:rPr>
          <w:rFonts w:ascii="Arial" w:cs="Arial" w:eastAsia="Arial" w:hAnsi="Arial"/>
          <w:sz w:val="17"/>
          <w:szCs w:val="17"/>
          <w:color w:val="auto"/>
        </w:rPr>
        <w:t>Under Dutch law, when nominating a person for appointment or reappointment as a supervisory director, the nomination must be supported by reasons (if it concerns a reappointment, past performance must be taken into consideration) and the following information about such person must be provided: (i) age and profession; (ii) the aggregate nominal value of the shares held in the company’s capital; (iii) present and past positions, to the extent relevant for the performance of the tasks of a supervisory director; and (iv) the name of each entity where such person already holds a position as supervisory director or non-executive director (in case of multiple entities within the same group, the name of the group shall suffice).</w:t>
      </w:r>
    </w:p>
    <w:p>
      <w:pPr>
        <w:spacing w:after="0" w:line="99" w:lineRule="exact"/>
        <w:rPr>
          <w:sz w:val="20"/>
          <w:szCs w:val="20"/>
          <w:color w:val="auto"/>
        </w:rPr>
      </w:pPr>
    </w:p>
    <w:p>
      <w:pPr>
        <w:ind w:left="1260" w:right="499" w:firstLine="648"/>
        <w:spacing w:after="0"/>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The Delaware General Corporation Law provides that vacancies and newly created</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directorships may be filled by a majority of the directors then in office (even though less than a quorum) unless (i) otherwise provided in the certificate of incorporation or bylaws of the corporation or (ii) the certificate of incorporation directs that a particular class of stock is to elect such director, in which case any other directors elected by such class, or a sole remaining director elected by such class, will fill such vacancy.</w:t>
      </w:r>
    </w:p>
    <w:p>
      <w:pPr>
        <w:spacing w:after="0" w:line="37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78" w:name="page279"/>
    <w:bookmarkEnd w:id="27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Conflict-of-Interest Transactions</w:t>
      </w:r>
    </w:p>
    <w:p>
      <w:pPr>
        <w:spacing w:after="0" w:line="158" w:lineRule="exact"/>
        <w:rPr>
          <w:sz w:val="20"/>
          <w:szCs w:val="20"/>
          <w:color w:val="auto"/>
        </w:rPr>
      </w:pPr>
    </w:p>
    <w:p>
      <w:pPr>
        <w:ind w:left="1260" w:right="419" w:firstLine="648"/>
        <w:spacing w:after="0" w:line="252" w:lineRule="auto"/>
        <w:rPr>
          <w:sz w:val="20"/>
          <w:szCs w:val="20"/>
          <w:color w:val="auto"/>
        </w:rPr>
      </w:pPr>
      <w:r>
        <w:rPr>
          <w:rFonts w:ascii="Arial" w:cs="Arial" w:eastAsia="Arial" w:hAnsi="Arial"/>
          <w:sz w:val="17"/>
          <w:szCs w:val="17"/>
          <w:i w:val="1"/>
          <w:iCs w:val="1"/>
          <w:color w:val="auto"/>
        </w:rPr>
        <w:t xml:space="preserve">The Netherlands. </w:t>
      </w:r>
      <w:r>
        <w:rPr>
          <w:rFonts w:ascii="Arial" w:cs="Arial" w:eastAsia="Arial" w:hAnsi="Arial"/>
          <w:sz w:val="17"/>
          <w:szCs w:val="17"/>
          <w:color w:val="auto"/>
        </w:rPr>
        <w:t>Under Dutch law and our articles of association, our managing directors and</w:t>
      </w:r>
      <w:r>
        <w:rPr>
          <w:rFonts w:ascii="Arial" w:cs="Arial" w:eastAsia="Arial" w:hAnsi="Arial"/>
          <w:sz w:val="17"/>
          <w:szCs w:val="17"/>
          <w:i w:val="1"/>
          <w:iCs w:val="1"/>
          <w:color w:val="auto"/>
        </w:rPr>
        <w:t xml:space="preserve"> </w:t>
      </w:r>
      <w:r>
        <w:rPr>
          <w:rFonts w:ascii="Arial" w:cs="Arial" w:eastAsia="Arial" w:hAnsi="Arial"/>
          <w:sz w:val="17"/>
          <w:szCs w:val="17"/>
          <w:color w:val="auto"/>
        </w:rPr>
        <w:t>supervisory directors shall not take part in any discussion or decision-making that involves a subject or transaction in relation to which he or she has a direct or indirect personal conflict of interest with us. Such a conflict of interest would generally arise if the managing director or supervisory director concerned is unable to serve our interests and the business connected with it with the required level of integrity and objectivity due to the existence of the conflicting personal interest. Our articles of association provide that if as a result of conflicts of interests no resolution of the management board can be adopted, the resolution may be passed by the supervisory board and that, if as a result of conflicts of interests no resolution of the supervisory board can be adopted, the resolution may nonetheless be adopted by the supervisory board as if none of the supervisory directors had a conflict of interest. In that case, each supervisory director is entitled to participate in the discussion and decision-making process and to cast a vote.</w:t>
      </w:r>
    </w:p>
    <w:p>
      <w:pPr>
        <w:spacing w:after="0" w:line="118" w:lineRule="exact"/>
        <w:rPr>
          <w:sz w:val="20"/>
          <w:szCs w:val="20"/>
          <w:color w:val="auto"/>
        </w:rPr>
      </w:pPr>
    </w:p>
    <w:p>
      <w:pPr>
        <w:ind w:left="1260" w:right="1059" w:firstLine="648"/>
        <w:spacing w:after="0" w:line="261" w:lineRule="auto"/>
        <w:rPr>
          <w:sz w:val="20"/>
          <w:szCs w:val="20"/>
          <w:color w:val="auto"/>
        </w:rPr>
      </w:pPr>
      <w:r>
        <w:rPr>
          <w:rFonts w:ascii="Arial" w:cs="Arial" w:eastAsia="Arial" w:hAnsi="Arial"/>
          <w:sz w:val="18"/>
          <w:szCs w:val="18"/>
          <w:color w:val="auto"/>
        </w:rPr>
        <w:t>The DCGC provides the following best practice recommendations in relation to conflicts of interests in respect of managing directors or supervisory directors:</w:t>
      </w:r>
    </w:p>
    <w:p>
      <w:pPr>
        <w:spacing w:after="0" w:line="49" w:lineRule="exact"/>
        <w:rPr>
          <w:sz w:val="20"/>
          <w:szCs w:val="20"/>
          <w:color w:val="auto"/>
        </w:rPr>
      </w:pPr>
    </w:p>
    <w:p>
      <w:pPr>
        <w:ind w:left="2260" w:right="519" w:hanging="352"/>
        <w:spacing w:after="0" w:line="273" w:lineRule="auto"/>
        <w:tabs>
          <w:tab w:leader="none" w:pos="226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A managing director should report any potential conflict of interest in a transaction that is of material significance to the company and/or to such person to the chairman of the supervisory board and to the other members of the management board without delay. The managing director should provide all relevant information in that regard, including the information relevant to the situation concerning his or her spouse, registered partner or other life companion, foster child and relatives by blood or marriage up to the second degree;</w:t>
      </w:r>
    </w:p>
    <w:p>
      <w:pPr>
        <w:spacing w:after="0" w:line="56" w:lineRule="exact"/>
        <w:rPr>
          <w:rFonts w:ascii="Arial" w:cs="Arial" w:eastAsia="Arial" w:hAnsi="Arial"/>
          <w:sz w:val="17"/>
          <w:szCs w:val="17"/>
          <w:color w:val="auto"/>
        </w:rPr>
      </w:pPr>
    </w:p>
    <w:p>
      <w:pPr>
        <w:ind w:left="2260" w:right="419" w:hanging="352"/>
        <w:spacing w:after="0" w:line="254" w:lineRule="auto"/>
        <w:tabs>
          <w:tab w:leader="none" w:pos="22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 supervisory director should report any conflict of interest or potential conflict of interest in a transaction that is of material significance to the company and/or to such person to the chairman of the supervisory board without delay and should provide all relevant information in that regard, including the relevant information pertaining to his or her spouse, registered partner or other life companion, foster child and relatives by blood or marriage up to the second degree. If the chairman of the supervisory board has a conflict of interest or potential conflict of interest, he or she should report this to the vice-chairman of the supervisory board without delay;</w:t>
      </w:r>
    </w:p>
    <w:p>
      <w:pPr>
        <w:spacing w:after="0" w:line="83" w:lineRule="exact"/>
        <w:rPr>
          <w:rFonts w:ascii="Arial" w:cs="Arial" w:eastAsia="Arial" w:hAnsi="Arial"/>
          <w:sz w:val="18"/>
          <w:szCs w:val="18"/>
          <w:color w:val="auto"/>
        </w:rPr>
      </w:pPr>
    </w:p>
    <w:p>
      <w:pPr>
        <w:ind w:left="2260" w:right="1079" w:hanging="352"/>
        <w:spacing w:after="0" w:line="277" w:lineRule="auto"/>
        <w:tabs>
          <w:tab w:leader="none" w:pos="22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supervisory board should decide, outside the presence of the managing director or supervisory director concerned, whether there is a conflict of interest;</w:t>
      </w:r>
    </w:p>
    <w:p>
      <w:pPr>
        <w:spacing w:after="0" w:line="35" w:lineRule="exact"/>
        <w:rPr>
          <w:rFonts w:ascii="Arial" w:cs="Arial" w:eastAsia="Arial" w:hAnsi="Arial"/>
          <w:sz w:val="18"/>
          <w:szCs w:val="18"/>
          <w:color w:val="auto"/>
        </w:rPr>
      </w:pPr>
    </w:p>
    <w:p>
      <w:pPr>
        <w:ind w:left="2260" w:right="479" w:hanging="352"/>
        <w:spacing w:after="0" w:line="277" w:lineRule="auto"/>
        <w:tabs>
          <w:tab w:leader="none" w:pos="22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All transactions in which there are conflicts of interest with managing directors or supervisory directors should be agreed on terms that are customary in the market; and</w:t>
      </w:r>
    </w:p>
    <w:p>
      <w:pPr>
        <w:spacing w:after="0" w:line="48" w:lineRule="exact"/>
        <w:rPr>
          <w:rFonts w:ascii="Arial" w:cs="Arial" w:eastAsia="Arial" w:hAnsi="Arial"/>
          <w:sz w:val="18"/>
          <w:szCs w:val="18"/>
          <w:color w:val="auto"/>
        </w:rPr>
      </w:pPr>
    </w:p>
    <w:p>
      <w:pPr>
        <w:ind w:left="2260" w:right="459" w:hanging="352"/>
        <w:spacing w:after="0" w:line="255" w:lineRule="auto"/>
        <w:tabs>
          <w:tab w:leader="none" w:pos="22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Decisions to enter into transactions in which there are conflicts of interest with managing directors or supervisory directors that are of material significance to the company and/or to the relevant managing directors or supervisory directors should require the approval of the supervisory board. Such transactions should be published in the annual report, together with a description of the conflict of interest and a declaration that the relevant best practice provisions of the DCGC have been complied with.</w:t>
      </w:r>
    </w:p>
    <w:p>
      <w:pPr>
        <w:spacing w:after="0" w:line="125" w:lineRule="exact"/>
        <w:rPr>
          <w:sz w:val="20"/>
          <w:szCs w:val="20"/>
          <w:color w:val="auto"/>
        </w:rPr>
      </w:pPr>
    </w:p>
    <w:p>
      <w:pPr>
        <w:ind w:left="1900"/>
        <w:spacing w:after="0"/>
        <w:tabs>
          <w:tab w:leader="none" w:pos="2820" w:val="left"/>
        </w:tabs>
        <w:rPr>
          <w:sz w:val="20"/>
          <w:szCs w:val="20"/>
          <w:color w:val="auto"/>
        </w:rPr>
      </w:pPr>
      <w:r>
        <w:rPr>
          <w:rFonts w:ascii="Arial" w:cs="Arial" w:eastAsia="Arial" w:hAnsi="Arial"/>
          <w:sz w:val="18"/>
          <w:szCs w:val="18"/>
          <w:i w:val="1"/>
          <w:iCs w:val="1"/>
          <w:color w:val="auto"/>
        </w:rPr>
        <w:t>Delaware.</w:t>
      </w:r>
      <w:r>
        <w:rPr>
          <w:sz w:val="20"/>
          <w:szCs w:val="20"/>
          <w:color w:val="auto"/>
        </w:rPr>
        <w:tab/>
      </w:r>
      <w:r>
        <w:rPr>
          <w:rFonts w:ascii="Arial" w:cs="Arial" w:eastAsia="Arial" w:hAnsi="Arial"/>
          <w:sz w:val="17"/>
          <w:szCs w:val="17"/>
          <w:color w:val="auto"/>
        </w:rPr>
        <w:t>The Delaware General Corporation Law generally permits transactions involving a</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Delaware corporation and an interested director of that corporation if:</w:t>
      </w:r>
    </w:p>
    <w:p>
      <w:pPr>
        <w:spacing w:after="0" w:line="88" w:lineRule="exact"/>
        <w:rPr>
          <w:sz w:val="20"/>
          <w:szCs w:val="20"/>
          <w:color w:val="auto"/>
        </w:rPr>
      </w:pPr>
    </w:p>
    <w:p>
      <w:pPr>
        <w:ind w:left="2260" w:right="739" w:hanging="352"/>
        <w:spacing w:after="0" w:line="277" w:lineRule="auto"/>
        <w:tabs>
          <w:tab w:leader="none" w:pos="22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material facts as to the director’s relationship or interest are disclosed and a majority of disinterested directors consent;</w:t>
      </w:r>
    </w:p>
    <w:p>
      <w:pPr>
        <w:spacing w:after="0" w:line="48" w:lineRule="exact"/>
        <w:rPr>
          <w:rFonts w:ascii="Arial" w:cs="Arial" w:eastAsia="Arial" w:hAnsi="Arial"/>
          <w:sz w:val="18"/>
          <w:szCs w:val="18"/>
          <w:color w:val="auto"/>
        </w:rPr>
      </w:pPr>
    </w:p>
    <w:p>
      <w:pPr>
        <w:ind w:left="2260" w:right="739" w:hanging="352"/>
        <w:spacing w:after="0" w:line="277" w:lineRule="auto"/>
        <w:tabs>
          <w:tab w:leader="none" w:pos="22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material facts are disclosed as to the director’s relationship or interest and a majority of shares entitled to vote thereon consent; or</w:t>
      </w:r>
    </w:p>
    <w:p>
      <w:pPr>
        <w:spacing w:after="0" w:line="48" w:lineRule="exact"/>
        <w:rPr>
          <w:rFonts w:ascii="Arial" w:cs="Arial" w:eastAsia="Arial" w:hAnsi="Arial"/>
          <w:sz w:val="18"/>
          <w:szCs w:val="18"/>
          <w:color w:val="auto"/>
        </w:rPr>
      </w:pPr>
    </w:p>
    <w:p>
      <w:pPr>
        <w:ind w:left="2260" w:right="519" w:hanging="352"/>
        <w:spacing w:after="0" w:line="277" w:lineRule="auto"/>
        <w:tabs>
          <w:tab w:leader="none" w:pos="22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transaction is fair to the corporation at the time it is authorized by the board of directors, a committee of the board of directors or the stockholders.</w:t>
      </w:r>
    </w:p>
    <w:p>
      <w:pPr>
        <w:spacing w:after="0" w:line="170"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Proxy Voting by Directors</w:t>
      </w:r>
    </w:p>
    <w:p>
      <w:pPr>
        <w:spacing w:after="0" w:line="144" w:lineRule="exact"/>
        <w:rPr>
          <w:sz w:val="20"/>
          <w:szCs w:val="20"/>
          <w:color w:val="auto"/>
        </w:rPr>
      </w:pPr>
    </w:p>
    <w:p>
      <w:pPr>
        <w:ind w:left="1260" w:right="419" w:firstLine="648"/>
        <w:spacing w:after="0" w:line="291" w:lineRule="auto"/>
        <w:rPr>
          <w:sz w:val="20"/>
          <w:szCs w:val="20"/>
          <w:color w:val="auto"/>
        </w:rPr>
      </w:pPr>
      <w:r>
        <w:rPr>
          <w:rFonts w:ascii="Arial" w:cs="Arial" w:eastAsia="Arial" w:hAnsi="Arial"/>
          <w:sz w:val="17"/>
          <w:szCs w:val="17"/>
          <w:i w:val="1"/>
          <w:iCs w:val="1"/>
          <w:color w:val="auto"/>
        </w:rPr>
        <w:t xml:space="preserve">The Netherlands. </w:t>
      </w:r>
      <w:r>
        <w:rPr>
          <w:rFonts w:ascii="Arial" w:cs="Arial" w:eastAsia="Arial" w:hAnsi="Arial"/>
          <w:sz w:val="17"/>
          <w:szCs w:val="17"/>
          <w:color w:val="auto"/>
        </w:rPr>
        <w:t>An absent managing director may issue a proxy for a specific management board</w:t>
      </w:r>
      <w:r>
        <w:rPr>
          <w:rFonts w:ascii="Arial" w:cs="Arial" w:eastAsia="Arial" w:hAnsi="Arial"/>
          <w:sz w:val="17"/>
          <w:szCs w:val="17"/>
          <w:i w:val="1"/>
          <w:iCs w:val="1"/>
          <w:color w:val="auto"/>
        </w:rPr>
        <w:t xml:space="preserve"> </w:t>
      </w:r>
      <w:r>
        <w:rPr>
          <w:rFonts w:ascii="Arial" w:cs="Arial" w:eastAsia="Arial" w:hAnsi="Arial"/>
          <w:sz w:val="17"/>
          <w:szCs w:val="17"/>
          <w:color w:val="auto"/>
        </w:rPr>
        <w:t>meeting but only to another managing director in writing or by electronic means. An absent supervisory</w:t>
      </w:r>
    </w:p>
    <w:p>
      <w:pPr>
        <w:sectPr>
          <w:pgSz w:w="11900" w:h="16838" w:orient="portrait"/>
          <w:cols w:equalWidth="0" w:num="1">
            <w:col w:w="9879"/>
          </w:cols>
          <w:pgMar w:left="580" w:top="132" w:right="1440" w:bottom="1440" w:gutter="0" w:footer="0" w:header="0"/>
        </w:sectPr>
      </w:pPr>
    </w:p>
    <w:p>
      <w:pPr>
        <w:spacing w:after="0" w:line="33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79" w:name="page280"/>
    <w:bookmarkEnd w:id="27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79"/>
        <w:spacing w:after="0" w:line="261" w:lineRule="auto"/>
        <w:rPr>
          <w:sz w:val="20"/>
          <w:szCs w:val="20"/>
          <w:color w:val="auto"/>
        </w:rPr>
      </w:pPr>
      <w:r>
        <w:rPr>
          <w:rFonts w:ascii="Arial" w:cs="Arial" w:eastAsia="Arial" w:hAnsi="Arial"/>
          <w:sz w:val="18"/>
          <w:szCs w:val="18"/>
          <w:color w:val="auto"/>
        </w:rPr>
        <w:t>director may issue a proxy for a specific supervisory board meeting but only to another supervisory director in writing or by electronic means.</w:t>
      </w:r>
    </w:p>
    <w:p>
      <w:pPr>
        <w:spacing w:after="0" w:line="103" w:lineRule="exact"/>
        <w:rPr>
          <w:sz w:val="20"/>
          <w:szCs w:val="20"/>
          <w:color w:val="auto"/>
        </w:rPr>
      </w:pPr>
    </w:p>
    <w:p>
      <w:pPr>
        <w:ind w:left="1260" w:right="539" w:firstLine="648"/>
        <w:spacing w:after="0" w:line="261"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A director of a Delaware corporation may not issue a proxy representing the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voting rights as a director.</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Shareholder Rights</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Voting Rights</w:t>
      </w:r>
    </w:p>
    <w:p>
      <w:pPr>
        <w:spacing w:after="0" w:line="158" w:lineRule="exact"/>
        <w:rPr>
          <w:sz w:val="20"/>
          <w:szCs w:val="20"/>
          <w:color w:val="auto"/>
        </w:rPr>
      </w:pPr>
    </w:p>
    <w:p>
      <w:pPr>
        <w:ind w:left="1260" w:right="479" w:firstLine="648"/>
        <w:spacing w:after="0" w:line="253" w:lineRule="auto"/>
        <w:rPr>
          <w:sz w:val="20"/>
          <w:szCs w:val="20"/>
          <w:color w:val="auto"/>
        </w:rPr>
      </w:pPr>
      <w:r>
        <w:rPr>
          <w:rFonts w:ascii="Arial" w:cs="Arial" w:eastAsia="Arial" w:hAnsi="Arial"/>
          <w:sz w:val="17"/>
          <w:szCs w:val="17"/>
          <w:i w:val="1"/>
          <w:iCs w:val="1"/>
          <w:color w:val="auto"/>
        </w:rPr>
        <w:t xml:space="preserve">The Netherlands. </w:t>
      </w:r>
      <w:r>
        <w:rPr>
          <w:rFonts w:ascii="Arial" w:cs="Arial" w:eastAsia="Arial" w:hAnsi="Arial"/>
          <w:sz w:val="17"/>
          <w:szCs w:val="17"/>
          <w:color w:val="auto"/>
        </w:rPr>
        <w:t>In accordance with Dutch law and our articles of association, each issued</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share confers the right to cast one vote at the general meeting. Each holder of shares may cast as many votes as it holds shares. No votes may be cast on shares that are held by us or our direct or indirect subsidiaries or on shares for which we or our subsidiaries hold depository receipts. Nonetheless, the holders of a right of use and enjoyment (</w:t>
      </w:r>
      <w:r>
        <w:rPr>
          <w:rFonts w:ascii="Arial" w:cs="Arial" w:eastAsia="Arial" w:hAnsi="Arial"/>
          <w:sz w:val="17"/>
          <w:szCs w:val="17"/>
          <w:i w:val="1"/>
          <w:iCs w:val="1"/>
          <w:color w:val="auto"/>
        </w:rPr>
        <w:t>vruchtgebruik</w:t>
      </w:r>
      <w:r>
        <w:rPr>
          <w:rFonts w:ascii="Arial" w:cs="Arial" w:eastAsia="Arial" w:hAnsi="Arial"/>
          <w:sz w:val="17"/>
          <w:szCs w:val="17"/>
          <w:color w:val="auto"/>
        </w:rPr>
        <w:t>) and the holders of a right of pledge (</w:t>
      </w:r>
      <w:r>
        <w:rPr>
          <w:rFonts w:ascii="Arial" w:cs="Arial" w:eastAsia="Arial" w:hAnsi="Arial"/>
          <w:sz w:val="17"/>
          <w:szCs w:val="17"/>
          <w:i w:val="1"/>
          <w:iCs w:val="1"/>
          <w:color w:val="auto"/>
        </w:rPr>
        <w:t>pandrecht</w:t>
      </w:r>
      <w:r>
        <w:rPr>
          <w:rFonts w:ascii="Arial" w:cs="Arial" w:eastAsia="Arial" w:hAnsi="Arial"/>
          <w:sz w:val="17"/>
          <w:szCs w:val="17"/>
          <w:color w:val="auto"/>
        </w:rPr>
        <w:t>) in respect of shares held by us or our subsidiaries in our share capital are not excluded from the right to vote on such shares, if the right of use and enjoyment (</w:t>
      </w:r>
      <w:r>
        <w:rPr>
          <w:rFonts w:ascii="Arial" w:cs="Arial" w:eastAsia="Arial" w:hAnsi="Arial"/>
          <w:sz w:val="17"/>
          <w:szCs w:val="17"/>
          <w:i w:val="1"/>
          <w:iCs w:val="1"/>
          <w:color w:val="auto"/>
        </w:rPr>
        <w:t>vruchtgebruik</w:t>
      </w:r>
      <w:r>
        <w:rPr>
          <w:rFonts w:ascii="Arial" w:cs="Arial" w:eastAsia="Arial" w:hAnsi="Arial"/>
          <w:sz w:val="17"/>
          <w:szCs w:val="17"/>
          <w:color w:val="auto"/>
        </w:rPr>
        <w:t>) or the right of pledge (</w:t>
      </w:r>
      <w:r>
        <w:rPr>
          <w:rFonts w:ascii="Arial" w:cs="Arial" w:eastAsia="Arial" w:hAnsi="Arial"/>
          <w:sz w:val="17"/>
          <w:szCs w:val="17"/>
          <w:i w:val="1"/>
          <w:iCs w:val="1"/>
          <w:color w:val="auto"/>
        </w:rPr>
        <w:t>pandrecht</w:t>
      </w:r>
      <w:r>
        <w:rPr>
          <w:rFonts w:ascii="Arial" w:cs="Arial" w:eastAsia="Arial" w:hAnsi="Arial"/>
          <w:sz w:val="17"/>
          <w:szCs w:val="17"/>
          <w:color w:val="auto"/>
        </w:rPr>
        <w:t>) was granted prior to the time such shares were acquired by us or any of our subsidiaries. Neither we nor any of our subsidiaries may cast votes in respect of a share on which we or such subsidiary holds a right of use and enjoyment (</w:t>
      </w:r>
      <w:r>
        <w:rPr>
          <w:rFonts w:ascii="Arial" w:cs="Arial" w:eastAsia="Arial" w:hAnsi="Arial"/>
          <w:sz w:val="17"/>
          <w:szCs w:val="17"/>
          <w:i w:val="1"/>
          <w:iCs w:val="1"/>
          <w:color w:val="auto"/>
        </w:rPr>
        <w:t>vruchtgebruik</w:t>
      </w:r>
      <w:r>
        <w:rPr>
          <w:rFonts w:ascii="Arial" w:cs="Arial" w:eastAsia="Arial" w:hAnsi="Arial"/>
          <w:sz w:val="17"/>
          <w:szCs w:val="17"/>
          <w:color w:val="auto"/>
        </w:rPr>
        <w:t>) or a right of pledge (</w:t>
      </w:r>
      <w:r>
        <w:rPr>
          <w:rFonts w:ascii="Arial" w:cs="Arial" w:eastAsia="Arial" w:hAnsi="Arial"/>
          <w:sz w:val="17"/>
          <w:szCs w:val="17"/>
          <w:i w:val="1"/>
          <w:iCs w:val="1"/>
          <w:color w:val="auto"/>
        </w:rPr>
        <w:t>pandrecht</w:t>
      </w:r>
      <w:r>
        <w:rPr>
          <w:rFonts w:ascii="Arial" w:cs="Arial" w:eastAsia="Arial" w:hAnsi="Arial"/>
          <w:sz w:val="17"/>
          <w:szCs w:val="17"/>
          <w:color w:val="auto"/>
        </w:rPr>
        <w:t>).</w:t>
      </w:r>
    </w:p>
    <w:p>
      <w:pPr>
        <w:spacing w:after="0" w:line="99" w:lineRule="exact"/>
        <w:rPr>
          <w:sz w:val="20"/>
          <w:szCs w:val="20"/>
          <w:color w:val="auto"/>
        </w:rPr>
      </w:pPr>
    </w:p>
    <w:p>
      <w:pPr>
        <w:ind w:left="1260" w:right="439" w:firstLine="648"/>
        <w:spacing w:after="0" w:line="253" w:lineRule="auto"/>
        <w:rPr>
          <w:sz w:val="20"/>
          <w:szCs w:val="20"/>
          <w:color w:val="auto"/>
        </w:rPr>
      </w:pPr>
      <w:r>
        <w:rPr>
          <w:rFonts w:ascii="Arial" w:cs="Arial" w:eastAsia="Arial" w:hAnsi="Arial"/>
          <w:sz w:val="17"/>
          <w:szCs w:val="17"/>
          <w:color w:val="auto"/>
        </w:rPr>
        <w:t>In accordance with our articles of association, for each general meeting, the management board may determine that a record date will be applied in order to establish which shareholders are entitled to attend and vote at the general meeting. Such record date shall be the 28th day prior to the day of the general meeting. The record date and the manner in which shareholders can register and exercise their rights will be set out in the notice of the meeting which must be published in a Dutch daily newspaper with national distribution at least 15 days prior to the meeting (and such notice may therefore be published after the record date for such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spacing w:after="0" w:line="113" w:lineRule="exact"/>
        <w:rPr>
          <w:sz w:val="20"/>
          <w:szCs w:val="20"/>
          <w:color w:val="auto"/>
        </w:rPr>
      </w:pPr>
    </w:p>
    <w:p>
      <w:pPr>
        <w:ind w:left="1260" w:right="519" w:firstLine="648"/>
        <w:spacing w:after="0" w:line="239"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Under the Delaware General Corporation Law, each stockholder is entitled to one vote</w:t>
      </w:r>
      <w:r>
        <w:rPr>
          <w:rFonts w:ascii="Arial" w:cs="Arial" w:eastAsia="Arial" w:hAnsi="Arial"/>
          <w:sz w:val="18"/>
          <w:szCs w:val="18"/>
          <w:i w:val="1"/>
          <w:iCs w:val="1"/>
          <w:color w:val="auto"/>
        </w:rPr>
        <w:t xml:space="preserve"> </w:t>
      </w:r>
      <w:r>
        <w:rPr>
          <w:rFonts w:ascii="Arial" w:cs="Arial" w:eastAsia="Arial" w:hAnsi="Arial"/>
          <w:sz w:val="18"/>
          <w:szCs w:val="18"/>
          <w:color w:val="auto"/>
        </w:rPr>
        <w:t>per share of stock, unless the certificate of incorporation provides otherwise. In addition, the certificate of incorporation may provide for cumulative voting at all elections of directors of the corporation, or at elections held under specified circumstances. Either the certificate of incorporation or the bylaws may specify the number of shares and/or the amount of other securities that must be represented at a meeting in order to constitute a quorum, but in no event will a quorum consist of less than one-third of the shares entitled to vote at a meeting.</w:t>
      </w:r>
    </w:p>
    <w:p>
      <w:pPr>
        <w:spacing w:after="0" w:line="123" w:lineRule="exact"/>
        <w:rPr>
          <w:sz w:val="20"/>
          <w:szCs w:val="20"/>
          <w:color w:val="auto"/>
        </w:rPr>
      </w:pPr>
    </w:p>
    <w:p>
      <w:pPr>
        <w:ind w:left="1260" w:right="499" w:firstLine="648"/>
        <w:spacing w:after="0" w:line="255" w:lineRule="auto"/>
        <w:rPr>
          <w:sz w:val="20"/>
          <w:szCs w:val="20"/>
          <w:color w:val="auto"/>
        </w:rPr>
      </w:pPr>
      <w:r>
        <w:rPr>
          <w:rFonts w:ascii="Arial" w:cs="Arial" w:eastAsia="Arial" w:hAnsi="Arial"/>
          <w:sz w:val="17"/>
          <w:szCs w:val="17"/>
          <w:color w:val="auto"/>
        </w:rPr>
        <w:t>Stockholders as of the record date for the meeting are entitled to vote at the meeting, and the board of directors may fix a record date that is no more than 60 nor less than 10 days before the date of the meeting, and if no record date is set then the record date is the close of business on the day next preceding the day on which notice is given, or if notice is waived then the record date is the close of business on the day next preceding the day on which the meeting is held. The determination of the stockholders of record entitled to notice or to vote at a meeting of stockholders shall apply to any adjournment of the meeting, but the board of directors may fix a new record date for the adjourned meeting.</w:t>
      </w:r>
    </w:p>
    <w:p>
      <w:pPr>
        <w:spacing w:after="0" w:line="180"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Shareholder Proposals</w:t>
      </w:r>
    </w:p>
    <w:p>
      <w:pPr>
        <w:spacing w:after="0" w:line="144" w:lineRule="exact"/>
        <w:rPr>
          <w:sz w:val="20"/>
          <w:szCs w:val="20"/>
          <w:color w:val="auto"/>
        </w:rPr>
      </w:pPr>
    </w:p>
    <w:p>
      <w:pPr>
        <w:ind w:left="1260" w:right="459" w:firstLine="648"/>
        <w:spacing w:after="0" w:line="238" w:lineRule="auto"/>
        <w:rPr>
          <w:sz w:val="20"/>
          <w:szCs w:val="20"/>
          <w:color w:val="auto"/>
        </w:rPr>
      </w:pPr>
      <w:r>
        <w:rPr>
          <w:rFonts w:ascii="Arial" w:cs="Arial" w:eastAsia="Arial" w:hAnsi="Arial"/>
          <w:sz w:val="18"/>
          <w:szCs w:val="18"/>
          <w:i w:val="1"/>
          <w:iCs w:val="1"/>
          <w:color w:val="auto"/>
        </w:rPr>
        <w:t xml:space="preserve">The Netherlands. </w:t>
      </w:r>
      <w:r>
        <w:rPr>
          <w:rFonts w:ascii="Arial" w:cs="Arial" w:eastAsia="Arial" w:hAnsi="Arial"/>
          <w:sz w:val="18"/>
          <w:szCs w:val="18"/>
          <w:color w:val="auto"/>
        </w:rPr>
        <w:t>Pursuant to our articles of association, extraordinary general meetings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held whenever required under Dutch law or whenever our management board or supervisory board deems such to be appropriate or necessary. Pursuant to Dutch law, one or more shareholders or others with meeting rights under Dutch law representing at least one-tenth of the issued share capital may request us to convene a general meeting, setting out in detail the matters to be discussed. If we have not taken the steps necessary to ensure that such meeting can be held within six weeks after the request, the requesting party or parties may, on their application, be authorized by the competent Dutch court in preliminary relief proceedings to convene a general meeting.</w:t>
      </w:r>
    </w:p>
    <w:p>
      <w:pPr>
        <w:spacing w:after="0" w:line="38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80" w:name="page281"/>
    <w:bookmarkEnd w:id="28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79" w:firstLine="648"/>
        <w:spacing w:after="0" w:line="241" w:lineRule="auto"/>
        <w:rPr>
          <w:sz w:val="20"/>
          <w:szCs w:val="20"/>
          <w:color w:val="auto"/>
        </w:rPr>
      </w:pPr>
      <w:r>
        <w:rPr>
          <w:rFonts w:ascii="Arial" w:cs="Arial" w:eastAsia="Arial" w:hAnsi="Arial"/>
          <w:sz w:val="18"/>
          <w:szCs w:val="18"/>
          <w:color w:val="auto"/>
        </w:rPr>
        <w:t>Also, the agenda for a general meeting shall include such items requested by one or more shareholders, and others entitled to attend general meetings, representing at least 3% of the issued share capital, except where the articles of association state a lower percentage. Our articles of association do not state such lower percentage. Requests must be made in writing or by electronic means and received by us at least 60 days before the day of the meeting.</w:t>
      </w:r>
    </w:p>
    <w:p>
      <w:pPr>
        <w:spacing w:after="0" w:line="122" w:lineRule="exact"/>
        <w:rPr>
          <w:sz w:val="20"/>
          <w:szCs w:val="20"/>
          <w:color w:val="auto"/>
        </w:rPr>
      </w:pPr>
    </w:p>
    <w:p>
      <w:pPr>
        <w:ind w:left="1260" w:right="419" w:firstLine="648"/>
        <w:spacing w:after="0" w:line="251" w:lineRule="auto"/>
        <w:rPr>
          <w:sz w:val="20"/>
          <w:szCs w:val="20"/>
          <w:color w:val="auto"/>
        </w:rPr>
      </w:pPr>
      <w:r>
        <w:rPr>
          <w:rFonts w:ascii="Arial" w:cs="Arial" w:eastAsia="Arial" w:hAnsi="Arial"/>
          <w:sz w:val="17"/>
          <w:szCs w:val="17"/>
          <w:color w:val="auto"/>
        </w:rPr>
        <w:t>In accordance with the DCGC and our articles of association, a shareholder shall exercise the right of putting an item on the agenda only after consulting the management board in that respect. If one or more shareholders intend to request that an item be put on the agenda that may result in a change in the company’s strategy (for example, the removal of managing directors or supervisory directors), the management board must be given the opportunity to invoke a reasonable period to respond to such intention. Such period shall not exceed 180 days (or such other period as may be stipulated for such purpose by Dutch law and/or the DCGC from time to time). If invoked, the management board must use such response period for further deliberation and constructive consultation, in any event with the shareholders(s) concerned, and shall explore the alternatives. At the end of the response time, the management board shall report on this consultation and the exploration of alternatives to the general meeting. This shall be supervised by our supervisory board. The response period may be invoked only once for any given general meeting and shall not apply: (a) in respect of a matter for which a response period has been previously invoked; or (b) if a shareholder holds at least 75% of the company’s issued share capital as a consequence of a successful public bid. The response period may also be invoked in response to shareholders or others with meeting rights under Dutch law requesting that a general meeting be convened, as described above.</w:t>
      </w:r>
    </w:p>
    <w:p>
      <w:pPr>
        <w:spacing w:after="0" w:line="120" w:lineRule="exact"/>
        <w:rPr>
          <w:sz w:val="20"/>
          <w:szCs w:val="20"/>
          <w:color w:val="auto"/>
        </w:rPr>
      </w:pPr>
    </w:p>
    <w:p>
      <w:pPr>
        <w:ind w:left="1260" w:right="419" w:firstLine="648"/>
        <w:spacing w:after="0" w:line="262" w:lineRule="auto"/>
        <w:rPr>
          <w:sz w:val="20"/>
          <w:szCs w:val="20"/>
          <w:color w:val="auto"/>
        </w:rPr>
      </w:pPr>
      <w:r>
        <w:rPr>
          <w:rFonts w:ascii="Arial" w:cs="Arial" w:eastAsia="Arial" w:hAnsi="Arial"/>
          <w:sz w:val="17"/>
          <w:szCs w:val="17"/>
          <w:i w:val="1"/>
          <w:iCs w:val="1"/>
          <w:color w:val="auto"/>
        </w:rPr>
        <w:t xml:space="preserve">Delaware. </w:t>
      </w:r>
      <w:r>
        <w:rPr>
          <w:rFonts w:ascii="Arial" w:cs="Arial" w:eastAsia="Arial" w:hAnsi="Arial"/>
          <w:sz w:val="17"/>
          <w:szCs w:val="17"/>
          <w:color w:val="auto"/>
        </w:rPr>
        <w:t>Delaware law does not specifically grant stockholders the right to bring business before</w:t>
      </w:r>
      <w:r>
        <w:rPr>
          <w:rFonts w:ascii="Arial" w:cs="Arial" w:eastAsia="Arial" w:hAnsi="Arial"/>
          <w:sz w:val="17"/>
          <w:szCs w:val="17"/>
          <w:i w:val="1"/>
          <w:iCs w:val="1"/>
          <w:color w:val="auto"/>
        </w:rPr>
        <w:t xml:space="preserve"> </w:t>
      </w:r>
      <w:r>
        <w:rPr>
          <w:rFonts w:ascii="Arial" w:cs="Arial" w:eastAsia="Arial" w:hAnsi="Arial"/>
          <w:sz w:val="17"/>
          <w:szCs w:val="17"/>
          <w:color w:val="auto"/>
        </w:rPr>
        <w:t>an annual or special meeting. However, if a Delaware corporation is subject to the SEC’s proxy rules, a stockholder who owns at least $ 2,000 in market value, or 1% of the corporation’s securities entitled to vote, may propose a matter for a vote at an annual or special meeting in accordance with those rules.</w:t>
      </w:r>
    </w:p>
    <w:p>
      <w:pPr>
        <w:spacing w:after="0" w:line="172"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Action by Written Consent</w:t>
      </w:r>
    </w:p>
    <w:p>
      <w:pPr>
        <w:spacing w:after="0" w:line="144" w:lineRule="exact"/>
        <w:rPr>
          <w:sz w:val="20"/>
          <w:szCs w:val="20"/>
          <w:color w:val="auto"/>
        </w:rPr>
      </w:pPr>
    </w:p>
    <w:p>
      <w:pPr>
        <w:ind w:left="1260" w:right="439" w:firstLine="648"/>
        <w:spacing w:after="0" w:line="239" w:lineRule="auto"/>
        <w:rPr>
          <w:sz w:val="20"/>
          <w:szCs w:val="20"/>
          <w:color w:val="auto"/>
        </w:rPr>
      </w:pPr>
      <w:r>
        <w:rPr>
          <w:rFonts w:ascii="Arial" w:cs="Arial" w:eastAsia="Arial" w:hAnsi="Arial"/>
          <w:sz w:val="18"/>
          <w:szCs w:val="18"/>
          <w:i w:val="1"/>
          <w:iCs w:val="1"/>
          <w:color w:val="auto"/>
        </w:rPr>
        <w:t xml:space="preserve">The Netherlands. </w:t>
      </w:r>
      <w:r>
        <w:rPr>
          <w:rFonts w:ascii="Arial" w:cs="Arial" w:eastAsia="Arial" w:hAnsi="Arial"/>
          <w:sz w:val="18"/>
          <w:szCs w:val="18"/>
          <w:color w:val="auto"/>
        </w:rPr>
        <w:t>Under Dutch law, shareholders’ resolutions may be adopted in writing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holding a meeting of shareholders, provided that (i) the articles of association allow such action by written consent, (ii) the company has not issued bearer shares or, with its cooperation, depository receipts for shares in its capital, and (iii) the resolution is adopted unanimously by all shareholders that are entitled to vote. Although our articles of association allow for shareholders’ resolutions to be adopted in writing, the requirement of unanimity renders the adoption of shareholder resolutions without holding a meeting not feasible for us as a publicly traded company.</w:t>
      </w:r>
    </w:p>
    <w:p>
      <w:pPr>
        <w:spacing w:after="0" w:line="123" w:lineRule="exact"/>
        <w:rPr>
          <w:sz w:val="20"/>
          <w:szCs w:val="20"/>
          <w:color w:val="auto"/>
        </w:rPr>
      </w:pPr>
    </w:p>
    <w:p>
      <w:pPr>
        <w:ind w:left="1260" w:right="459" w:firstLine="648"/>
        <w:spacing w:after="0" w:line="261"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Although permitted by Delaware law, publicly listed companies do not typically permit</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of a corporation to take action by written consent.</w:t>
      </w:r>
    </w:p>
    <w:p>
      <w:pPr>
        <w:spacing w:after="0" w:line="171"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Appraisal Rights</w:t>
      </w:r>
    </w:p>
    <w:p>
      <w:pPr>
        <w:spacing w:after="0" w:line="158" w:lineRule="exact"/>
        <w:rPr>
          <w:sz w:val="20"/>
          <w:szCs w:val="20"/>
          <w:color w:val="auto"/>
        </w:rPr>
      </w:pPr>
    </w:p>
    <w:p>
      <w:pPr>
        <w:ind w:left="1260" w:right="439" w:firstLine="648"/>
        <w:spacing w:after="0" w:line="238" w:lineRule="auto"/>
        <w:rPr>
          <w:sz w:val="20"/>
          <w:szCs w:val="20"/>
          <w:color w:val="auto"/>
        </w:rPr>
      </w:pPr>
      <w:r>
        <w:rPr>
          <w:rFonts w:ascii="Arial" w:cs="Arial" w:eastAsia="Arial" w:hAnsi="Arial"/>
          <w:sz w:val="18"/>
          <w:szCs w:val="18"/>
          <w:i w:val="1"/>
          <w:iCs w:val="1"/>
          <w:color w:val="auto"/>
        </w:rPr>
        <w:t xml:space="preserve">The Netherlands. </w:t>
      </w:r>
      <w:r>
        <w:rPr>
          <w:rFonts w:ascii="Arial" w:cs="Arial" w:eastAsia="Arial" w:hAnsi="Arial"/>
          <w:sz w:val="18"/>
          <w:szCs w:val="18"/>
          <w:color w:val="auto"/>
        </w:rPr>
        <w:t>Subject to certain exceptions, Dutch law does not recognize the concept of</w:t>
      </w:r>
      <w:r>
        <w:rPr>
          <w:rFonts w:ascii="Arial" w:cs="Arial" w:eastAsia="Arial" w:hAnsi="Arial"/>
          <w:sz w:val="18"/>
          <w:szCs w:val="18"/>
          <w:i w:val="1"/>
          <w:iCs w:val="1"/>
          <w:color w:val="auto"/>
        </w:rPr>
        <w:t xml:space="preserve"> </w:t>
      </w:r>
      <w:r>
        <w:rPr>
          <w:rFonts w:ascii="Arial" w:cs="Arial" w:eastAsia="Arial" w:hAnsi="Arial"/>
          <w:sz w:val="18"/>
          <w:szCs w:val="18"/>
          <w:color w:val="auto"/>
        </w:rPr>
        <w:t>appraisal or dissenters’ rights. However, Dutch law does provide for squeeze- out procedures as described under “Dividends and Other Distributions — Squeeze-Out Procedures.” Also, Dutch law provides for cash exit rights in certain situations for dissenting shareholders of a company organized under Dutch law entering into certain types of mergers. In those situations, a dissenting shareholder may file a claim with the Dutch company for compensation. Such compensation shall then be determined by one or more independent experts. The shares of such shareholder that are subject to such claim will cease to exist as of the moment of entry into effect of the merger.</w:t>
      </w:r>
    </w:p>
    <w:p>
      <w:pPr>
        <w:spacing w:after="0" w:line="113" w:lineRule="exact"/>
        <w:rPr>
          <w:sz w:val="20"/>
          <w:szCs w:val="20"/>
          <w:color w:val="auto"/>
        </w:rPr>
      </w:pPr>
    </w:p>
    <w:p>
      <w:pPr>
        <w:jc w:val="both"/>
        <w:ind w:left="1260" w:right="659" w:firstLine="648"/>
        <w:spacing w:after="0" w:line="248"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The Delaware General Corporation Law provides for stockholder appraisal rights, or</w:t>
      </w:r>
      <w:r>
        <w:rPr>
          <w:rFonts w:ascii="Arial" w:cs="Arial" w:eastAsia="Arial" w:hAnsi="Arial"/>
          <w:sz w:val="18"/>
          <w:szCs w:val="18"/>
          <w:i w:val="1"/>
          <w:iCs w:val="1"/>
          <w:color w:val="auto"/>
        </w:rPr>
        <w:t xml:space="preserve"> </w:t>
      </w:r>
      <w:r>
        <w:rPr>
          <w:rFonts w:ascii="Arial" w:cs="Arial" w:eastAsia="Arial" w:hAnsi="Arial"/>
          <w:sz w:val="18"/>
          <w:szCs w:val="18"/>
          <w:color w:val="auto"/>
        </w:rPr>
        <w:t>the right to demand payment in cash of the judicially determined fair value of the stockholder’s shares, in connection with certain mergers and consolidations.</w:t>
      </w:r>
    </w:p>
    <w:p>
      <w:pPr>
        <w:spacing w:after="0" w:line="182"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Shareholder Suits</w:t>
      </w:r>
    </w:p>
    <w:p>
      <w:pPr>
        <w:spacing w:after="0" w:line="158" w:lineRule="exact"/>
        <w:rPr>
          <w:sz w:val="20"/>
          <w:szCs w:val="20"/>
          <w:color w:val="auto"/>
        </w:rPr>
      </w:pPr>
    </w:p>
    <w:p>
      <w:pPr>
        <w:ind w:left="1260" w:right="579" w:firstLine="648"/>
        <w:spacing w:after="0" w:line="291" w:lineRule="auto"/>
        <w:rPr>
          <w:sz w:val="20"/>
          <w:szCs w:val="20"/>
          <w:color w:val="auto"/>
        </w:rPr>
      </w:pPr>
      <w:r>
        <w:rPr>
          <w:rFonts w:ascii="Arial" w:cs="Arial" w:eastAsia="Arial" w:hAnsi="Arial"/>
          <w:sz w:val="17"/>
          <w:szCs w:val="17"/>
          <w:i w:val="1"/>
          <w:iCs w:val="1"/>
          <w:color w:val="auto"/>
        </w:rPr>
        <w:t xml:space="preserve">The Netherlands. </w:t>
      </w:r>
      <w:r>
        <w:rPr>
          <w:rFonts w:ascii="Arial" w:cs="Arial" w:eastAsia="Arial" w:hAnsi="Arial"/>
          <w:sz w:val="17"/>
          <w:szCs w:val="17"/>
          <w:color w:val="auto"/>
        </w:rPr>
        <w:t>In the event a third-party is liable to a Dutch company, only the company itself</w:t>
      </w:r>
      <w:r>
        <w:rPr>
          <w:rFonts w:ascii="Arial" w:cs="Arial" w:eastAsia="Arial" w:hAnsi="Arial"/>
          <w:sz w:val="17"/>
          <w:szCs w:val="17"/>
          <w:i w:val="1"/>
          <w:iCs w:val="1"/>
          <w:color w:val="auto"/>
        </w:rPr>
        <w:t xml:space="preserve"> </w:t>
      </w:r>
      <w:r>
        <w:rPr>
          <w:rFonts w:ascii="Arial" w:cs="Arial" w:eastAsia="Arial" w:hAnsi="Arial"/>
          <w:sz w:val="17"/>
          <w:szCs w:val="17"/>
          <w:color w:val="auto"/>
        </w:rPr>
        <w:t>can bring a civil action against that party. The individual shareholders do not have the right to bring an</w:t>
      </w: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81" w:name="page282"/>
    <w:bookmarkEnd w:id="28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19"/>
        <w:spacing w:after="0" w:line="251" w:lineRule="auto"/>
        <w:rPr>
          <w:sz w:val="20"/>
          <w:szCs w:val="20"/>
          <w:color w:val="auto"/>
        </w:rPr>
      </w:pPr>
      <w:r>
        <w:rPr>
          <w:rFonts w:ascii="Arial" w:cs="Arial" w:eastAsia="Arial" w:hAnsi="Arial"/>
          <w:sz w:val="17"/>
          <w:szCs w:val="17"/>
          <w:color w:val="auto"/>
        </w:rPr>
        <w:t>action on behalf of the company. Only in the event that the cause for the liability of a third party to the company also constitutes a tortious act directly against a shareholder does that shareholder have an individual right of action against such third party in its own name. Dutch law provides for the possibility to initiate such actions collectively, in which a foundation or an association can act as a class representative and has standing to commence proceedings and claim damages if certain criteria are met. The court will first determine if those criteria are met. If so, the case will go forward as a class action on the merits after a period allowing class members to opt out from the case has lapsed. All members of the class who are residents of the Netherlands and who did not opt out will be bound to the outcome of the case. Residents of other countries must actively opt in in order to be able to benefit from the class action. The defendant is not required to file defenses on the merits prior to the merits phase having commenced. It is possible for the parties to reach a settlement during the merits phase. Such a settlement can be approved by the court, which approval will then bind the members of the class, subject to a second opt-out. This new regime applies to claims brought after January 1, 2020 and which relate to certain events that occurred prior to that date. For other matters, the old Dutch class actions regime will apply. Under the old regime, no monetary damages can be sought. Also, a judgment rendered under the old regime will not bind individual class members. Even though Dutch law does not provide for derivative suits, directors and officers can still be subject to liability under U.S. securities laws.</w:t>
      </w:r>
    </w:p>
    <w:p>
      <w:pPr>
        <w:spacing w:after="0" w:line="116" w:lineRule="exact"/>
        <w:rPr>
          <w:sz w:val="20"/>
          <w:szCs w:val="20"/>
          <w:color w:val="auto"/>
        </w:rPr>
      </w:pPr>
    </w:p>
    <w:p>
      <w:pPr>
        <w:ind w:left="1260" w:right="439" w:firstLine="648"/>
        <w:spacing w:after="0" w:line="238"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Under the Delaware General Corporation Law, a stockholder may bring a derivative</w:t>
      </w:r>
      <w:r>
        <w:rPr>
          <w:rFonts w:ascii="Arial" w:cs="Arial" w:eastAsia="Arial" w:hAnsi="Arial"/>
          <w:sz w:val="18"/>
          <w:szCs w:val="18"/>
          <w:i w:val="1"/>
          <w:iCs w:val="1"/>
          <w:color w:val="auto"/>
        </w:rPr>
        <w:t xml:space="preserve"> </w:t>
      </w:r>
      <w:r>
        <w:rPr>
          <w:rFonts w:ascii="Arial" w:cs="Arial" w:eastAsia="Arial" w:hAnsi="Arial"/>
          <w:sz w:val="18"/>
          <w:szCs w:val="18"/>
          <w:color w:val="auto"/>
        </w:rPr>
        <w:t>action on behalf of the corporation to enforce the rights of the corporation. An individual also may commence a class action suit on behalf of himself and other similarly situated stockholders where the requirements for maintaining a class action under Delaware law have been met. A person may institute and maintain such a suit only if that person was a stockholder at the time of the transaction which is the subject of the suit. In addition, under Delaware case law, the plaintiff normally must be a stockholder at the time of the transaction that is the subject of the suit and throughout the duration of the derivative suit. Delaware law also requires that the derivative plaintiff make a demand on the directors of the corporation to assert the corporate claim before the suit may be prosecuted by the derivative plaintiff in court, unless such a demand would be futile.</w:t>
      </w:r>
    </w:p>
    <w:p>
      <w:pPr>
        <w:spacing w:after="0" w:line="188"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Repurchase of Shares</w:t>
      </w:r>
    </w:p>
    <w:p>
      <w:pPr>
        <w:spacing w:after="0" w:line="158" w:lineRule="exact"/>
        <w:rPr>
          <w:sz w:val="20"/>
          <w:szCs w:val="20"/>
          <w:color w:val="auto"/>
        </w:rPr>
      </w:pPr>
    </w:p>
    <w:p>
      <w:pPr>
        <w:ind w:left="1260" w:right="479" w:firstLine="648"/>
        <w:spacing w:after="0" w:line="252" w:lineRule="auto"/>
        <w:rPr>
          <w:sz w:val="20"/>
          <w:szCs w:val="20"/>
          <w:color w:val="auto"/>
        </w:rPr>
      </w:pPr>
      <w:r>
        <w:rPr>
          <w:rFonts w:ascii="Arial" w:cs="Arial" w:eastAsia="Arial" w:hAnsi="Arial"/>
          <w:sz w:val="17"/>
          <w:szCs w:val="17"/>
          <w:i w:val="1"/>
          <w:iCs w:val="1"/>
          <w:color w:val="auto"/>
        </w:rPr>
        <w:t xml:space="preserve">The Netherlands. </w:t>
      </w:r>
      <w:r>
        <w:rPr>
          <w:rFonts w:ascii="Arial" w:cs="Arial" w:eastAsia="Arial" w:hAnsi="Arial"/>
          <w:sz w:val="17"/>
          <w:szCs w:val="17"/>
          <w:color w:val="auto"/>
        </w:rPr>
        <w:t>Under Dutch law, when issuing shares, a public company such as ours may not</w:t>
      </w:r>
      <w:r>
        <w:rPr>
          <w:rFonts w:ascii="Arial" w:cs="Arial" w:eastAsia="Arial" w:hAnsi="Arial"/>
          <w:sz w:val="17"/>
          <w:szCs w:val="17"/>
          <w:i w:val="1"/>
          <w:iCs w:val="1"/>
          <w:color w:val="auto"/>
        </w:rPr>
        <w:t xml:space="preserve"> </w:t>
      </w:r>
      <w:r>
        <w:rPr>
          <w:rFonts w:ascii="Arial" w:cs="Arial" w:eastAsia="Arial" w:hAnsi="Arial"/>
          <w:sz w:val="17"/>
          <w:szCs w:val="17"/>
          <w:color w:val="auto"/>
        </w:rPr>
        <w:t>subscribe for newly issued shares in its own capital. Such company may, however, subject to certain restrictions of Dutch law and its articles of association, acquire shares in its own capital. A listed public company such as ours may acquire fully paid shares in its own capital at any time for no valuable consideration. Furthermore, subject to certain provisions of Dutch law and its articles of association, such company may repurchase fully paid shares in its own capital if (i) the company’s shareholders’ equity less the payment required to make the acquisition does not fall below the sum of paid-in and called-up share capital plus any reserves required by Dutch law or its articles of association and (ii) the aggregate nominal value of shares of the company which the company acquires, holds or on which the company holds a pledge (</w:t>
      </w:r>
      <w:r>
        <w:rPr>
          <w:rFonts w:ascii="Arial" w:cs="Arial" w:eastAsia="Arial" w:hAnsi="Arial"/>
          <w:sz w:val="17"/>
          <w:szCs w:val="17"/>
          <w:i w:val="1"/>
          <w:iCs w:val="1"/>
          <w:color w:val="auto"/>
        </w:rPr>
        <w:t>pandrecht</w:t>
      </w:r>
      <w:r>
        <w:rPr>
          <w:rFonts w:ascii="Arial" w:cs="Arial" w:eastAsia="Arial" w:hAnsi="Arial"/>
          <w:sz w:val="17"/>
          <w:szCs w:val="17"/>
          <w:color w:val="auto"/>
        </w:rPr>
        <w:t>) or which are held by a subsidiary of the company, would not exceed 50% of its then-current issued share capital. Such company may only acquire its own shares if its general meeting has granted the management board the authority to effect such acquisitions.</w:t>
      </w:r>
    </w:p>
    <w:p>
      <w:pPr>
        <w:spacing w:after="0" w:line="102" w:lineRule="exact"/>
        <w:rPr>
          <w:sz w:val="20"/>
          <w:szCs w:val="20"/>
          <w:color w:val="auto"/>
        </w:rPr>
      </w:pPr>
    </w:p>
    <w:p>
      <w:pPr>
        <w:ind w:left="1260" w:right="439" w:firstLine="648"/>
        <w:spacing w:after="0" w:line="252" w:lineRule="auto"/>
        <w:rPr>
          <w:sz w:val="20"/>
          <w:szCs w:val="20"/>
          <w:color w:val="auto"/>
        </w:rPr>
      </w:pPr>
      <w:r>
        <w:rPr>
          <w:rFonts w:ascii="Arial" w:cs="Arial" w:eastAsia="Arial" w:hAnsi="Arial"/>
          <w:sz w:val="17"/>
          <w:szCs w:val="17"/>
          <w:color w:val="auto"/>
        </w:rPr>
        <w:t>An acquisition of common shares for a consideration must be authorized by our general meeting. Such authorization may be granted for a maximum period of 18 months and must specify the number of common shares that may be acquired, the manner in which common shares may be acquired and the price limits within which common shares may be acquired. The actual acquisition may only be effected pursuant to a resolution of our management board, with the approval of our supervisory board. Our management board, subject to approval of our supervisory board, has been authorized, for a period of 18 months following the completion of our initial public offering, to cause the repurchase of common shares by us of up to 20% of our issued share capital, for a price per share not exceeding 110% of the average market price of our common shares on Nasdaq (such average market price being the average of the closing prices on each of the five consecutive trading days preceding the date the acquisition is agreed upon by us). These shares may be used to deliver shares underlying awards granted pursuant to our equity-based compensation plans.</w:t>
      </w:r>
    </w:p>
    <w:p>
      <w:pPr>
        <w:spacing w:after="0" w:line="118" w:lineRule="exact"/>
        <w:rPr>
          <w:sz w:val="20"/>
          <w:szCs w:val="20"/>
          <w:color w:val="auto"/>
        </w:rPr>
      </w:pPr>
    </w:p>
    <w:p>
      <w:pPr>
        <w:ind w:left="1260" w:right="519" w:firstLine="648"/>
        <w:spacing w:after="0" w:line="291" w:lineRule="auto"/>
        <w:rPr>
          <w:sz w:val="20"/>
          <w:szCs w:val="20"/>
          <w:color w:val="auto"/>
        </w:rPr>
      </w:pPr>
      <w:r>
        <w:rPr>
          <w:rFonts w:ascii="Arial" w:cs="Arial" w:eastAsia="Arial" w:hAnsi="Arial"/>
          <w:sz w:val="17"/>
          <w:szCs w:val="17"/>
          <w:color w:val="auto"/>
        </w:rPr>
        <w:t>Our management board, subject to approval by our supervisory board, has also been authorized for a period of 18 months following the completion of our initial public offering to cause the repurchase of</w:t>
      </w: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82" w:name="page283"/>
    <w:bookmarkEnd w:id="28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43" w:lineRule="auto"/>
        <w:rPr>
          <w:sz w:val="20"/>
          <w:szCs w:val="20"/>
          <w:color w:val="auto"/>
        </w:rPr>
      </w:pPr>
      <w:r>
        <w:rPr>
          <w:rFonts w:ascii="Arial" w:cs="Arial" w:eastAsia="Arial" w:hAnsi="Arial"/>
          <w:sz w:val="18"/>
          <w:szCs w:val="18"/>
          <w:color w:val="auto"/>
        </w:rPr>
        <w:t>preferred shares, for a price which is higher than nil and does not exceed the nominal value thereof. No authorization of the general meeting is required if fully paid common shares are acquired by us with the intention of transferring such common shares to our employees under an applicable employee share purchase plan.</w:t>
      </w:r>
    </w:p>
    <w:p>
      <w:pPr>
        <w:spacing w:after="0" w:line="120" w:lineRule="exact"/>
        <w:rPr>
          <w:sz w:val="20"/>
          <w:szCs w:val="20"/>
          <w:color w:val="auto"/>
        </w:rPr>
      </w:pPr>
    </w:p>
    <w:p>
      <w:pPr>
        <w:ind w:left="1260" w:right="499" w:firstLine="648"/>
        <w:spacing w:after="0"/>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Under the Delaware General Corporation Law, a corporation may purchase or redeem</w:t>
      </w:r>
      <w:r>
        <w:rPr>
          <w:rFonts w:ascii="Arial" w:cs="Arial" w:eastAsia="Arial" w:hAnsi="Arial"/>
          <w:sz w:val="18"/>
          <w:szCs w:val="18"/>
          <w:i w:val="1"/>
          <w:iCs w:val="1"/>
          <w:color w:val="auto"/>
        </w:rPr>
        <w:t xml:space="preserve"> </w:t>
      </w:r>
      <w:r>
        <w:rPr>
          <w:rFonts w:ascii="Arial" w:cs="Arial" w:eastAsia="Arial" w:hAnsi="Arial"/>
          <w:sz w:val="18"/>
          <w:szCs w:val="18"/>
          <w:color w:val="auto"/>
        </w:rPr>
        <w:t>its own shares unless the capital of the corporation is impaired or the purchase or redemption would cause an impairment of the capital of the corporation. A Delaware corporation may, however, purchase or redeem out of capital any of its preferred shares or, if no preferred shares are outstanding, any of its own shares if such shares will be retired upon acquisition and the capital of the corporation will be reduced in accordance with specified limitations.</w:t>
      </w:r>
    </w:p>
    <w:p>
      <w:pPr>
        <w:spacing w:after="0" w:line="189"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Anti-Takeover Provisions</w:t>
      </w:r>
    </w:p>
    <w:p>
      <w:pPr>
        <w:spacing w:after="0" w:line="158" w:lineRule="exact"/>
        <w:rPr>
          <w:sz w:val="20"/>
          <w:szCs w:val="20"/>
          <w:color w:val="auto"/>
        </w:rPr>
      </w:pPr>
    </w:p>
    <w:p>
      <w:pPr>
        <w:ind w:left="1260" w:right="459" w:firstLine="648"/>
        <w:spacing w:after="0" w:line="243" w:lineRule="auto"/>
        <w:rPr>
          <w:sz w:val="20"/>
          <w:szCs w:val="20"/>
          <w:color w:val="auto"/>
        </w:rPr>
      </w:pPr>
      <w:r>
        <w:rPr>
          <w:rFonts w:ascii="Arial" w:cs="Arial" w:eastAsia="Arial" w:hAnsi="Arial"/>
          <w:sz w:val="18"/>
          <w:szCs w:val="18"/>
          <w:i w:val="1"/>
          <w:iCs w:val="1"/>
          <w:color w:val="auto"/>
        </w:rPr>
        <w:t xml:space="preserve">The Netherlands. </w:t>
      </w:r>
      <w:r>
        <w:rPr>
          <w:rFonts w:ascii="Arial" w:cs="Arial" w:eastAsia="Arial" w:hAnsi="Arial"/>
          <w:sz w:val="18"/>
          <w:szCs w:val="18"/>
          <w:color w:val="auto"/>
        </w:rPr>
        <w:t>Under Dutch law, various protective measures are possible and permissible</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the boundaries set by Dutch law and Dutch case law. In this respect, certain provisions of our articles of association may make it more difficult for a third party to acquire control of us or effect a change in our management board and supervisory board. These provisions include:</w:t>
      </w:r>
    </w:p>
    <w:p>
      <w:pPr>
        <w:spacing w:after="0" w:line="80" w:lineRule="exact"/>
        <w:rPr>
          <w:sz w:val="20"/>
          <w:szCs w:val="20"/>
          <w:color w:val="auto"/>
        </w:rPr>
      </w:pPr>
    </w:p>
    <w:p>
      <w:pPr>
        <w:ind w:left="2260" w:right="459" w:hanging="352"/>
        <w:spacing w:after="0" w:line="255" w:lineRule="auto"/>
        <w:tabs>
          <w:tab w:leader="none" w:pos="22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authorization of a class of preferred shares that, after the expiration of the later of the initial period or the initial approval period, may be issued to a protective foundation pursuant to a call option to that effect, see “Risk factors — Provisions of our articles of association or Dutch corporate law might deter acquisition bids for us that might be considered favorable and prevent, delay or frustrate any attempt to replace or remove the members of our managing directors or supervisory directors;</w:t>
      </w:r>
    </w:p>
    <w:p>
      <w:pPr>
        <w:spacing w:after="0" w:line="70" w:lineRule="exact"/>
        <w:rPr>
          <w:rFonts w:ascii="Arial" w:cs="Arial" w:eastAsia="Arial" w:hAnsi="Arial"/>
          <w:sz w:val="18"/>
          <w:szCs w:val="18"/>
          <w:color w:val="auto"/>
        </w:rPr>
      </w:pPr>
    </w:p>
    <w:p>
      <w:pPr>
        <w:jc w:val="both"/>
        <w:ind w:left="2260" w:right="459" w:hanging="352"/>
        <w:spacing w:after="0" w:line="263" w:lineRule="auto"/>
        <w:tabs>
          <w:tab w:leader="none" w:pos="22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 provision that our managing directors and supervisory directors are appointed on the basis of a binding nomination, the binding nature of which can only be overruled by a simple majority of votes cast representing at least one-third of our issued share capital;</w:t>
      </w:r>
    </w:p>
    <w:p>
      <w:pPr>
        <w:spacing w:after="0" w:line="75" w:lineRule="exact"/>
        <w:rPr>
          <w:rFonts w:ascii="Arial" w:cs="Arial" w:eastAsia="Arial" w:hAnsi="Arial"/>
          <w:sz w:val="18"/>
          <w:szCs w:val="18"/>
          <w:color w:val="auto"/>
        </w:rPr>
      </w:pPr>
    </w:p>
    <w:p>
      <w:pPr>
        <w:ind w:left="2260" w:right="479" w:hanging="352"/>
        <w:spacing w:after="0" w:line="254" w:lineRule="auto"/>
        <w:tabs>
          <w:tab w:leader="none" w:pos="22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 provision that our managing directors and supervisory directors may only be dismissed by the general meeting by a two-thirds majority of votes cast representing more than 50% of our issued share capital (unless the dismissal is proposed by the supervisory board or, with respect to supervisory directors nominated by dievini or KfW, by dievini (or its legal successor) or permitted assigns under the KfW dievini Shareholders’ Agreement during the nomination period for dievini or by KfW (or its legal successors or permitted assigns under the KfW dievini Shareholders’ Agreement) during the nomination period for KfW, respectively, in which case a simple majority of the votes would be sufficient);</w:t>
      </w:r>
    </w:p>
    <w:p>
      <w:pPr>
        <w:spacing w:after="0" w:line="83" w:lineRule="exact"/>
        <w:rPr>
          <w:rFonts w:ascii="Arial" w:cs="Arial" w:eastAsia="Arial" w:hAnsi="Arial"/>
          <w:sz w:val="18"/>
          <w:szCs w:val="18"/>
          <w:color w:val="auto"/>
        </w:rPr>
      </w:pPr>
    </w:p>
    <w:p>
      <w:pPr>
        <w:ind w:left="2260" w:right="439" w:hanging="352"/>
        <w:spacing w:after="0" w:line="253" w:lineRule="auto"/>
        <w:tabs>
          <w:tab w:leader="none" w:pos="22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 provision that where a supervisory director is no longer in office or is unable to act, he or she may be replaced temporarily by a person whom the supervisory board has designated for that purpose and, where a supervisory director who has been appointed upon a nomination of dievini or KfW, as applicable, is no longer in office or unable to act, such supervisory director may only be temporarily replaced by a person designated for such purposes by dievini or KfW, as applicable. Such person shall become a full member of the supervisory board with the rights of the relevant supervisory director appointed upon a nomination of dievini or KfW, as applicable, as soon as a written designation to that effect has been received by the chairman or vice-chairman of our supervisory board, subject to limitations, under applicable law regarding dievini’s rights under this provision;</w:t>
      </w:r>
    </w:p>
    <w:p>
      <w:pPr>
        <w:spacing w:after="0" w:line="86" w:lineRule="exact"/>
        <w:rPr>
          <w:rFonts w:ascii="Arial" w:cs="Arial" w:eastAsia="Arial" w:hAnsi="Arial"/>
          <w:sz w:val="18"/>
          <w:szCs w:val="18"/>
          <w:color w:val="auto"/>
        </w:rPr>
      </w:pPr>
    </w:p>
    <w:p>
      <w:pPr>
        <w:ind w:left="2260" w:right="539" w:hanging="352"/>
        <w:spacing w:after="0" w:line="253" w:lineRule="auto"/>
        <w:tabs>
          <w:tab w:leader="none" w:pos="22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 provision allowing, among other matters, a former chairman of our supervisory board, a former nominee of dievini, and a former nominee of KfW, to jointly take on the supervisory functions, which persons jointly may designate one or more other persons to be charged with the supervision of our company (instead of or together with the former chairman of our supervisory board), as applicable, to manage our affairs if all of our managing directors and supervisory directors are removed from office and to appoint others to be charged with the management and supervision of our affairs, until new managing directors and supervisory directors are appointed by the general meeting on the basis of a binding nomination discussed above;</w:t>
      </w:r>
    </w:p>
    <w:p>
      <w:pPr>
        <w:sectPr>
          <w:pgSz w:w="11900" w:h="16838" w:orient="portrait"/>
          <w:cols w:equalWidth="0" w:num="1">
            <w:col w:w="9879"/>
          </w:cols>
          <w:pgMar w:left="580" w:top="132" w:right="1440" w:bottom="1440" w:gutter="0" w:footer="0" w:header="0"/>
        </w:sectPr>
      </w:pPr>
    </w:p>
    <w:p>
      <w:pPr>
        <w:spacing w:after="0" w:line="37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83" w:name="page284"/>
    <w:bookmarkEnd w:id="28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60" w:right="479" w:hanging="352"/>
        <w:spacing w:after="0" w:line="279" w:lineRule="auto"/>
        <w:tabs>
          <w:tab w:leader="none" w:pos="226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a provision allowing the management board to temporarily replace a managing director who is no longer in office or unable to act, by another person or persons designated for this purpose by the management board and attributing the management of the company to the supervisory board in case all managing directors are no longer in office or unable to act;</w:t>
      </w:r>
    </w:p>
    <w:p>
      <w:pPr>
        <w:spacing w:after="0" w:line="63" w:lineRule="exact"/>
        <w:rPr>
          <w:rFonts w:ascii="Arial" w:cs="Arial" w:eastAsia="Arial" w:hAnsi="Arial"/>
          <w:sz w:val="17"/>
          <w:szCs w:val="17"/>
          <w:color w:val="auto"/>
        </w:rPr>
      </w:pPr>
    </w:p>
    <w:p>
      <w:pPr>
        <w:ind w:left="2260" w:right="499" w:hanging="352"/>
        <w:spacing w:after="0" w:line="257" w:lineRule="auto"/>
        <w:tabs>
          <w:tab w:leader="none" w:pos="22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 provision that certain provisions of our articles of association can only be amended with the affirmative vote of (i) during the nomination period for dievini, dievini (or its legal successors or permitted assigns under the KfW dievini Shareholders’ Agreement) and (ii) during the nomination period for KfW, KfW (or its legal successors or permitted assigns under the KfW dievini Shareholders’ Agreement); and</w:t>
      </w:r>
    </w:p>
    <w:p>
      <w:pPr>
        <w:spacing w:after="0" w:line="79" w:lineRule="exact"/>
        <w:rPr>
          <w:rFonts w:ascii="Arial" w:cs="Arial" w:eastAsia="Arial" w:hAnsi="Arial"/>
          <w:sz w:val="18"/>
          <w:szCs w:val="18"/>
          <w:color w:val="auto"/>
        </w:rPr>
      </w:pPr>
    </w:p>
    <w:p>
      <w:pPr>
        <w:ind w:left="2260" w:right="499" w:hanging="352"/>
        <w:spacing w:after="0" w:line="308" w:lineRule="auto"/>
        <w:tabs>
          <w:tab w:leader="none" w:pos="226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a requirement that certain matters, including an amendment of our articles of association, may only be brought to our shareholders for a vote upon a proposal by our management board.</w:t>
      </w:r>
    </w:p>
    <w:p>
      <w:pPr>
        <w:spacing w:after="0" w:line="65" w:lineRule="exact"/>
        <w:rPr>
          <w:sz w:val="20"/>
          <w:szCs w:val="20"/>
          <w:color w:val="auto"/>
        </w:rPr>
      </w:pPr>
    </w:p>
    <w:p>
      <w:pPr>
        <w:ind w:left="1260" w:right="779" w:firstLine="648"/>
        <w:spacing w:after="0" w:line="248" w:lineRule="auto"/>
        <w:rPr>
          <w:sz w:val="20"/>
          <w:szCs w:val="20"/>
          <w:color w:val="auto"/>
        </w:rPr>
      </w:pPr>
      <w:r>
        <w:rPr>
          <w:rFonts w:ascii="Arial" w:cs="Arial" w:eastAsia="Arial" w:hAnsi="Arial"/>
          <w:sz w:val="18"/>
          <w:szCs w:val="18"/>
          <w:color w:val="auto"/>
        </w:rPr>
        <w:t>In addition, Dutch law allows for staggered multi- year terms of our managing directors and supervisory directors, as a result of which only part of our managing directors and supervisory directors may be subject to appointment or re-appointment in any one year.</w:t>
      </w:r>
    </w:p>
    <w:p>
      <w:pPr>
        <w:spacing w:after="0" w:line="114" w:lineRule="exact"/>
        <w:rPr>
          <w:sz w:val="20"/>
          <w:szCs w:val="20"/>
          <w:color w:val="auto"/>
        </w:rPr>
      </w:pPr>
    </w:p>
    <w:p>
      <w:pPr>
        <w:ind w:left="1260" w:right="479" w:firstLine="648"/>
        <w:spacing w:after="0" w:line="262" w:lineRule="auto"/>
        <w:rPr>
          <w:sz w:val="20"/>
          <w:szCs w:val="20"/>
          <w:color w:val="auto"/>
        </w:rPr>
      </w:pPr>
      <w:r>
        <w:rPr>
          <w:rFonts w:ascii="Arial" w:cs="Arial" w:eastAsia="Arial" w:hAnsi="Arial"/>
          <w:sz w:val="17"/>
          <w:szCs w:val="17"/>
          <w:i w:val="1"/>
          <w:iCs w:val="1"/>
          <w:color w:val="auto"/>
        </w:rPr>
        <w:t xml:space="preserve">Delaware. </w:t>
      </w:r>
      <w:r>
        <w:rPr>
          <w:rFonts w:ascii="Arial" w:cs="Arial" w:eastAsia="Arial" w:hAnsi="Arial"/>
          <w:sz w:val="17"/>
          <w:szCs w:val="17"/>
          <w:color w:val="auto"/>
        </w:rPr>
        <w:t>In addition to other aspects of Delaware law governing fiduciary duties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during a potential takeover, the Delaware General Corporation Law also contains a business combination statute that protects Delaware companies from hostile takeovers and from actions following the takeover by prohibiting some transactions once an acquirer has gained a significant holding in the corporation.</w:t>
      </w:r>
    </w:p>
    <w:p>
      <w:pPr>
        <w:spacing w:after="0" w:line="105" w:lineRule="exact"/>
        <w:rPr>
          <w:sz w:val="20"/>
          <w:szCs w:val="20"/>
          <w:color w:val="auto"/>
        </w:rPr>
      </w:pPr>
    </w:p>
    <w:p>
      <w:pPr>
        <w:ind w:left="1260" w:right="719" w:firstLine="648"/>
        <w:spacing w:after="0" w:line="262" w:lineRule="auto"/>
        <w:rPr>
          <w:sz w:val="20"/>
          <w:szCs w:val="20"/>
          <w:color w:val="auto"/>
        </w:rPr>
      </w:pPr>
      <w:r>
        <w:rPr>
          <w:rFonts w:ascii="Arial" w:cs="Arial" w:eastAsia="Arial" w:hAnsi="Arial"/>
          <w:sz w:val="17"/>
          <w:szCs w:val="17"/>
          <w:color w:val="auto"/>
        </w:rPr>
        <w:t>Section 203 of the Delaware General Corporation Law prohibits “business combinations,” including mergers, sales and leases of assets, issuances of securities and similar transactions by a corporation or a subsidiary with an interested stockholder that beneficially owns 15% or more of a corporation’s voting stock, within three years after the person becomes an interested stockholder, unless:</w:t>
      </w:r>
    </w:p>
    <w:p>
      <w:pPr>
        <w:spacing w:after="0" w:line="51" w:lineRule="exact"/>
        <w:rPr>
          <w:sz w:val="20"/>
          <w:szCs w:val="20"/>
          <w:color w:val="auto"/>
        </w:rPr>
      </w:pPr>
    </w:p>
    <w:p>
      <w:pPr>
        <w:ind w:left="2260" w:right="619" w:hanging="352"/>
        <w:spacing w:after="0" w:line="277" w:lineRule="auto"/>
        <w:tabs>
          <w:tab w:leader="none" w:pos="22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transaction that will cause the person to become an interested stockholder is approved by the board of directors of the target prior to the transactions;</w:t>
      </w:r>
    </w:p>
    <w:p>
      <w:pPr>
        <w:spacing w:after="0" w:line="62" w:lineRule="exact"/>
        <w:rPr>
          <w:rFonts w:ascii="Arial" w:cs="Arial" w:eastAsia="Arial" w:hAnsi="Arial"/>
          <w:sz w:val="18"/>
          <w:szCs w:val="18"/>
          <w:color w:val="auto"/>
        </w:rPr>
      </w:pPr>
    </w:p>
    <w:p>
      <w:pPr>
        <w:ind w:left="2260" w:right="519" w:hanging="352"/>
        <w:spacing w:after="0" w:line="259" w:lineRule="auto"/>
        <w:tabs>
          <w:tab w:leader="none" w:pos="22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after the completion of the transaction in which the person becomes an interested stockholder, the interested stockholder holds at least 85% of the voting stock of the corporation not including shares owned by persons who are directors and officers of interested stockholders and shares owned by specified employee benefit plans; or</w:t>
      </w:r>
    </w:p>
    <w:p>
      <w:pPr>
        <w:spacing w:after="0" w:line="78" w:lineRule="exact"/>
        <w:rPr>
          <w:rFonts w:ascii="Arial" w:cs="Arial" w:eastAsia="Arial" w:hAnsi="Arial"/>
          <w:sz w:val="18"/>
          <w:szCs w:val="18"/>
          <w:color w:val="auto"/>
        </w:rPr>
      </w:pPr>
    </w:p>
    <w:p>
      <w:pPr>
        <w:ind w:left="2260" w:right="639" w:hanging="352"/>
        <w:spacing w:after="0" w:line="263" w:lineRule="auto"/>
        <w:tabs>
          <w:tab w:leader="none" w:pos="22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after the person becomes an interested stockholder, the business combination is approved by the board of directors of the corporation and holders of at least 66.67% of the outstanding voting stock, excluding shares held by the interested stockholder.</w:t>
      </w:r>
    </w:p>
    <w:p>
      <w:pPr>
        <w:spacing w:after="0" w:line="116" w:lineRule="exact"/>
        <w:rPr>
          <w:sz w:val="20"/>
          <w:szCs w:val="20"/>
          <w:color w:val="auto"/>
        </w:rPr>
      </w:pPr>
    </w:p>
    <w:p>
      <w:pPr>
        <w:ind w:left="1260" w:right="459" w:firstLine="648"/>
        <w:spacing w:after="0" w:line="241" w:lineRule="auto"/>
        <w:rPr>
          <w:sz w:val="20"/>
          <w:szCs w:val="20"/>
          <w:color w:val="auto"/>
        </w:rPr>
      </w:pPr>
      <w:r>
        <w:rPr>
          <w:rFonts w:ascii="Arial" w:cs="Arial" w:eastAsia="Arial" w:hAnsi="Arial"/>
          <w:sz w:val="18"/>
          <w:szCs w:val="18"/>
          <w:color w:val="auto"/>
        </w:rPr>
        <w:t>A Delaware corporation may elect not to be governed by Section 203 by a provision contained in the original certificate of incorporation of the corporation or an amendment to the original certificate of incorporation or to the bylaws of the company, which amendment must be approved by a majority of the shares entitled to vote and may not be further amended by the board of directors of the corporation. Such an amendment is not effective until 12 months following its adoption.</w:t>
      </w:r>
    </w:p>
    <w:p>
      <w:pPr>
        <w:spacing w:after="0" w:line="189"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Inspection of Books and Records</w:t>
      </w:r>
    </w:p>
    <w:p>
      <w:pPr>
        <w:spacing w:after="0" w:line="144" w:lineRule="exact"/>
        <w:rPr>
          <w:sz w:val="20"/>
          <w:szCs w:val="20"/>
          <w:color w:val="auto"/>
        </w:rPr>
      </w:pPr>
    </w:p>
    <w:p>
      <w:pPr>
        <w:ind w:left="1260" w:right="499" w:firstLine="648"/>
        <w:spacing w:after="0" w:line="243" w:lineRule="auto"/>
        <w:rPr>
          <w:sz w:val="20"/>
          <w:szCs w:val="20"/>
          <w:color w:val="auto"/>
        </w:rPr>
      </w:pPr>
      <w:r>
        <w:rPr>
          <w:rFonts w:ascii="Arial" w:cs="Arial" w:eastAsia="Arial" w:hAnsi="Arial"/>
          <w:sz w:val="18"/>
          <w:szCs w:val="18"/>
          <w:i w:val="1"/>
          <w:iCs w:val="1"/>
          <w:color w:val="auto"/>
        </w:rPr>
        <w:t xml:space="preserve">The Netherlands. </w:t>
      </w:r>
      <w:r>
        <w:rPr>
          <w:rFonts w:ascii="Arial" w:cs="Arial" w:eastAsia="Arial" w:hAnsi="Arial"/>
          <w:sz w:val="18"/>
          <w:szCs w:val="18"/>
          <w:color w:val="auto"/>
        </w:rPr>
        <w:t>The management board and the supervisory board provide the general meeting,</w:t>
      </w:r>
      <w:r>
        <w:rPr>
          <w:rFonts w:ascii="Arial" w:cs="Arial" w:eastAsia="Arial" w:hAnsi="Arial"/>
          <w:sz w:val="18"/>
          <w:szCs w:val="18"/>
          <w:i w:val="1"/>
          <w:iCs w:val="1"/>
          <w:color w:val="auto"/>
        </w:rPr>
        <w:t xml:space="preserve"> </w:t>
      </w:r>
      <w:r>
        <w:rPr>
          <w:rFonts w:ascii="Arial" w:cs="Arial" w:eastAsia="Arial" w:hAnsi="Arial"/>
          <w:sz w:val="18"/>
          <w:szCs w:val="18"/>
          <w:color w:val="auto"/>
        </w:rPr>
        <w:t>within a reasonable amount of time, all information that the shareholders require for the exercise of their powers, unless this would be contrary to an overriding interest of our company. If the management board or supervisory board invokes such an overriding interest, it must give reasons.</w:t>
      </w:r>
    </w:p>
    <w:p>
      <w:pPr>
        <w:spacing w:after="0" w:line="120" w:lineRule="exact"/>
        <w:rPr>
          <w:sz w:val="20"/>
          <w:szCs w:val="20"/>
          <w:color w:val="auto"/>
        </w:rPr>
      </w:pPr>
    </w:p>
    <w:p>
      <w:pPr>
        <w:ind w:left="1260" w:right="739" w:firstLine="648"/>
        <w:spacing w:after="0" w:line="248"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Under the Delaware General Corporation Law, any stockholder may inspect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proper purpose certain of the corporation’s books and records during the corporation’s usual hours of business.</w:t>
      </w:r>
    </w:p>
    <w:p>
      <w:pPr>
        <w:spacing w:after="0" w:line="182"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Dismissal of Directors</w:t>
      </w:r>
    </w:p>
    <w:p>
      <w:pPr>
        <w:spacing w:after="0" w:line="158" w:lineRule="exact"/>
        <w:rPr>
          <w:sz w:val="20"/>
          <w:szCs w:val="20"/>
          <w:color w:val="auto"/>
        </w:rPr>
      </w:pPr>
    </w:p>
    <w:p>
      <w:pPr>
        <w:ind w:left="1260" w:right="939" w:firstLine="648"/>
        <w:spacing w:after="0" w:line="291" w:lineRule="auto"/>
        <w:rPr>
          <w:sz w:val="20"/>
          <w:szCs w:val="20"/>
          <w:color w:val="auto"/>
        </w:rPr>
      </w:pPr>
      <w:r>
        <w:rPr>
          <w:rFonts w:ascii="Arial" w:cs="Arial" w:eastAsia="Arial" w:hAnsi="Arial"/>
          <w:sz w:val="17"/>
          <w:szCs w:val="17"/>
          <w:i w:val="1"/>
          <w:iCs w:val="1"/>
          <w:color w:val="auto"/>
        </w:rPr>
        <w:t xml:space="preserve">The Netherlands. </w:t>
      </w:r>
      <w:r>
        <w:rPr>
          <w:rFonts w:ascii="Arial" w:cs="Arial" w:eastAsia="Arial" w:hAnsi="Arial"/>
          <w:sz w:val="17"/>
          <w:szCs w:val="17"/>
          <w:color w:val="auto"/>
        </w:rPr>
        <w:t>Under our articles of association, the general meeting shall at all times be</w:t>
      </w:r>
      <w:r>
        <w:rPr>
          <w:rFonts w:ascii="Arial" w:cs="Arial" w:eastAsia="Arial" w:hAnsi="Arial"/>
          <w:sz w:val="17"/>
          <w:szCs w:val="17"/>
          <w:i w:val="1"/>
          <w:iCs w:val="1"/>
          <w:color w:val="auto"/>
        </w:rPr>
        <w:t xml:space="preserve"> </w:t>
      </w:r>
      <w:r>
        <w:rPr>
          <w:rFonts w:ascii="Arial" w:cs="Arial" w:eastAsia="Arial" w:hAnsi="Arial"/>
          <w:sz w:val="17"/>
          <w:szCs w:val="17"/>
          <w:color w:val="auto"/>
        </w:rPr>
        <w:t>entitled to dismiss a managing director or supervisory director. The general meeting may only adopt a</w:t>
      </w: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84" w:name="page285"/>
    <w:bookmarkEnd w:id="28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519"/>
        <w:spacing w:after="0" w:line="239" w:lineRule="auto"/>
        <w:rPr>
          <w:sz w:val="20"/>
          <w:szCs w:val="20"/>
          <w:color w:val="auto"/>
        </w:rPr>
      </w:pPr>
      <w:r>
        <w:rPr>
          <w:rFonts w:ascii="Arial" w:cs="Arial" w:eastAsia="Arial" w:hAnsi="Arial"/>
          <w:sz w:val="18"/>
          <w:szCs w:val="18"/>
          <w:color w:val="auto"/>
        </w:rPr>
        <w:t>resolution to suspend or dismiss a managing director or supervisory director by at least a two- thirds majority of the votes cast, provided that such majority represents more than half of the issued share capital, unless the proposal was made by the supervisory board or, with respect to supervisory directors nominated by dievini or KfW, by dievini (or its legal successor or permitted assigns under the KfW dievini Shareholders’ Agreement) during the nomination period for dievini or by KfW (or its legal successor or permitted assigns under the KfW dievini Shareholders’ Agreement) during the nomination period for KfW, respectively, in which latter case a simple majority is sufficient.</w:t>
      </w:r>
    </w:p>
    <w:p>
      <w:pPr>
        <w:spacing w:after="0" w:line="123" w:lineRule="exact"/>
        <w:rPr>
          <w:sz w:val="20"/>
          <w:szCs w:val="20"/>
          <w:color w:val="auto"/>
        </w:rPr>
      </w:pPr>
    </w:p>
    <w:p>
      <w:pPr>
        <w:ind w:left="1260" w:right="559" w:firstLine="648"/>
        <w:spacing w:after="0" w:line="253" w:lineRule="auto"/>
        <w:rPr>
          <w:sz w:val="20"/>
          <w:szCs w:val="20"/>
          <w:color w:val="auto"/>
        </w:rPr>
      </w:pPr>
      <w:r>
        <w:rPr>
          <w:rFonts w:ascii="Arial" w:cs="Arial" w:eastAsia="Arial" w:hAnsi="Arial"/>
          <w:sz w:val="17"/>
          <w:szCs w:val="17"/>
          <w:i w:val="1"/>
          <w:iCs w:val="1"/>
          <w:color w:val="auto"/>
        </w:rPr>
        <w:t xml:space="preserve">Delaware. </w:t>
      </w:r>
      <w:r>
        <w:rPr>
          <w:rFonts w:ascii="Arial" w:cs="Arial" w:eastAsia="Arial" w:hAnsi="Arial"/>
          <w:sz w:val="17"/>
          <w:szCs w:val="17"/>
          <w:color w:val="auto"/>
        </w:rPr>
        <w:t>Under the Delaware General Corporation Law, any director or the entire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may be removed, with or without cause, by the holders of a majority of the shares then entitled to vote at an election of directors, except (i) unless the certificate of incorporation provides otherwise, in the case of a corporation whose board is classified, stockholders may effect such removal only for cause, or</w:t>
      </w:r>
    </w:p>
    <w:p>
      <w:pPr>
        <w:spacing w:after="0" w:line="2" w:lineRule="exact"/>
        <w:rPr>
          <w:sz w:val="20"/>
          <w:szCs w:val="20"/>
          <w:color w:val="auto"/>
        </w:rPr>
      </w:pPr>
    </w:p>
    <w:p>
      <w:pPr>
        <w:ind w:left="1260" w:right="459"/>
        <w:spacing w:after="0" w:line="238" w:lineRule="auto"/>
        <w:tabs>
          <w:tab w:leader="none" w:pos="1543"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in the case of a corporation having cumulative voting, if less than the entire board is to be removed, no director may be removed without cause if the votes cast against his removal would be sufficient to elect him if then cumulatively voted at an election of the entire board of directors, or, if there are classes of directors, at an election of the class of directors of which he or she is a part.</w:t>
      </w:r>
    </w:p>
    <w:p>
      <w:pPr>
        <w:spacing w:after="0" w:line="189"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Issuance of Shares</w:t>
      </w:r>
    </w:p>
    <w:p>
      <w:pPr>
        <w:spacing w:after="0" w:line="158" w:lineRule="exact"/>
        <w:rPr>
          <w:sz w:val="20"/>
          <w:szCs w:val="20"/>
          <w:color w:val="auto"/>
        </w:rPr>
      </w:pPr>
    </w:p>
    <w:p>
      <w:pPr>
        <w:ind w:left="1260" w:right="479" w:firstLine="648"/>
        <w:spacing w:after="0" w:line="255" w:lineRule="auto"/>
        <w:rPr>
          <w:sz w:val="20"/>
          <w:szCs w:val="20"/>
          <w:color w:val="auto"/>
        </w:rPr>
      </w:pPr>
      <w:r>
        <w:rPr>
          <w:rFonts w:ascii="Arial" w:cs="Arial" w:eastAsia="Arial" w:hAnsi="Arial"/>
          <w:sz w:val="17"/>
          <w:szCs w:val="17"/>
          <w:i w:val="1"/>
          <w:iCs w:val="1"/>
          <w:color w:val="auto"/>
        </w:rPr>
        <w:t xml:space="preserve">The Netherlands. </w:t>
      </w:r>
      <w:r>
        <w:rPr>
          <w:rFonts w:ascii="Arial" w:cs="Arial" w:eastAsia="Arial" w:hAnsi="Arial"/>
          <w:sz w:val="17"/>
          <w:szCs w:val="17"/>
          <w:color w:val="auto"/>
        </w:rPr>
        <w:t>Under Dutch law, a company’s general meeting is the corporate body authorized</w:t>
      </w:r>
      <w:r>
        <w:rPr>
          <w:rFonts w:ascii="Arial" w:cs="Arial" w:eastAsia="Arial" w:hAnsi="Arial"/>
          <w:sz w:val="17"/>
          <w:szCs w:val="17"/>
          <w:i w:val="1"/>
          <w:iCs w:val="1"/>
          <w:color w:val="auto"/>
        </w:rPr>
        <w:t xml:space="preserve"> </w:t>
      </w:r>
      <w:r>
        <w:rPr>
          <w:rFonts w:ascii="Arial" w:cs="Arial" w:eastAsia="Arial" w:hAnsi="Arial"/>
          <w:sz w:val="17"/>
          <w:szCs w:val="17"/>
          <w:color w:val="auto"/>
        </w:rPr>
        <w:t>to resolve on the issuance of shares and the granting of rights to subscribe for shares. The general meeting can delegate such authority to another corporate body of the company, such as the management board, for a period not exceeding five years; this authorization may only be extended from time to time for a maximum period of five years. In order for a resolution of the general meeting on an issuance or an authorization as discussed in the previous sentence to be valid, a prior or simultaneous approval shall be required from each meeting of holders of a certain class of shares whose rights are prejudiced by the issuance.</w:t>
      </w:r>
    </w:p>
    <w:p>
      <w:pPr>
        <w:spacing w:after="0" w:line="99" w:lineRule="exact"/>
        <w:rPr>
          <w:sz w:val="20"/>
          <w:szCs w:val="20"/>
          <w:color w:val="auto"/>
        </w:rPr>
      </w:pPr>
    </w:p>
    <w:p>
      <w:pPr>
        <w:ind w:left="1260" w:right="479" w:firstLine="648"/>
        <w:spacing w:after="0" w:line="243" w:lineRule="auto"/>
        <w:rPr>
          <w:sz w:val="20"/>
          <w:szCs w:val="20"/>
          <w:color w:val="auto"/>
        </w:rPr>
      </w:pPr>
      <w:r>
        <w:rPr>
          <w:rFonts w:ascii="Arial" w:cs="Arial" w:eastAsia="Arial" w:hAnsi="Arial"/>
          <w:sz w:val="18"/>
          <w:szCs w:val="18"/>
          <w:color w:val="auto"/>
        </w:rPr>
        <w:t>Our management board, subject to approval of our supervisory board, has been authorized, for a period of five years from the completion of our initial public offering, to issue shares or grant rights to subscribe for shares up to our authorized share capital from time to time. We may not subscribe for our own shares on issue.</w:t>
      </w:r>
    </w:p>
    <w:p>
      <w:pPr>
        <w:spacing w:after="0" w:line="120" w:lineRule="exact"/>
        <w:rPr>
          <w:sz w:val="20"/>
          <w:szCs w:val="20"/>
          <w:color w:val="auto"/>
        </w:rPr>
      </w:pPr>
    </w:p>
    <w:p>
      <w:pPr>
        <w:ind w:left="1260" w:right="459" w:firstLine="648"/>
        <w:spacing w:after="0" w:line="248"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All creation of shares require the board of directors to adopt a resolution or resolutions,</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authority expressly vested in the board of directors by the provisions of the company’s certificate of incorporation.</w:t>
      </w:r>
    </w:p>
    <w:p>
      <w:pPr>
        <w:spacing w:after="0" w:line="182"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Preemptive Rights</w:t>
      </w:r>
    </w:p>
    <w:p>
      <w:pPr>
        <w:spacing w:after="0" w:line="158" w:lineRule="exact"/>
        <w:rPr>
          <w:sz w:val="20"/>
          <w:szCs w:val="20"/>
          <w:color w:val="auto"/>
        </w:rPr>
      </w:pPr>
    </w:p>
    <w:p>
      <w:pPr>
        <w:ind w:left="1260" w:right="439" w:firstLine="648"/>
        <w:spacing w:after="0" w:line="251" w:lineRule="auto"/>
        <w:rPr>
          <w:sz w:val="20"/>
          <w:szCs w:val="20"/>
          <w:color w:val="auto"/>
        </w:rPr>
      </w:pPr>
      <w:r>
        <w:rPr>
          <w:rFonts w:ascii="Arial" w:cs="Arial" w:eastAsia="Arial" w:hAnsi="Arial"/>
          <w:sz w:val="17"/>
          <w:szCs w:val="17"/>
          <w:i w:val="1"/>
          <w:iCs w:val="1"/>
          <w:color w:val="auto"/>
        </w:rPr>
        <w:t xml:space="preserve">The Netherlands. </w:t>
      </w:r>
      <w:r>
        <w:rPr>
          <w:rFonts w:ascii="Arial" w:cs="Arial" w:eastAsia="Arial" w:hAnsi="Arial"/>
          <w:sz w:val="17"/>
          <w:szCs w:val="17"/>
          <w:color w:val="auto"/>
        </w:rPr>
        <w:t>Under Dutch law, in the event of an issuance of common shares, each shareholder</w:t>
      </w:r>
      <w:r>
        <w:rPr>
          <w:rFonts w:ascii="Arial" w:cs="Arial" w:eastAsia="Arial" w:hAnsi="Arial"/>
          <w:sz w:val="17"/>
          <w:szCs w:val="17"/>
          <w:i w:val="1"/>
          <w:iCs w:val="1"/>
          <w:color w:val="auto"/>
        </w:rPr>
        <w:t xml:space="preserve"> </w:t>
      </w:r>
      <w:r>
        <w:rPr>
          <w:rFonts w:ascii="Arial" w:cs="Arial" w:eastAsia="Arial" w:hAnsi="Arial"/>
          <w:sz w:val="17"/>
          <w:szCs w:val="17"/>
          <w:color w:val="auto"/>
        </w:rPr>
        <w:t>will have a pro rata preemptive right in proportion to the aggregate nominal value of the common shares held by such holder (with the exception of common shares to be issued to employees or common shares issued against a contribution other than in cash or pursuant to the exercise of a previously acquired right to subscribe for shares) . Our preferred shares carry no preemptive rights. Under our articles of association, the preemptive rights in respect of newly issued common shares may be restricted or excluded by a resolution of the general meeting. Another corporate body, such as the management board, may restrict or exclude the preemptive rights in respect of newly issued common shares if it has been designated as the authorized body to do so by the general meeting. Such designation can be granted for a period not exceeding five years. A resolution of the general meeting to restrict or exclude the preemptive rights or to designate another corporate body as the authorized body to do so requires a majority of not less than two -thirds of the votes cast, if less than one-half of our issued share capital is represented at the meeting. Our management board, subject to approval of our supervisory board, has been authorized, for a period of five years from the completion of our initial public offering, to limit or exclude preemptive rights in relation to an issuance of shares or a grant of rights to subscribe for shares that the management board is authorized to resolve upon. See “Issuance of Shares.”</w:t>
      </w:r>
    </w:p>
    <w:p>
      <w:pPr>
        <w:spacing w:after="0" w:line="104" w:lineRule="exact"/>
        <w:rPr>
          <w:sz w:val="20"/>
          <w:szCs w:val="20"/>
          <w:color w:val="auto"/>
        </w:rPr>
      </w:pPr>
    </w:p>
    <w:p>
      <w:pPr>
        <w:ind w:left="1260" w:right="499" w:firstLine="648"/>
        <w:spacing w:after="0" w:line="248"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Under the Delaware General Corporation Law, stockholders have no preemptive rights</w:t>
      </w:r>
      <w:r>
        <w:rPr>
          <w:rFonts w:ascii="Arial" w:cs="Arial" w:eastAsia="Arial" w:hAnsi="Arial"/>
          <w:sz w:val="18"/>
          <w:szCs w:val="18"/>
          <w:i w:val="1"/>
          <w:iCs w:val="1"/>
          <w:color w:val="auto"/>
        </w:rPr>
        <w:t xml:space="preserve"> </w:t>
      </w:r>
      <w:r>
        <w:rPr>
          <w:rFonts w:ascii="Arial" w:cs="Arial" w:eastAsia="Arial" w:hAnsi="Arial"/>
          <w:sz w:val="18"/>
          <w:szCs w:val="18"/>
          <w:color w:val="auto"/>
        </w:rPr>
        <w:t>to subscribe for additional issues of stock or to any security convertible into such stock unless, and to the extent that, such rights are expressly provided for in the certificate of incorporation.</w:t>
      </w:r>
    </w:p>
    <w:p>
      <w:pPr>
        <w:spacing w:after="0" w:line="37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85" w:name="page286"/>
    <w:bookmarkEnd w:id="28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Dividends</w:t>
      </w:r>
    </w:p>
    <w:p>
      <w:pPr>
        <w:spacing w:after="0" w:line="158" w:lineRule="exact"/>
        <w:rPr>
          <w:sz w:val="20"/>
          <w:szCs w:val="20"/>
          <w:color w:val="auto"/>
        </w:rPr>
      </w:pPr>
    </w:p>
    <w:p>
      <w:pPr>
        <w:ind w:left="1260" w:right="499" w:firstLine="648"/>
        <w:spacing w:after="0" w:line="238" w:lineRule="auto"/>
        <w:rPr>
          <w:sz w:val="20"/>
          <w:szCs w:val="20"/>
          <w:color w:val="auto"/>
        </w:rPr>
      </w:pPr>
      <w:r>
        <w:rPr>
          <w:rFonts w:ascii="Arial" w:cs="Arial" w:eastAsia="Arial" w:hAnsi="Arial"/>
          <w:sz w:val="18"/>
          <w:szCs w:val="18"/>
          <w:i w:val="1"/>
          <w:iCs w:val="1"/>
          <w:color w:val="auto"/>
        </w:rPr>
        <w:t xml:space="preserve">The Netherlands. </w:t>
      </w:r>
      <w:r>
        <w:rPr>
          <w:rFonts w:ascii="Arial" w:cs="Arial" w:eastAsia="Arial" w:hAnsi="Arial"/>
          <w:sz w:val="18"/>
          <w:szCs w:val="18"/>
          <w:color w:val="auto"/>
        </w:rPr>
        <w:t>Dutch law provides that dividends (if it concerns a distribution of profits) may</w:t>
      </w:r>
      <w:r>
        <w:rPr>
          <w:rFonts w:ascii="Arial" w:cs="Arial" w:eastAsia="Arial" w:hAnsi="Arial"/>
          <w:sz w:val="18"/>
          <w:szCs w:val="18"/>
          <w:i w:val="1"/>
          <w:iCs w:val="1"/>
          <w:color w:val="auto"/>
        </w:rPr>
        <w:t xml:space="preserve"> </w:t>
      </w:r>
      <w:r>
        <w:rPr>
          <w:rFonts w:ascii="Arial" w:cs="Arial" w:eastAsia="Arial" w:hAnsi="Arial"/>
          <w:sz w:val="18"/>
          <w:szCs w:val="18"/>
          <w:color w:val="auto"/>
        </w:rPr>
        <w:t>be distributed after adoption of the annual accounts by the general meeting from which it appears that such dividend distribution is allowed. Moreover, dividends may be distributed, whether as a distribution of profits or of freely distributable reserves, only to the extent the shareholders’ equity exceeds the amount of the paid-in and called- up issued share capital and the reserves that must be maintained under the law or the articles of association. Interim dividends may be declared as provided in the articles of association and may be distributed to the extent that the shareholders’ equity exceeds the amount of the paid-in and called-up issued share capital plus any reserves as described above as apparent from our interim financial statements prepared under Dutch law.</w:t>
      </w:r>
    </w:p>
    <w:p>
      <w:pPr>
        <w:spacing w:after="0" w:line="124" w:lineRule="exact"/>
        <w:rPr>
          <w:sz w:val="20"/>
          <w:szCs w:val="20"/>
          <w:color w:val="auto"/>
        </w:rPr>
      </w:pPr>
    </w:p>
    <w:p>
      <w:pPr>
        <w:ind w:left="1260" w:right="419" w:firstLine="648"/>
        <w:spacing w:after="0" w:line="251" w:lineRule="auto"/>
        <w:rPr>
          <w:sz w:val="20"/>
          <w:szCs w:val="20"/>
          <w:color w:val="auto"/>
        </w:rPr>
      </w:pPr>
      <w:r>
        <w:rPr>
          <w:rFonts w:ascii="Arial" w:cs="Arial" w:eastAsia="Arial" w:hAnsi="Arial"/>
          <w:sz w:val="17"/>
          <w:szCs w:val="17"/>
          <w:color w:val="auto"/>
        </w:rPr>
        <w:t>Under our articles of association, our management board, with the approval of our supervisory board, may decide that all or part of the profits are carried to reserves. Before reservation of any profit, to the extent that preferred shares have been cancelled and preferred distributions on those cancelled shares are outstanding, the profits are first to be used to satisfy the outstanding claim to those who held those preferred shares at the moment of such cancellation becoming effective and subsequently if any preferred shares are outstanding, the preferred dividend is paid out of the remaining profit on the preferred shares in accordance with our articles of association. The remaining profit will be at the disposal of the general meeting at the proposal of the management board for distribution on the common shares, subject to restrictions of Dutch law and approval by our supervisory board of such proposal of our management board. Our management board is permitted, subject to certain requirements, to declare interim dividends without the approval of the general meeting, but only with the approval of the supervisory board. Dividends and other distributions shall be made payable not later than the date determined by the management board. Claims to dividends and other distributions not made within five years from the date that such dividends or distributions became payable will lapse and any such amounts will be considered to have been forfeited to us (</w:t>
      </w:r>
      <w:r>
        <w:rPr>
          <w:rFonts w:ascii="Arial" w:cs="Arial" w:eastAsia="Arial" w:hAnsi="Arial"/>
          <w:sz w:val="17"/>
          <w:szCs w:val="17"/>
          <w:i w:val="1"/>
          <w:iCs w:val="1"/>
          <w:color w:val="auto"/>
        </w:rPr>
        <w:t>verjaring</w:t>
      </w:r>
      <w:r>
        <w:rPr>
          <w:rFonts w:ascii="Arial" w:cs="Arial" w:eastAsia="Arial" w:hAnsi="Arial"/>
          <w:sz w:val="17"/>
          <w:szCs w:val="17"/>
          <w:color w:val="auto"/>
        </w:rPr>
        <w:t>).</w:t>
      </w:r>
    </w:p>
    <w:p>
      <w:pPr>
        <w:spacing w:after="0" w:line="108" w:lineRule="exact"/>
        <w:rPr>
          <w:sz w:val="20"/>
          <w:szCs w:val="20"/>
          <w:color w:val="auto"/>
        </w:rPr>
      </w:pPr>
    </w:p>
    <w:p>
      <w:pPr>
        <w:ind w:left="1260" w:right="599" w:firstLine="648"/>
        <w:spacing w:after="0" w:line="238"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Under the Delaware General Corporation Law, a Delaware corporation may pay</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out of its surplus (the excess of net assets over capital), or in case there is no surplus, out of its net profits for the fiscal year in which the dividend is declared and/or the preceding fiscal year (provided that the amount of the capital of the corporation is not less than the aggregate amount of the capital represented by the issued and outstanding stock of all classes having a preference upon the distribution of assets). In determining the amount of surplus of a Delaware corporation, the assets of the corporation, including stock of subsidiaries owned by the corporation, must be valued at their fair market value as determined by the board of directors, without regard to their historical book value. Dividends may be paid in the form of common stock, property or cash.</w:t>
      </w:r>
    </w:p>
    <w:p>
      <w:pPr>
        <w:spacing w:after="0" w:line="191"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Shareholder Vote on Certain Reorganizations</w:t>
      </w:r>
    </w:p>
    <w:p>
      <w:pPr>
        <w:spacing w:after="0" w:line="158" w:lineRule="exact"/>
        <w:rPr>
          <w:sz w:val="20"/>
          <w:szCs w:val="20"/>
          <w:color w:val="auto"/>
        </w:rPr>
      </w:pPr>
    </w:p>
    <w:p>
      <w:pPr>
        <w:ind w:left="1260" w:right="779" w:firstLine="648"/>
        <w:spacing w:after="0" w:line="248" w:lineRule="auto"/>
        <w:rPr>
          <w:sz w:val="20"/>
          <w:szCs w:val="20"/>
          <w:color w:val="auto"/>
        </w:rPr>
      </w:pPr>
      <w:r>
        <w:rPr>
          <w:rFonts w:ascii="Arial" w:cs="Arial" w:eastAsia="Arial" w:hAnsi="Arial"/>
          <w:sz w:val="18"/>
          <w:szCs w:val="18"/>
          <w:i w:val="1"/>
          <w:iCs w:val="1"/>
          <w:color w:val="auto"/>
        </w:rPr>
        <w:t xml:space="preserve">The Netherlands. </w:t>
      </w:r>
      <w:r>
        <w:rPr>
          <w:rFonts w:ascii="Arial" w:cs="Arial" w:eastAsia="Arial" w:hAnsi="Arial"/>
          <w:sz w:val="18"/>
          <w:szCs w:val="18"/>
          <w:color w:val="auto"/>
        </w:rPr>
        <w:t>Under Dutch law, the general meeting must approve resolutions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board relating to a significant change in the identity or the character of the company or the business of the company, which includes:</w:t>
      </w:r>
    </w:p>
    <w:p>
      <w:pPr>
        <w:spacing w:after="0" w:line="74" w:lineRule="exact"/>
        <w:rPr>
          <w:sz w:val="20"/>
          <w:szCs w:val="20"/>
          <w:color w:val="auto"/>
        </w:rPr>
      </w:pPr>
    </w:p>
    <w:p>
      <w:pPr>
        <w:ind w:left="2260" w:hanging="352"/>
        <w:spacing w:after="0"/>
        <w:tabs>
          <w:tab w:leader="none" w:pos="22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 transfer of the business or virtually the entire business to a third party;</w:t>
      </w:r>
    </w:p>
    <w:p>
      <w:pPr>
        <w:spacing w:after="0" w:line="117" w:lineRule="exact"/>
        <w:rPr>
          <w:rFonts w:ascii="Arial" w:cs="Arial" w:eastAsia="Arial" w:hAnsi="Arial"/>
          <w:sz w:val="18"/>
          <w:szCs w:val="18"/>
          <w:color w:val="auto"/>
        </w:rPr>
      </w:pPr>
    </w:p>
    <w:p>
      <w:pPr>
        <w:ind w:left="2260" w:right="599" w:hanging="352"/>
        <w:spacing w:after="0" w:line="259" w:lineRule="auto"/>
        <w:tabs>
          <w:tab w:leader="none" w:pos="22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entry into or termination of a long-term cooperation of the company or a subsidiary with another legal entity or company or as a fully liable partner in a limited partnership or general partnership, if such cooperation or termination is of a far-reaching significance for the company; and</w:t>
      </w:r>
    </w:p>
    <w:p>
      <w:pPr>
        <w:spacing w:after="0" w:line="78" w:lineRule="exact"/>
        <w:rPr>
          <w:rFonts w:ascii="Arial" w:cs="Arial" w:eastAsia="Arial" w:hAnsi="Arial"/>
          <w:sz w:val="18"/>
          <w:szCs w:val="18"/>
          <w:color w:val="auto"/>
        </w:rPr>
      </w:pPr>
    </w:p>
    <w:p>
      <w:pPr>
        <w:ind w:left="2260" w:right="559" w:hanging="352"/>
        <w:spacing w:after="0" w:line="257" w:lineRule="auto"/>
        <w:tabs>
          <w:tab w:leader="none" w:pos="22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acquisition or divestment by the company or a subsidiary of a participating interest in the capital of a company having a value of at least one-third of the amount of its assets according to its balance sheet and explanatory notes or, if the company prepares a consolidated balance sheet, according to its consolidated balance sheet and explanatory notes in the last adopted annual accounts of the company.</w:t>
      </w:r>
    </w:p>
    <w:p>
      <w:pPr>
        <w:spacing w:after="0" w:line="107" w:lineRule="exact"/>
        <w:rPr>
          <w:sz w:val="20"/>
          <w:szCs w:val="20"/>
          <w:color w:val="auto"/>
        </w:rPr>
      </w:pPr>
    </w:p>
    <w:p>
      <w:pPr>
        <w:ind w:left="1260" w:right="419" w:firstLine="648"/>
        <w:spacing w:after="0" w:line="291" w:lineRule="auto"/>
        <w:rPr>
          <w:sz w:val="20"/>
          <w:szCs w:val="20"/>
          <w:color w:val="auto"/>
        </w:rPr>
      </w:pPr>
      <w:r>
        <w:rPr>
          <w:rFonts w:ascii="Arial" w:cs="Arial" w:eastAsia="Arial" w:hAnsi="Arial"/>
          <w:sz w:val="17"/>
          <w:szCs w:val="17"/>
          <w:i w:val="1"/>
          <w:iCs w:val="1"/>
          <w:color w:val="auto"/>
        </w:rPr>
        <w:t xml:space="preserve">Delaware. </w:t>
      </w:r>
      <w:r>
        <w:rPr>
          <w:rFonts w:ascii="Arial" w:cs="Arial" w:eastAsia="Arial" w:hAnsi="Arial"/>
          <w:sz w:val="17"/>
          <w:szCs w:val="17"/>
          <w:color w:val="auto"/>
        </w:rPr>
        <w:t>Under the Delaware General Corporation Law, the vote of a majority of the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of capital stock entitled to vote thereon generally is necessary to approve a merger or consolidation</w:t>
      </w:r>
    </w:p>
    <w:p>
      <w:pPr>
        <w:spacing w:after="0" w:line="3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86" w:name="page287"/>
    <w:bookmarkEnd w:id="28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579"/>
        <w:spacing w:after="0" w:line="259" w:lineRule="auto"/>
        <w:rPr>
          <w:sz w:val="20"/>
          <w:szCs w:val="20"/>
          <w:color w:val="auto"/>
        </w:rPr>
      </w:pPr>
      <w:r>
        <w:rPr>
          <w:rFonts w:ascii="Arial" w:cs="Arial" w:eastAsia="Arial" w:hAnsi="Arial"/>
          <w:sz w:val="18"/>
          <w:szCs w:val="18"/>
          <w:color w:val="auto"/>
        </w:rPr>
        <w:t>or the sale of all or substantially all of the assets of a corporation. The Delaware General Corporation Law permits a corporation to include in its certificate of incorporation a provision requiring for any corporate action the vote of a larger portion of the stock or of any class or series of stock than would otherwise be required.</w:t>
      </w:r>
    </w:p>
    <w:p>
      <w:pPr>
        <w:spacing w:after="0" w:line="119" w:lineRule="exact"/>
        <w:rPr>
          <w:sz w:val="20"/>
          <w:szCs w:val="20"/>
          <w:color w:val="auto"/>
        </w:rPr>
      </w:pPr>
    </w:p>
    <w:p>
      <w:pPr>
        <w:ind w:left="1260" w:right="479" w:firstLine="648"/>
        <w:spacing w:after="0" w:line="253" w:lineRule="auto"/>
        <w:rPr>
          <w:sz w:val="20"/>
          <w:szCs w:val="20"/>
          <w:color w:val="auto"/>
        </w:rPr>
      </w:pPr>
      <w:r>
        <w:rPr>
          <w:rFonts w:ascii="Arial" w:cs="Arial" w:eastAsia="Arial" w:hAnsi="Arial"/>
          <w:sz w:val="18"/>
          <w:szCs w:val="18"/>
          <w:color w:val="auto"/>
        </w:rPr>
        <w:t>Under the Delaware General Corporation Law, no vote of the stockholders of a surviving corporation to a merger is needed, however, unless required by the certificate of incorporation, if (i) the agreement of merger does not amend in any respect the certificate of incorporation of the surviving corporation, (ii) the shares of stock of the surviving corporation are not changed in the merger and (iii) the number of shares of common stock of the surviving corporation into which any other shares, securities or obligations to be issued in the merger may be converted does not exceed 20% of the surviving corporation’s common stock outstanding immediately prior to the effective date of the merger. In addition, stockholders may not be entitled to vote in certain mergers with other corporations that own 90% or more of the outstanding shares of each class of stock of such corporation, but the stockholders will be entitled to appraisal rights.</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Remuneration of Managing Directors and Supervisory Directors</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The Netherlands.</w:t>
      </w:r>
    </w:p>
    <w:p>
      <w:pPr>
        <w:spacing w:after="0" w:line="158" w:lineRule="exact"/>
        <w:rPr>
          <w:sz w:val="20"/>
          <w:szCs w:val="20"/>
          <w:color w:val="auto"/>
        </w:rPr>
      </w:pPr>
    </w:p>
    <w:p>
      <w:pPr>
        <w:ind w:left="1260" w:right="479" w:firstLine="648"/>
        <w:spacing w:after="0" w:line="254" w:lineRule="auto"/>
        <w:rPr>
          <w:sz w:val="20"/>
          <w:szCs w:val="20"/>
          <w:color w:val="auto"/>
        </w:rPr>
      </w:pPr>
      <w:r>
        <w:rPr>
          <w:rFonts w:ascii="Arial" w:cs="Arial" w:eastAsia="Arial" w:hAnsi="Arial"/>
          <w:sz w:val="18"/>
          <w:szCs w:val="18"/>
          <w:color w:val="auto"/>
        </w:rPr>
        <w:t>The supervisory board determines the remuneration of individual managing directors with due observance of the compensation policy at the recommendation of our compensation committee. A proposal with respect to remuneration schemes in the form of shares or rights to shares in which managing directors may participate is subject to approval by our general meeting. Such a proposal must set out at least the maximum number of shares or rights to subscribe for shares to be granted to the managing directors and the criteria for granting or amendment. The compensation for our supervisory directors is set by the general meeting.</w:t>
      </w:r>
    </w:p>
    <w:p>
      <w:pPr>
        <w:spacing w:after="0" w:line="114" w:lineRule="exact"/>
        <w:rPr>
          <w:sz w:val="20"/>
          <w:szCs w:val="20"/>
          <w:color w:val="auto"/>
        </w:rPr>
      </w:pPr>
    </w:p>
    <w:p>
      <w:pPr>
        <w:ind w:left="1260" w:right="559" w:firstLine="648"/>
        <w:spacing w:after="0" w:line="259"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Under the Delaware General Corporation Law, the stockholders do not generally have</w:t>
      </w:r>
      <w:r>
        <w:rPr>
          <w:rFonts w:ascii="Arial" w:cs="Arial" w:eastAsia="Arial" w:hAnsi="Arial"/>
          <w:sz w:val="18"/>
          <w:szCs w:val="18"/>
          <w:i w:val="1"/>
          <w:iCs w:val="1"/>
          <w:color w:val="auto"/>
        </w:rPr>
        <w:t xml:space="preserve"> </w:t>
      </w:r>
      <w:r>
        <w:rPr>
          <w:rFonts w:ascii="Arial" w:cs="Arial" w:eastAsia="Arial" w:hAnsi="Arial"/>
          <w:sz w:val="18"/>
          <w:szCs w:val="18"/>
          <w:color w:val="auto"/>
        </w:rPr>
        <w:t>the right to approve the compensation policy for directors or the senior management of the corporation, although certain aspects of the compensation policy may be subject to stockholder vote due to the provisions of U.S. federal securities and tax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87" w:name="page288"/>
    <w:bookmarkEnd w:id="28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COMMON SHARES ELIGIBLE FOR FUTURE SALE</w:t>
      </w:r>
    </w:p>
    <w:p>
      <w:pPr>
        <w:spacing w:after="0" w:line="162" w:lineRule="exact"/>
        <w:rPr>
          <w:sz w:val="20"/>
          <w:szCs w:val="20"/>
          <w:color w:val="auto"/>
        </w:rPr>
      </w:pPr>
    </w:p>
    <w:p>
      <w:pPr>
        <w:ind w:left="1260" w:right="419" w:firstLine="648"/>
        <w:spacing w:after="0" w:line="239" w:lineRule="auto"/>
        <w:rPr>
          <w:sz w:val="20"/>
          <w:szCs w:val="20"/>
          <w:color w:val="auto"/>
        </w:rPr>
      </w:pPr>
      <w:r>
        <w:rPr>
          <w:rFonts w:ascii="Arial" w:cs="Arial" w:eastAsia="Arial" w:hAnsi="Arial"/>
          <w:sz w:val="18"/>
          <w:szCs w:val="18"/>
          <w:color w:val="auto"/>
        </w:rPr>
        <w:t>Our common shares are listed on the Nasdaq Global Market, or Nasdaq, under the symbol “CVAC.” Future sales of substantial amounts of our common shares in the public market could adversely affect market prices prevailing from time to time. Furthermore, because only a limited number of common shares will be available for sale shortly after this offering due to existing contractual and legal restrictions on resale as described below, there may be sales of substantial amounts of our common shares in the public market after such restrictions lapse. This may adversely affect the prevailing market price and our ability to raise equity capital in the future.</w:t>
      </w:r>
    </w:p>
    <w:p>
      <w:pPr>
        <w:spacing w:after="0" w:line="123" w:lineRule="exact"/>
        <w:rPr>
          <w:sz w:val="20"/>
          <w:szCs w:val="20"/>
          <w:color w:val="auto"/>
        </w:rPr>
      </w:pPr>
    </w:p>
    <w:p>
      <w:pPr>
        <w:ind w:left="1260" w:right="459" w:firstLine="648"/>
        <w:spacing w:after="0" w:line="252" w:lineRule="auto"/>
        <w:rPr>
          <w:sz w:val="20"/>
          <w:szCs w:val="20"/>
          <w:color w:val="auto"/>
        </w:rPr>
      </w:pPr>
      <w:r>
        <w:rPr>
          <w:rFonts w:ascii="Arial" w:cs="Arial" w:eastAsia="Arial" w:hAnsi="Arial"/>
          <w:sz w:val="17"/>
          <w:szCs w:val="17"/>
          <w:color w:val="auto"/>
        </w:rPr>
        <w:t>Based on the number of common shares outstanding as of December 31, 2020, upon completion of this offering, 186,163,480 common shares will be outstanding, assuming no outstanding options are exercised. All of the common shares sold in this offering will be freely transferable without restriction or further registration under the Securities Act, except for any common shares sold to our “affiliates.” In addition, all of our common shares outstanding before this offering will be freely transferable and may be resold without restriction or further registration under the Securities Act except for any common shares held by our “affiliates.” Under Rule 144 of the Securities Act, an “affiliate” of a company is a person that directly or indirectly controls, is controlled by or is under common control with that company. Affiliates may sell only the volume of shares described below and their sales are subject to additional restrictions described below. As a result of the contractual lock-up period described below and the provisions of Rules 144 and 701, these shares will be available for sale in the public market as follows: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144</w:t>
      </w:r>
    </w:p>
    <w:p>
      <w:pPr>
        <w:spacing w:after="0" w:line="148" w:lineRule="exact"/>
        <w:rPr>
          <w:sz w:val="20"/>
          <w:szCs w:val="20"/>
          <w:color w:val="auto"/>
        </w:rPr>
      </w:pPr>
    </w:p>
    <w:p>
      <w:pPr>
        <w:ind w:left="1260" w:right="419" w:firstLine="648"/>
        <w:spacing w:after="0" w:line="254" w:lineRule="auto"/>
        <w:rPr>
          <w:sz w:val="20"/>
          <w:szCs w:val="20"/>
          <w:color w:val="auto"/>
        </w:rPr>
      </w:pPr>
      <w:r>
        <w:rPr>
          <w:rFonts w:ascii="Arial" w:cs="Arial" w:eastAsia="Arial" w:hAnsi="Arial"/>
          <w:sz w:val="17"/>
          <w:szCs w:val="17"/>
          <w:color w:val="auto"/>
        </w:rPr>
        <w:t>In general, a person who has beneficially owned our common shares that are restricted shares for at least six months would be entitled to sell such securities, provided that (i) such person is not deemed to have been one of our affiliates at the time of, or at any time during the 90 days preceding, a sale and (ii) we are subject to the Exchange Act periodic reporting requirements for at least 90 days before the sale. Persons who have beneficially owned our common shares that are restricted shares for at least six months but who are our affiliates at the time of, or any time during the 90 days preceding, a sale, would be subject to additional restrictions, by which such person would be entitled to sell within any three month period only a number of securities that does not exceed the greater of either of the following:</w:t>
      </w:r>
    </w:p>
    <w:p>
      <w:pPr>
        <w:spacing w:after="0" w:line="73" w:lineRule="exact"/>
        <w:rPr>
          <w:sz w:val="20"/>
          <w:szCs w:val="20"/>
          <w:color w:val="auto"/>
        </w:rPr>
      </w:pPr>
    </w:p>
    <w:p>
      <w:pPr>
        <w:ind w:left="2260" w:right="739" w:hanging="352"/>
        <w:spacing w:after="0" w:line="263" w:lineRule="auto"/>
        <w:tabs>
          <w:tab w:leader="none" w:pos="22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1% of the number of our common shares then outstanding, which will equal approximately 1,861,634 common shares immediately after this offering, assuming no exercise of the underwriters’ option to purchase additional shares; or</w:t>
      </w:r>
    </w:p>
    <w:p>
      <w:pPr>
        <w:spacing w:after="0" w:line="75" w:lineRule="exact"/>
        <w:rPr>
          <w:rFonts w:ascii="Arial" w:cs="Arial" w:eastAsia="Arial" w:hAnsi="Arial"/>
          <w:sz w:val="18"/>
          <w:szCs w:val="18"/>
          <w:color w:val="auto"/>
        </w:rPr>
      </w:pPr>
    </w:p>
    <w:p>
      <w:pPr>
        <w:ind w:left="2260" w:right="439" w:hanging="352"/>
        <w:spacing w:after="0" w:line="255" w:lineRule="auto"/>
        <w:tabs>
          <w:tab w:leader="none" w:pos="22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average weekly trading volume of our common shares on The Nasdaq Global Market during the four calendar weeks preceding the filing of a notice on Form 144 with respect to the sale; provided, in each case, that we are subject to the Exchange Act periodic reporting requirements for at least 90 days before the sale. Such sales both by affiliates and by non-affiliates must also comply with the manner of sale, current public information and notice provisions of Rule 144 to the extent applicable.</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701</w:t>
      </w:r>
    </w:p>
    <w:p>
      <w:pPr>
        <w:spacing w:after="0" w:line="148" w:lineRule="exact"/>
        <w:rPr>
          <w:sz w:val="20"/>
          <w:szCs w:val="20"/>
          <w:color w:val="auto"/>
        </w:rPr>
      </w:pPr>
    </w:p>
    <w:p>
      <w:pPr>
        <w:ind w:left="1260" w:right="479" w:firstLine="648"/>
        <w:spacing w:after="0"/>
        <w:rPr>
          <w:sz w:val="20"/>
          <w:szCs w:val="20"/>
          <w:color w:val="auto"/>
        </w:rPr>
      </w:pPr>
      <w:r>
        <w:rPr>
          <w:rFonts w:ascii="Arial" w:cs="Arial" w:eastAsia="Arial" w:hAnsi="Arial"/>
          <w:sz w:val="18"/>
          <w:szCs w:val="18"/>
          <w:color w:val="auto"/>
        </w:rPr>
        <w:t>In general, subject to any contractual lock- up restrictions, under Rule 701, any of our employees, managing directors, supervisory directors, officers, consultants or advisors who purchases shares from us in connection with a compensatory share or option plan or other written agreement before the effective date of the initial public offering is entitled to resell such shares 90 days after the effective date of our initial public offering in reliance on Rule 144, without having to comply with the holding period requirements or other restrictions contained in Rule 701.</w:t>
      </w:r>
    </w:p>
    <w:p>
      <w:pPr>
        <w:spacing w:after="0" w:line="122" w:lineRule="exact"/>
        <w:rPr>
          <w:sz w:val="20"/>
          <w:szCs w:val="20"/>
          <w:color w:val="auto"/>
        </w:rPr>
      </w:pPr>
    </w:p>
    <w:p>
      <w:pPr>
        <w:ind w:left="1260" w:right="479" w:firstLine="648"/>
        <w:spacing w:after="0" w:line="255" w:lineRule="auto"/>
        <w:rPr>
          <w:sz w:val="20"/>
          <w:szCs w:val="20"/>
          <w:color w:val="auto"/>
        </w:rPr>
      </w:pPr>
      <w:r>
        <w:rPr>
          <w:rFonts w:ascii="Arial" w:cs="Arial" w:eastAsia="Arial" w:hAnsi="Arial"/>
          <w:sz w:val="17"/>
          <w:szCs w:val="17"/>
          <w:color w:val="auto"/>
        </w:rPr>
        <w:t>The SEC has indicated that Rule 701 will apply to typical share options granted by an issuer before it becomes subject to the reporting requirements of the Exchange Act, along with the shares acquired upon exercise of such options, including exercises after the date of this prospectus. Securities issued in reliance on Rule 701 are restricted securities and, subject to the contractual restrictions described below, beginning 90 days after the date of this prospectus, may be sold by persons other than “affiliates,” as defined in Rule 144, subject only to the manner of sale provisions of Rule 144 and by “affiliates” under Rule 144 without compliance with its one-year minimum holding period requirement.</w:t>
      </w:r>
    </w:p>
    <w:p>
      <w:pPr>
        <w:sectPr>
          <w:pgSz w:w="11900" w:h="16838" w:orient="portrait"/>
          <w:cols w:equalWidth="0" w:num="1">
            <w:col w:w="9879"/>
          </w:cols>
          <w:pgMar w:left="580" w:top="132"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286385</wp:posOffset>
            </wp:positionV>
            <wp:extent cx="6806565" cy="171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88" w:name="page289"/>
    <w:bookmarkEnd w:id="28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Regulation S</w:t>
      </w:r>
    </w:p>
    <w:p>
      <w:pPr>
        <w:spacing w:after="0" w:line="162" w:lineRule="exact"/>
        <w:rPr>
          <w:sz w:val="20"/>
          <w:szCs w:val="20"/>
          <w:color w:val="auto"/>
        </w:rPr>
      </w:pPr>
    </w:p>
    <w:p>
      <w:pPr>
        <w:ind w:left="1260" w:right="899" w:firstLine="648"/>
        <w:spacing w:after="0" w:line="277" w:lineRule="auto"/>
        <w:rPr>
          <w:sz w:val="20"/>
          <w:szCs w:val="20"/>
          <w:color w:val="auto"/>
        </w:rPr>
      </w:pPr>
      <w:r>
        <w:rPr>
          <w:rFonts w:ascii="Arial" w:cs="Arial" w:eastAsia="Arial" w:hAnsi="Arial"/>
          <w:sz w:val="18"/>
          <w:szCs w:val="18"/>
          <w:color w:val="auto"/>
        </w:rPr>
        <w:t>Regulation S provides generally that sales made in offshore transactions are not subject to the registration or prospectus-delivery requirements of the Securities Act.</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 Agreement</w:t>
      </w:r>
    </w:p>
    <w:p>
      <w:pPr>
        <w:spacing w:after="0" w:line="162" w:lineRule="exact"/>
        <w:rPr>
          <w:sz w:val="20"/>
          <w:szCs w:val="20"/>
          <w:color w:val="auto"/>
        </w:rPr>
      </w:pPr>
    </w:p>
    <w:p>
      <w:pPr>
        <w:ind w:left="1260" w:right="439" w:firstLine="648"/>
        <w:spacing w:after="0" w:line="269" w:lineRule="auto"/>
        <w:rPr>
          <w:sz w:val="20"/>
          <w:szCs w:val="20"/>
          <w:color w:val="auto"/>
        </w:rPr>
      </w:pPr>
      <w:r>
        <w:rPr>
          <w:rFonts w:ascii="Arial" w:cs="Arial" w:eastAsia="Arial" w:hAnsi="Arial"/>
          <w:sz w:val="17"/>
          <w:szCs w:val="17"/>
          <w:color w:val="auto"/>
        </w:rPr>
        <w:t>We entered into a registration rights agreement upon the consummation off our initial public offering, pursuant to which each holder of at least 10% of our common shares and certain other holders of our common shares is entitled to various rights with respect to the registration of their common shares under the Securities Act. Each holder party to the registration rights agreement or an Eligible Shareholder shall continue to have various rights with respect to the registration of its common shares under the Securities Act, until 90 days after such shareholder, including its affiliates, cease to hold at least 10% of our common shares, or any other future class of shares. The registration of these common shares under the Securities Act would result in these common shares becoming freely tradable without restriction under the Securities Act immediately upon the effectiveness of the registration, except for shares purchased by affiliates. We are not required to register such common shares if an exemption from the registration requirements of the U.S. Securities Act is available with respect to the number of our common shares desired to be sold.</w:t>
      </w:r>
    </w:p>
    <w:p>
      <w:pPr>
        <w:spacing w:after="0" w:line="182"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Form F-1 Registration Statement</w:t>
      </w:r>
    </w:p>
    <w:p>
      <w:pPr>
        <w:spacing w:after="0" w:line="144" w:lineRule="exact"/>
        <w:rPr>
          <w:sz w:val="20"/>
          <w:szCs w:val="20"/>
          <w:color w:val="auto"/>
        </w:rPr>
      </w:pPr>
    </w:p>
    <w:p>
      <w:pPr>
        <w:ind w:left="1260" w:right="639" w:firstLine="648"/>
        <w:spacing w:after="0" w:line="257" w:lineRule="auto"/>
        <w:rPr>
          <w:sz w:val="20"/>
          <w:szCs w:val="20"/>
          <w:color w:val="auto"/>
        </w:rPr>
      </w:pPr>
      <w:r>
        <w:rPr>
          <w:rFonts w:ascii="Arial" w:cs="Arial" w:eastAsia="Arial" w:hAnsi="Arial"/>
          <w:sz w:val="18"/>
          <w:szCs w:val="18"/>
          <w:color w:val="auto"/>
        </w:rPr>
        <w:t>On or after February 9, 2021, any Eligible Shareholder or group of Eligible Shareholders, will be entitled to demand in writing that we effect the registration under the Securities Act of the sale or other transfer of such shareholder or shareholders’ common shares, provided that we are not required to effect more than three such registrations and that the aggregate anticipated offering price from the sale of such shares equals at least $35 million, subject to certain exemptions.</w:t>
      </w:r>
    </w:p>
    <w:p>
      <w:pPr>
        <w:spacing w:after="0" w:line="188"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Form F-3 Registration Statement</w:t>
      </w:r>
    </w:p>
    <w:p>
      <w:pPr>
        <w:spacing w:after="0" w:line="158" w:lineRule="exact"/>
        <w:rPr>
          <w:sz w:val="20"/>
          <w:szCs w:val="20"/>
          <w:color w:val="auto"/>
        </w:rPr>
      </w:pPr>
    </w:p>
    <w:p>
      <w:pPr>
        <w:ind w:left="1260" w:right="559" w:firstLine="648"/>
        <w:spacing w:after="0" w:line="255" w:lineRule="auto"/>
        <w:rPr>
          <w:sz w:val="20"/>
          <w:szCs w:val="20"/>
          <w:color w:val="auto"/>
        </w:rPr>
      </w:pPr>
      <w:r>
        <w:rPr>
          <w:rFonts w:ascii="Arial" w:cs="Arial" w:eastAsia="Arial" w:hAnsi="Arial"/>
          <w:sz w:val="18"/>
          <w:szCs w:val="18"/>
          <w:color w:val="auto"/>
        </w:rPr>
        <w:t>After we become eligible to file a registration statement on Form F-3, which will not be until August 13, 2021, each Eligible Shareholder or group of Eligible Shareholders may request in writing, not more than three times within 12-month period, that we effect a registration of the sale or other transfer of such shares, provided that the aggregate anticipated offering price from the sale of such shares equals at least $15 million, subject to certain exemptions. We will not be obligated to file a registration statement on Form F-3 in certain customary cases, subject to certain exemptions.</w:t>
      </w:r>
    </w:p>
    <w:p>
      <w:pPr>
        <w:spacing w:after="0" w:line="192"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Piggyback Registration Rights</w:t>
      </w:r>
    </w:p>
    <w:p>
      <w:pPr>
        <w:spacing w:after="0" w:line="158" w:lineRule="exact"/>
        <w:rPr>
          <w:sz w:val="20"/>
          <w:szCs w:val="20"/>
          <w:color w:val="auto"/>
        </w:rPr>
      </w:pPr>
    </w:p>
    <w:p>
      <w:pPr>
        <w:ind w:left="1260" w:right="419" w:firstLine="648"/>
        <w:spacing w:after="0" w:line="257" w:lineRule="auto"/>
        <w:rPr>
          <w:sz w:val="20"/>
          <w:szCs w:val="20"/>
          <w:color w:val="auto"/>
        </w:rPr>
      </w:pPr>
      <w:r>
        <w:rPr>
          <w:rFonts w:ascii="Arial" w:cs="Arial" w:eastAsia="Arial" w:hAnsi="Arial"/>
          <w:sz w:val="18"/>
          <w:szCs w:val="18"/>
          <w:color w:val="auto"/>
        </w:rPr>
        <w:t>The registration rights agreement provides our Eligible Shareholders with “piggy back” registration rights in the event that we determine to register the sale of any of our securities following this offering. With respect to such registration rights, we arecommitted to use our reasonable best efforts to include in a registration statement a prospectus relating to the resale of certain securities held by certain of our Eligible Shareholders.</w:t>
      </w:r>
    </w:p>
    <w:p>
      <w:pPr>
        <w:spacing w:after="0" w:line="107" w:lineRule="exact"/>
        <w:rPr>
          <w:sz w:val="20"/>
          <w:szCs w:val="20"/>
          <w:color w:val="auto"/>
        </w:rPr>
      </w:pPr>
    </w:p>
    <w:p>
      <w:pPr>
        <w:ind w:left="1260" w:right="879" w:firstLine="648"/>
        <w:spacing w:after="0" w:line="277" w:lineRule="auto"/>
        <w:rPr>
          <w:sz w:val="20"/>
          <w:szCs w:val="20"/>
          <w:color w:val="auto"/>
        </w:rPr>
      </w:pPr>
      <w:r>
        <w:rPr>
          <w:rFonts w:ascii="Arial" w:cs="Arial" w:eastAsia="Arial" w:hAnsi="Arial"/>
          <w:sz w:val="18"/>
          <w:szCs w:val="18"/>
          <w:color w:val="auto"/>
        </w:rPr>
        <w:t>In connection with this offering, our Eligible Shareholders agreed to waive their “piggy back” registration rights solely with respect to this registration statement.</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Lock-Up Agreements</w:t>
      </w:r>
    </w:p>
    <w:p>
      <w:pPr>
        <w:spacing w:after="0" w:line="162" w:lineRule="exact"/>
        <w:rPr>
          <w:sz w:val="20"/>
          <w:szCs w:val="20"/>
          <w:color w:val="auto"/>
        </w:rPr>
      </w:pPr>
    </w:p>
    <w:p>
      <w:pPr>
        <w:ind w:left="1260" w:right="679" w:firstLine="648"/>
        <w:spacing w:after="0" w:line="254" w:lineRule="auto"/>
        <w:rPr>
          <w:sz w:val="20"/>
          <w:szCs w:val="20"/>
          <w:color w:val="auto"/>
        </w:rPr>
      </w:pPr>
      <w:r>
        <w:rPr>
          <w:rFonts w:ascii="Arial" w:cs="Arial" w:eastAsia="Arial" w:hAnsi="Arial"/>
          <w:sz w:val="18"/>
          <w:szCs w:val="18"/>
          <w:color w:val="auto"/>
        </w:rPr>
        <w:t>Our managing directors and supervisory directors and the holders of substantially all of our common shares have agreed, subject to limited exceptions, not to offer, pledge, announce the intention to sell, sell, contract to sell, sell any option or contract to purchase, purchase any option or contract to sell, grant any option, right or warrant to purchase or otherwise dispose of, directly or indirectly, or enter into any swap or other agreement that transfers, in whole or in part, any of the economic consequences of ownership of the common shares or such other securities until the end of February 9, 2021, subject to certain exceptions, without the prior written consent of BofA Securities, Inc. and Jefferies LLC. See “Underwriting.”</w:t>
      </w: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89" w:name="page290"/>
    <w:bookmarkEnd w:id="28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TAXATION</w:t>
      </w:r>
    </w:p>
    <w:p>
      <w:pPr>
        <w:spacing w:after="0" w:line="162" w:lineRule="exact"/>
        <w:rPr>
          <w:sz w:val="20"/>
          <w:szCs w:val="20"/>
          <w:color w:val="auto"/>
        </w:rPr>
      </w:pPr>
    </w:p>
    <w:p>
      <w:pPr>
        <w:ind w:left="1260" w:right="419" w:firstLine="648"/>
        <w:spacing w:after="0" w:line="272" w:lineRule="auto"/>
        <w:rPr>
          <w:sz w:val="20"/>
          <w:szCs w:val="20"/>
          <w:color w:val="auto"/>
        </w:rPr>
      </w:pPr>
      <w:r>
        <w:rPr>
          <w:rFonts w:ascii="Arial" w:cs="Arial" w:eastAsia="Arial" w:hAnsi="Arial"/>
          <w:sz w:val="17"/>
          <w:szCs w:val="17"/>
          <w:i w:val="1"/>
          <w:iCs w:val="1"/>
          <w:color w:val="auto"/>
        </w:rPr>
        <w:t>The following summary contains a description of certain Dutch, German and U.S. federal income tax consequences of the acquisition, ownership and disposition of common shares, but it does not purport to be a comprehensive description of all the tax considerations that may be relevant to a decision to purchase common shares. The summary is based upon the tax laws of the Netherlands and regulations thereunder, the tax laws of Germany and regulations thereunder and the tax laws of the United States and regulations thereunder as of the date hereof, which are subject to change. You should consult your tax advisor regarding the applicable tax consequences to you of investing in our common shares.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Material Dutch Tax Considerations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General</w:t>
      </w:r>
    </w:p>
    <w:p>
      <w:pPr>
        <w:spacing w:after="0" w:line="158" w:lineRule="exact"/>
        <w:rPr>
          <w:sz w:val="20"/>
          <w:szCs w:val="20"/>
          <w:color w:val="auto"/>
        </w:rPr>
      </w:pPr>
    </w:p>
    <w:p>
      <w:pPr>
        <w:ind w:left="1260" w:right="419" w:firstLine="648"/>
        <w:spacing w:after="0" w:line="255" w:lineRule="auto"/>
        <w:rPr>
          <w:sz w:val="20"/>
          <w:szCs w:val="20"/>
          <w:color w:val="auto"/>
        </w:rPr>
      </w:pPr>
      <w:r>
        <w:rPr>
          <w:rFonts w:ascii="Arial" w:cs="Arial" w:eastAsia="Arial" w:hAnsi="Arial"/>
          <w:sz w:val="18"/>
          <w:szCs w:val="18"/>
          <w:color w:val="auto"/>
        </w:rPr>
        <w:t>The following is a general summary of certain material Dutch tax consequences of the acquisition, ownership and disposal of our common shares. This summary does not purport to set forth all possible tax considerations or consequences that may be relevant to a holder or prospective holder or our common shares and does not purport to deal with the tax consequences applicable to all categories of investors, some of which (such as trusts or similar arrangements) may be subject to special rules. In view of its general nature, it should be treated with corresponding caution.</w:t>
      </w:r>
    </w:p>
    <w:p>
      <w:pPr>
        <w:spacing w:after="0" w:line="111" w:lineRule="exact"/>
        <w:rPr>
          <w:sz w:val="20"/>
          <w:szCs w:val="20"/>
          <w:color w:val="auto"/>
        </w:rPr>
      </w:pPr>
    </w:p>
    <w:p>
      <w:pPr>
        <w:ind w:left="1260" w:right="479" w:firstLine="648"/>
        <w:spacing w:after="0" w:line="259" w:lineRule="auto"/>
        <w:rPr>
          <w:sz w:val="20"/>
          <w:szCs w:val="20"/>
          <w:color w:val="auto"/>
        </w:rPr>
      </w:pPr>
      <w:r>
        <w:rPr>
          <w:rFonts w:ascii="Arial" w:cs="Arial" w:eastAsia="Arial" w:hAnsi="Arial"/>
          <w:sz w:val="18"/>
          <w:szCs w:val="18"/>
          <w:color w:val="auto"/>
        </w:rPr>
        <w:t>This summary is based on the tax laws of the Netherlands, published regulations thereunder and published authoritative case law, all as in effect on the date hereof, and all of which are subject to change, possibly with retroactive effect. Where the summary refers to “the Netherlands” or “Dutch” it refers only to the part of the Kingdom of the Netherlands located in Europe.</w:t>
      </w:r>
    </w:p>
    <w:p>
      <w:pPr>
        <w:spacing w:after="0" w:line="119" w:lineRule="exact"/>
        <w:rPr>
          <w:sz w:val="20"/>
          <w:szCs w:val="20"/>
          <w:color w:val="auto"/>
        </w:rPr>
      </w:pPr>
    </w:p>
    <w:p>
      <w:pPr>
        <w:ind w:left="1260" w:right="459" w:firstLine="648"/>
        <w:spacing w:after="0" w:line="257" w:lineRule="auto"/>
        <w:rPr>
          <w:sz w:val="20"/>
          <w:szCs w:val="20"/>
          <w:color w:val="auto"/>
        </w:rPr>
      </w:pPr>
      <w:r>
        <w:rPr>
          <w:rFonts w:ascii="Arial" w:cs="Arial" w:eastAsia="Arial" w:hAnsi="Arial"/>
          <w:sz w:val="18"/>
          <w:szCs w:val="18"/>
          <w:color w:val="auto"/>
        </w:rPr>
        <w:t>This discussion is for general information purposes and is not tax advice or a complete description of all Dutch tax consequences relating to the acquisition, ownership and disposal of our common shares. Holders or prospective holders of our common shares should consult their own tax advisor regarding the tax consequences relating to the acquisition, holding and disposal of our common shares in light of their particular circumstances.</w:t>
      </w:r>
    </w:p>
    <w:p>
      <w:pPr>
        <w:spacing w:after="0" w:line="120"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Please note that this section does not set forth the tax considerations for:</w:t>
      </w:r>
    </w:p>
    <w:p>
      <w:pPr>
        <w:spacing w:after="0" w:line="117" w:lineRule="exact"/>
        <w:rPr>
          <w:sz w:val="20"/>
          <w:szCs w:val="20"/>
          <w:color w:val="auto"/>
        </w:rPr>
      </w:pPr>
    </w:p>
    <w:p>
      <w:pPr>
        <w:ind w:left="2260" w:right="419" w:hanging="352"/>
        <w:spacing w:after="0" w:line="268" w:lineRule="auto"/>
        <w:tabs>
          <w:tab w:leader="none" w:pos="226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holders of common shares if such holders, and in the case of individuals, such holder’s partner or certain relatives by blood or marriage in the direct line (including foster children), have a substantial interest (</w:t>
      </w:r>
      <w:r>
        <w:rPr>
          <w:rFonts w:ascii="Arial" w:cs="Arial" w:eastAsia="Arial" w:hAnsi="Arial"/>
          <w:sz w:val="17"/>
          <w:szCs w:val="17"/>
          <w:i w:val="1"/>
          <w:iCs w:val="1"/>
          <w:color w:val="auto"/>
        </w:rPr>
        <w:t>aanmerkelijk belang</w:t>
      </w:r>
      <w:r>
        <w:rPr>
          <w:rFonts w:ascii="Arial" w:cs="Arial" w:eastAsia="Arial" w:hAnsi="Arial"/>
          <w:sz w:val="17"/>
          <w:szCs w:val="17"/>
          <w:color w:val="auto"/>
        </w:rPr>
        <w:t>) or deemed substantial interest (</w:t>
      </w:r>
      <w:r>
        <w:rPr>
          <w:rFonts w:ascii="Arial" w:cs="Arial" w:eastAsia="Arial" w:hAnsi="Arial"/>
          <w:sz w:val="17"/>
          <w:szCs w:val="17"/>
          <w:i w:val="1"/>
          <w:iCs w:val="1"/>
          <w:color w:val="auto"/>
        </w:rPr>
        <w:t>fictief aanmerkelijk</w:t>
      </w:r>
      <w:r>
        <w:rPr>
          <w:rFonts w:ascii="Arial" w:cs="Arial" w:eastAsia="Arial" w:hAnsi="Arial"/>
          <w:sz w:val="17"/>
          <w:szCs w:val="17"/>
          <w:color w:val="auto"/>
        </w:rPr>
        <w:t xml:space="preserve"> </w:t>
      </w:r>
      <w:r>
        <w:rPr>
          <w:rFonts w:ascii="Arial" w:cs="Arial" w:eastAsia="Arial" w:hAnsi="Arial"/>
          <w:sz w:val="17"/>
          <w:szCs w:val="17"/>
          <w:i w:val="1"/>
          <w:iCs w:val="1"/>
          <w:color w:val="auto"/>
        </w:rPr>
        <w:t>belang</w:t>
      </w:r>
      <w:r>
        <w:rPr>
          <w:rFonts w:ascii="Arial" w:cs="Arial" w:eastAsia="Arial" w:hAnsi="Arial"/>
          <w:sz w:val="17"/>
          <w:szCs w:val="17"/>
          <w:color w:val="auto"/>
        </w:rPr>
        <w:t>) in us within the meaning of chapter 4 of the Dutch Income Tax Act 2001 (</w:t>
      </w:r>
      <w:r>
        <w:rPr>
          <w:rFonts w:ascii="Arial" w:cs="Arial" w:eastAsia="Arial" w:hAnsi="Arial"/>
          <w:sz w:val="17"/>
          <w:szCs w:val="17"/>
          <w:i w:val="1"/>
          <w:iCs w:val="1"/>
          <w:color w:val="auto"/>
        </w:rPr>
        <w:t>Wet inkomstenbelasting 2001</w:t>
      </w:r>
      <w:r>
        <w:rPr>
          <w:rFonts w:ascii="Arial" w:cs="Arial" w:eastAsia="Arial" w:hAnsi="Arial"/>
          <w:sz w:val="17"/>
          <w:szCs w:val="17"/>
          <w:color w:val="auto"/>
        </w:rPr>
        <w:t>). Generally, a holder of securities in a company is considered to hold</w:t>
      </w:r>
      <w:r>
        <w:rPr>
          <w:rFonts w:ascii="Arial" w:cs="Arial" w:eastAsia="Arial" w:hAnsi="Arial"/>
          <w:sz w:val="17"/>
          <w:szCs w:val="17"/>
          <w:i w:val="1"/>
          <w:iCs w:val="1"/>
          <w:color w:val="auto"/>
        </w:rPr>
        <w:t xml:space="preserve"> </w:t>
      </w:r>
      <w:r>
        <w:rPr>
          <w:rFonts w:ascii="Arial" w:cs="Arial" w:eastAsia="Arial" w:hAnsi="Arial"/>
          <w:sz w:val="17"/>
          <w:szCs w:val="17"/>
          <w:color w:val="auto"/>
        </w:rPr>
        <w:t>a substantial interest in such company if such holder alone or, in the case of individuals, together with such holder’s partner (as defined in the Dutch Income Tax Act 2001), directly or indirectly holds (i) an interest of 5% or more of the total issued and outstanding capital of that company or of 5% or more of the issued and outstanding capital of a certain class of shares of that company; or (ii) rights to acquire, directly or indirectly, such interest; or (iii) certain profit sharing rights in that company that relate to 5% or more of the company’s annual profits and/or to 5% or more of the company’s liquidation proceeds. A deemed substantial interest exists if a substantial interest (or part thereof) in a company has been disposed of, or is deemed to have been disposed of, on a non-recognition basis;</w:t>
      </w:r>
    </w:p>
    <w:p>
      <w:pPr>
        <w:spacing w:after="0" w:line="76" w:lineRule="exact"/>
        <w:rPr>
          <w:rFonts w:ascii="Arial" w:cs="Arial" w:eastAsia="Arial" w:hAnsi="Arial"/>
          <w:sz w:val="17"/>
          <w:szCs w:val="17"/>
          <w:color w:val="auto"/>
        </w:rPr>
      </w:pPr>
    </w:p>
    <w:p>
      <w:pPr>
        <w:ind w:left="2260" w:right="519" w:hanging="352"/>
        <w:spacing w:after="0" w:line="254" w:lineRule="auto"/>
        <w:tabs>
          <w:tab w:leader="none" w:pos="22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holders of common shares that are not an individual and for which the common shares qualify or qualified as a participation (</w:t>
      </w:r>
      <w:r>
        <w:rPr>
          <w:rFonts w:ascii="Arial" w:cs="Arial" w:eastAsia="Arial" w:hAnsi="Arial"/>
          <w:sz w:val="18"/>
          <w:szCs w:val="18"/>
          <w:i w:val="1"/>
          <w:iCs w:val="1"/>
          <w:color w:val="auto"/>
        </w:rPr>
        <w:t>deelneming</w:t>
      </w:r>
      <w:r>
        <w:rPr>
          <w:rFonts w:ascii="Arial" w:cs="Arial" w:eastAsia="Arial" w:hAnsi="Arial"/>
          <w:sz w:val="18"/>
          <w:szCs w:val="18"/>
          <w:color w:val="auto"/>
        </w:rPr>
        <w:t>) for purposes of the participation exemption (</w:t>
      </w:r>
      <w:r>
        <w:rPr>
          <w:rFonts w:ascii="Arial" w:cs="Arial" w:eastAsia="Arial" w:hAnsi="Arial"/>
          <w:sz w:val="18"/>
          <w:szCs w:val="18"/>
          <w:i w:val="1"/>
          <w:iCs w:val="1"/>
          <w:color w:val="auto"/>
        </w:rPr>
        <w:t>deelnemingsvrijstelling</w:t>
      </w:r>
      <w:r>
        <w:rPr>
          <w:rFonts w:ascii="Arial" w:cs="Arial" w:eastAsia="Arial" w:hAnsi="Arial"/>
          <w:sz w:val="18"/>
          <w:szCs w:val="18"/>
          <w:color w:val="auto"/>
        </w:rPr>
        <w:t>) as defined in Section 13 of the Dutch Corporate Income Tax Act 1969 (</w:t>
      </w:r>
      <w:r>
        <w:rPr>
          <w:rFonts w:ascii="Arial" w:cs="Arial" w:eastAsia="Arial" w:hAnsi="Arial"/>
          <w:sz w:val="18"/>
          <w:szCs w:val="18"/>
          <w:i w:val="1"/>
          <w:iCs w:val="1"/>
          <w:color w:val="auto"/>
        </w:rPr>
        <w:t>Wet op de vennootschapsbelasting 1969</w:t>
      </w:r>
      <w:r>
        <w:rPr>
          <w:rFonts w:ascii="Arial" w:cs="Arial" w:eastAsia="Arial" w:hAnsi="Arial"/>
          <w:sz w:val="18"/>
          <w:szCs w:val="18"/>
          <w:color w:val="auto"/>
        </w:rPr>
        <w:t>). Generally, the common shares qualify as a participation as a result of which the participation exemption applies to the common shares if the holder of common shares is subject to Dutch corporate income tax and it, or a related entity, holds 5% or more in our nominal paid-in share capital (or, in certain cases, in voting rights);</w:t>
      </w:r>
    </w:p>
    <w:p>
      <w:pPr>
        <w:spacing w:after="0" w:line="38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90" w:name="page291"/>
    <w:bookmarkEnd w:id="29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60" w:right="699" w:hanging="352"/>
        <w:spacing w:after="0" w:line="259" w:lineRule="auto"/>
        <w:tabs>
          <w:tab w:leader="none" w:pos="22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pension funds, investment institutions (</w:t>
      </w:r>
      <w:r>
        <w:rPr>
          <w:rFonts w:ascii="Arial" w:cs="Arial" w:eastAsia="Arial" w:hAnsi="Arial"/>
          <w:sz w:val="18"/>
          <w:szCs w:val="18"/>
          <w:i w:val="1"/>
          <w:iCs w:val="1"/>
          <w:color w:val="auto"/>
        </w:rPr>
        <w:t>fiscale beleggingsinstellingen</w:t>
      </w:r>
      <w:r>
        <w:rPr>
          <w:rFonts w:ascii="Arial" w:cs="Arial" w:eastAsia="Arial" w:hAnsi="Arial"/>
          <w:sz w:val="18"/>
          <w:szCs w:val="18"/>
          <w:color w:val="auto"/>
        </w:rPr>
        <w:t>), exempt investment institutions (</w:t>
      </w:r>
      <w:r>
        <w:rPr>
          <w:rFonts w:ascii="Arial" w:cs="Arial" w:eastAsia="Arial" w:hAnsi="Arial"/>
          <w:sz w:val="18"/>
          <w:szCs w:val="18"/>
          <w:i w:val="1"/>
          <w:iCs w:val="1"/>
          <w:color w:val="auto"/>
        </w:rPr>
        <w:t>vrijgestelde beleggingsinstellingen</w:t>
      </w:r>
      <w:r>
        <w:rPr>
          <w:rFonts w:ascii="Arial" w:cs="Arial" w:eastAsia="Arial" w:hAnsi="Arial"/>
          <w:sz w:val="18"/>
          <w:szCs w:val="18"/>
          <w:color w:val="auto"/>
        </w:rPr>
        <w:t>) (as defined in the Dutch Corporate Income Tax Act 1969) and other entities that are, in whole or in part, not subject to or exempt from corporate income tax in the Netherlands; and</w:t>
      </w:r>
    </w:p>
    <w:p>
      <w:pPr>
        <w:spacing w:after="0" w:line="78" w:lineRule="exact"/>
        <w:rPr>
          <w:rFonts w:ascii="Arial" w:cs="Arial" w:eastAsia="Arial" w:hAnsi="Arial"/>
          <w:sz w:val="18"/>
          <w:szCs w:val="18"/>
          <w:color w:val="auto"/>
        </w:rPr>
      </w:pPr>
    </w:p>
    <w:p>
      <w:pPr>
        <w:ind w:left="2260" w:right="659" w:hanging="352"/>
        <w:spacing w:after="0" w:line="259" w:lineRule="auto"/>
        <w:tabs>
          <w:tab w:leader="none" w:pos="22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holders of common shares who are individuals and for whom the common shares or any benefit derived from the common shares are a remuneration or deemed to be a remuneration for (employment) activities performed by such holders or certain individuals related to such holders (as defined in the Dutch Income Tax Act 2001).</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Dividend Withholding Tax</w:t>
      </w:r>
    </w:p>
    <w:p>
      <w:pPr>
        <w:spacing w:after="0" w:line="158" w:lineRule="exact"/>
        <w:rPr>
          <w:sz w:val="20"/>
          <w:szCs w:val="20"/>
          <w:color w:val="auto"/>
        </w:rPr>
      </w:pPr>
    </w:p>
    <w:p>
      <w:pPr>
        <w:jc w:val="both"/>
        <w:ind w:left="1260" w:right="779" w:firstLine="648"/>
        <w:spacing w:after="0" w:line="248" w:lineRule="auto"/>
        <w:rPr>
          <w:sz w:val="20"/>
          <w:szCs w:val="20"/>
          <w:color w:val="auto"/>
        </w:rPr>
      </w:pPr>
      <w:r>
        <w:rPr>
          <w:rFonts w:ascii="Arial" w:cs="Arial" w:eastAsia="Arial" w:hAnsi="Arial"/>
          <w:sz w:val="18"/>
          <w:szCs w:val="18"/>
          <w:color w:val="auto"/>
        </w:rPr>
        <w:t>Dividends distributed by us generally are subject to Dutch dividend withholding tax at a rate of 15%. Generally, we are responsible for the withholding of such dividend withholding tax at source; the Dutch dividend withholding tax is for the account of the holder of our common shares.</w:t>
      </w:r>
    </w:p>
    <w:p>
      <w:pPr>
        <w:spacing w:after="0" w:line="114" w:lineRule="exact"/>
        <w:rPr>
          <w:sz w:val="20"/>
          <w:szCs w:val="20"/>
          <w:color w:val="auto"/>
        </w:rPr>
      </w:pPr>
    </w:p>
    <w:p>
      <w:pPr>
        <w:ind w:left="1260" w:right="419" w:firstLine="648"/>
        <w:spacing w:after="0" w:line="252" w:lineRule="auto"/>
        <w:rPr>
          <w:sz w:val="20"/>
          <w:szCs w:val="20"/>
          <w:color w:val="auto"/>
        </w:rPr>
      </w:pPr>
      <w:r>
        <w:rPr>
          <w:rFonts w:ascii="Arial" w:cs="Arial" w:eastAsia="Arial" w:hAnsi="Arial"/>
          <w:sz w:val="17"/>
          <w:szCs w:val="17"/>
          <w:color w:val="auto"/>
        </w:rPr>
        <w:t>However, as long as we continue to have our place of effective management solely in Germany, and not in the Netherlands, under the double tax treaty between Germany and the Netherlands and the current reservation made by Germany under the Multilateral Convention to Implement Tax Treaty Related Measures to Prevent Base Erosion and Profit Shifting with respect to the tie-breaker provision included in Article 4(3) of the double tax treaty between Germany and the Netherlandsand, we will be considered to be exclusively tax resident in Germany and we will not be required to withhold Dutch dividend withholding tax. This exemption from withholding does not apply to dividends distributed by us to a holder who is resident or deemed to be resident in the Netherlands for Dutch income tax purposes or to holders of common shares that are neither resident nor deemed to be resident of the Netherlands if the common shares are attributable to a Dutch permanent establishment of such non-resident holder, in which case the following paragraph applies. See also “Risk factors — If we do pay dividends, we may need to withhold tax on such dividends payable to holders of our shares in both Germany and the Netherlands.”</w:t>
      </w:r>
    </w:p>
    <w:p>
      <w:pPr>
        <w:spacing w:after="0" w:line="102" w:lineRule="exact"/>
        <w:rPr>
          <w:sz w:val="20"/>
          <w:szCs w:val="20"/>
          <w:color w:val="auto"/>
        </w:rPr>
      </w:pPr>
    </w:p>
    <w:p>
      <w:pPr>
        <w:jc w:val="both"/>
        <w:ind w:left="1260" w:right="499" w:firstLine="648"/>
        <w:spacing w:after="0" w:line="259" w:lineRule="auto"/>
        <w:rPr>
          <w:sz w:val="20"/>
          <w:szCs w:val="20"/>
          <w:color w:val="auto"/>
        </w:rPr>
      </w:pPr>
      <w:r>
        <w:rPr>
          <w:rFonts w:ascii="Arial" w:cs="Arial" w:eastAsia="Arial" w:hAnsi="Arial"/>
          <w:sz w:val="17"/>
          <w:szCs w:val="17"/>
          <w:color w:val="auto"/>
        </w:rPr>
        <w:t>Dividends distributed by us to individuals and corporate legal entities who are resident or deemed to be resident in the Netherlands for Dutch income tax purposes (“Dutch Resident Individuals” and “Dutch Resident Entities,” as the case may be) or to holders of common shares that are neither resident nor deemed to be resident of the Netherlands if the common shares are attributable to a Dutch permanent establishment of such non-resident holder are subject to Dutch dividend withholding tax at a rate of 15%.</w:t>
      </w:r>
    </w:p>
    <w:p>
      <w:pPr>
        <w:spacing w:after="0" w:line="106"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expression “dividends distributed” includes, among other things:</w:t>
      </w:r>
    </w:p>
    <w:p>
      <w:pPr>
        <w:spacing w:after="0" w:line="117" w:lineRule="exact"/>
        <w:rPr>
          <w:sz w:val="20"/>
          <w:szCs w:val="20"/>
          <w:color w:val="auto"/>
        </w:rPr>
      </w:pPr>
    </w:p>
    <w:p>
      <w:pPr>
        <w:ind w:left="2260" w:right="459" w:hanging="352"/>
        <w:spacing w:after="0" w:line="277" w:lineRule="auto"/>
        <w:tabs>
          <w:tab w:leader="none" w:pos="22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distributions in cash or in kind, deemed and constructive distributions and repayments of paid-in capital not recognized for Dutch dividend withholding tax purposes;</w:t>
      </w:r>
    </w:p>
    <w:p>
      <w:pPr>
        <w:spacing w:after="0" w:line="62" w:lineRule="exact"/>
        <w:rPr>
          <w:rFonts w:ascii="Arial" w:cs="Arial" w:eastAsia="Arial" w:hAnsi="Arial"/>
          <w:sz w:val="18"/>
          <w:szCs w:val="18"/>
          <w:color w:val="auto"/>
        </w:rPr>
      </w:pPr>
    </w:p>
    <w:p>
      <w:pPr>
        <w:ind w:left="2260" w:right="459" w:hanging="352"/>
        <w:spacing w:after="0" w:line="259" w:lineRule="auto"/>
        <w:tabs>
          <w:tab w:leader="none" w:pos="22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liquidation proceeds, proceeds of redemption of common shares, or proceeds of the repurchase of common shares by us or one of our subsidiaries or other affiliated entities to the extent such proceeds exceed the average paid-in capital of those common shares as recognized for purposes of Dutch dividend withholding tax;</w:t>
      </w:r>
    </w:p>
    <w:p>
      <w:pPr>
        <w:spacing w:after="0" w:line="65" w:lineRule="exact"/>
        <w:rPr>
          <w:rFonts w:ascii="Arial" w:cs="Arial" w:eastAsia="Arial" w:hAnsi="Arial"/>
          <w:sz w:val="18"/>
          <w:szCs w:val="18"/>
          <w:color w:val="auto"/>
        </w:rPr>
      </w:pPr>
    </w:p>
    <w:p>
      <w:pPr>
        <w:ind w:left="2260" w:right="499" w:hanging="352"/>
        <w:spacing w:after="0" w:line="286" w:lineRule="auto"/>
        <w:tabs>
          <w:tab w:leader="none" w:pos="226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an amount equal to the par value of common shares issued or an increase of the par value of common shares, to the extent that it does not appear that a related contribution, recognized for purposes of Dutch dividend withholding tax, has been made or will be made; and</w:t>
      </w:r>
    </w:p>
    <w:p>
      <w:pPr>
        <w:spacing w:after="0" w:line="57" w:lineRule="exact"/>
        <w:rPr>
          <w:rFonts w:ascii="Arial" w:cs="Arial" w:eastAsia="Arial" w:hAnsi="Arial"/>
          <w:sz w:val="17"/>
          <w:szCs w:val="17"/>
          <w:color w:val="auto"/>
        </w:rPr>
      </w:pPr>
    </w:p>
    <w:p>
      <w:pPr>
        <w:ind w:left="2260" w:right="559" w:hanging="352"/>
        <w:spacing w:after="0" w:line="257" w:lineRule="auto"/>
        <w:tabs>
          <w:tab w:leader="none" w:pos="22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partial repayment of the paid-in capital, recognized for purposes of Dutch dividend withholding tax, if and to the extent that we have net profits (</w:t>
      </w:r>
      <w:r>
        <w:rPr>
          <w:rFonts w:ascii="Arial" w:cs="Arial" w:eastAsia="Arial" w:hAnsi="Arial"/>
          <w:sz w:val="18"/>
          <w:szCs w:val="18"/>
          <w:i w:val="1"/>
          <w:iCs w:val="1"/>
          <w:color w:val="auto"/>
        </w:rPr>
        <w:t>zuivere winst</w:t>
      </w:r>
      <w:r>
        <w:rPr>
          <w:rFonts w:ascii="Arial" w:cs="Arial" w:eastAsia="Arial" w:hAnsi="Arial"/>
          <w:sz w:val="18"/>
          <w:szCs w:val="18"/>
          <w:color w:val="auto"/>
        </w:rPr>
        <w:t>), unless (i) the general meeting has resolved in advance to make such repayment and (ii) the par value of the common shares concerned has been reduced by an equal amount by way of an amendment of our articles of association.</w:t>
      </w:r>
    </w:p>
    <w:p>
      <w:pPr>
        <w:spacing w:after="0" w:line="120" w:lineRule="exact"/>
        <w:rPr>
          <w:sz w:val="20"/>
          <w:szCs w:val="20"/>
          <w:color w:val="auto"/>
        </w:rPr>
      </w:pPr>
    </w:p>
    <w:p>
      <w:pPr>
        <w:ind w:left="1260" w:right="479" w:firstLine="648"/>
        <w:spacing w:after="0" w:line="241" w:lineRule="auto"/>
        <w:rPr>
          <w:sz w:val="20"/>
          <w:szCs w:val="20"/>
          <w:color w:val="auto"/>
        </w:rPr>
      </w:pPr>
      <w:r>
        <w:rPr>
          <w:rFonts w:ascii="Arial" w:cs="Arial" w:eastAsia="Arial" w:hAnsi="Arial"/>
          <w:sz w:val="18"/>
          <w:szCs w:val="18"/>
          <w:color w:val="auto"/>
        </w:rPr>
        <w:t>Dutch Resident Individuals and Dutch Resident Entities generally are entitled to an exemption or a credit for any Dutch dividend withholding tax against their income tax or corporate income tax liability and to a refund of any residual Dutch dividend withholding tax. The same generally applies to holders of common shares that are neither resident nor deemed to be resident of the Netherlands if the common shares are attributable to a Dutch permanent establishment of such non-resident holder.</w:t>
      </w:r>
    </w:p>
    <w:p>
      <w:pPr>
        <w:spacing w:after="0" w:line="36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91" w:name="page292"/>
    <w:bookmarkEnd w:id="29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Dividend stripping</w:t>
      </w:r>
    </w:p>
    <w:p>
      <w:pPr>
        <w:spacing w:after="0" w:line="158" w:lineRule="exact"/>
        <w:rPr>
          <w:sz w:val="20"/>
          <w:szCs w:val="20"/>
          <w:color w:val="auto"/>
        </w:rPr>
      </w:pPr>
    </w:p>
    <w:p>
      <w:pPr>
        <w:ind w:left="1260" w:right="559" w:firstLine="648"/>
        <w:spacing w:after="0" w:line="248" w:lineRule="auto"/>
        <w:rPr>
          <w:sz w:val="20"/>
          <w:szCs w:val="20"/>
          <w:color w:val="auto"/>
        </w:rPr>
      </w:pPr>
      <w:r>
        <w:rPr>
          <w:rFonts w:ascii="Arial" w:cs="Arial" w:eastAsia="Arial" w:hAnsi="Arial"/>
          <w:sz w:val="18"/>
          <w:szCs w:val="18"/>
          <w:color w:val="auto"/>
        </w:rPr>
        <w:t>Pursuant to legislation to counteract “dividend stripping,” a reduction, exemption, credit or refund of Dutch dividend withholding tax is denied if the recipient of the dividend is not the beneficial owner (</w:t>
      </w:r>
      <w:r>
        <w:rPr>
          <w:rFonts w:ascii="Arial" w:cs="Arial" w:eastAsia="Arial" w:hAnsi="Arial"/>
          <w:sz w:val="18"/>
          <w:szCs w:val="18"/>
          <w:i w:val="1"/>
          <w:iCs w:val="1"/>
          <w:color w:val="auto"/>
        </w:rPr>
        <w:t>uiteindelijk gerechtigde</w:t>
      </w:r>
      <w:r>
        <w:rPr>
          <w:rFonts w:ascii="Arial" w:cs="Arial" w:eastAsia="Arial" w:hAnsi="Arial"/>
          <w:sz w:val="18"/>
          <w:szCs w:val="18"/>
          <w:color w:val="auto"/>
        </w:rPr>
        <w:t>) of the dividend.</w:t>
      </w:r>
    </w:p>
    <w:p>
      <w:pPr>
        <w:spacing w:after="0" w:line="114" w:lineRule="exact"/>
        <w:rPr>
          <w:sz w:val="20"/>
          <w:szCs w:val="20"/>
          <w:color w:val="auto"/>
        </w:rPr>
      </w:pPr>
    </w:p>
    <w:p>
      <w:pPr>
        <w:ind w:left="1260" w:right="439" w:firstLine="648"/>
        <w:spacing w:after="0" w:line="243" w:lineRule="auto"/>
        <w:rPr>
          <w:sz w:val="20"/>
          <w:szCs w:val="20"/>
          <w:color w:val="auto"/>
        </w:rPr>
      </w:pPr>
      <w:r>
        <w:rPr>
          <w:rFonts w:ascii="Arial" w:cs="Arial" w:eastAsia="Arial" w:hAnsi="Arial"/>
          <w:sz w:val="18"/>
          <w:szCs w:val="18"/>
          <w:color w:val="auto"/>
        </w:rPr>
        <w:t>The Dutch Dividend Withholding Tax Act 1965 (</w:t>
      </w:r>
      <w:r>
        <w:rPr>
          <w:rFonts w:ascii="Arial" w:cs="Arial" w:eastAsia="Arial" w:hAnsi="Arial"/>
          <w:sz w:val="18"/>
          <w:szCs w:val="18"/>
          <w:i w:val="1"/>
          <w:iCs w:val="1"/>
          <w:color w:val="auto"/>
        </w:rPr>
        <w:t>Wet op de dividendbelasting 1965</w:t>
      </w:r>
      <w:r>
        <w:rPr>
          <w:rFonts w:ascii="Arial" w:cs="Arial" w:eastAsia="Arial" w:hAnsi="Arial"/>
          <w:sz w:val="18"/>
          <w:szCs w:val="18"/>
          <w:color w:val="auto"/>
        </w:rPr>
        <w:t>) provides for a non-exhaustive negative description of a beneficial owner. According to this act, a holder of common shares will not be considered the beneficial owner of the dividends if as a consequence of a combination of transactions:</w:t>
      </w:r>
    </w:p>
    <w:p>
      <w:pPr>
        <w:spacing w:after="0" w:line="66" w:lineRule="exact"/>
        <w:rPr>
          <w:sz w:val="20"/>
          <w:szCs w:val="20"/>
          <w:color w:val="auto"/>
        </w:rPr>
      </w:pPr>
    </w:p>
    <w:p>
      <w:pPr>
        <w:ind w:left="2260" w:right="999" w:hanging="352"/>
        <w:spacing w:after="0" w:line="277" w:lineRule="auto"/>
        <w:tabs>
          <w:tab w:leader="none" w:pos="22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 person other than the holder of common shares wholly or partly, directly or indirectly, benefits from the dividends;</w:t>
      </w:r>
    </w:p>
    <w:p>
      <w:pPr>
        <w:spacing w:after="0" w:line="62" w:lineRule="exact"/>
        <w:rPr>
          <w:rFonts w:ascii="Arial" w:cs="Arial" w:eastAsia="Arial" w:hAnsi="Arial"/>
          <w:sz w:val="18"/>
          <w:szCs w:val="18"/>
          <w:color w:val="auto"/>
        </w:rPr>
      </w:pPr>
    </w:p>
    <w:p>
      <w:pPr>
        <w:ind w:left="2260" w:right="599" w:hanging="352"/>
        <w:spacing w:after="0" w:line="277" w:lineRule="auto"/>
        <w:tabs>
          <w:tab w:leader="none" w:pos="22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whereby this other person retains or acquires, directly or indirectly, an interest similar to that in our common shares on which the dividends were paid; and</w:t>
      </w:r>
    </w:p>
    <w:p>
      <w:pPr>
        <w:spacing w:after="0" w:line="48" w:lineRule="exact"/>
        <w:rPr>
          <w:rFonts w:ascii="Arial" w:cs="Arial" w:eastAsia="Arial" w:hAnsi="Arial"/>
          <w:sz w:val="18"/>
          <w:szCs w:val="18"/>
          <w:color w:val="auto"/>
        </w:rPr>
      </w:pPr>
    </w:p>
    <w:p>
      <w:pPr>
        <w:ind w:left="2260" w:right="539" w:hanging="352"/>
        <w:spacing w:after="0" w:line="277" w:lineRule="auto"/>
        <w:tabs>
          <w:tab w:leader="none" w:pos="22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that other person is entitled to a credit, reduction or refund of Dutch dividend withholding tax that is less than that of the holder of common shares.</w:t>
      </w:r>
    </w:p>
    <w:p>
      <w:pPr>
        <w:spacing w:after="0" w:line="103" w:lineRule="exact"/>
        <w:rPr>
          <w:sz w:val="20"/>
          <w:szCs w:val="20"/>
          <w:color w:val="auto"/>
        </w:rPr>
      </w:pPr>
    </w:p>
    <w:p>
      <w:pPr>
        <w:ind w:left="1260" w:right="859" w:firstLine="648"/>
        <w:spacing w:after="0" w:line="291" w:lineRule="auto"/>
        <w:rPr>
          <w:sz w:val="20"/>
          <w:szCs w:val="20"/>
          <w:color w:val="auto"/>
        </w:rPr>
      </w:pPr>
      <w:r>
        <w:rPr>
          <w:rFonts w:ascii="Arial" w:cs="Arial" w:eastAsia="Arial" w:hAnsi="Arial"/>
          <w:sz w:val="17"/>
          <w:szCs w:val="17"/>
          <w:color w:val="auto"/>
        </w:rPr>
        <w:t>The Dutch State Secretary of Finance takes the position that the definition of beneficial owner introduced by this legislation will also be applied in the context of a double taxation convention.</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Taxes on Income and Capital Gains</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Dutch Resident Entities</w:t>
      </w:r>
    </w:p>
    <w:p>
      <w:pPr>
        <w:spacing w:after="0" w:line="158" w:lineRule="exact"/>
        <w:rPr>
          <w:sz w:val="20"/>
          <w:szCs w:val="20"/>
          <w:color w:val="auto"/>
        </w:rPr>
      </w:pPr>
    </w:p>
    <w:p>
      <w:pPr>
        <w:ind w:left="1260" w:right="419" w:firstLine="648"/>
        <w:spacing w:after="0" w:line="241" w:lineRule="auto"/>
        <w:rPr>
          <w:sz w:val="20"/>
          <w:szCs w:val="20"/>
          <w:color w:val="auto"/>
        </w:rPr>
      </w:pPr>
      <w:r>
        <w:rPr>
          <w:rFonts w:ascii="Arial" w:cs="Arial" w:eastAsia="Arial" w:hAnsi="Arial"/>
          <w:sz w:val="18"/>
          <w:szCs w:val="18"/>
          <w:color w:val="auto"/>
        </w:rPr>
        <w:t>Generally speaking, if the holder of common shares is a Dutch Resident Entity, any benefits derived or deemed to be derived from the common shares or any gain or loss realized on the disposal or deemed disposal of the common shares is subject to Dutch corporate income tax at a rate of 15% with respect to taxable profits up to €245,000 and 25% with respect to taxable profits in excess of that amount (rates and brackets for 2021).</w:t>
      </w:r>
    </w:p>
    <w:p>
      <w:pPr>
        <w:spacing w:after="0" w:line="189"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Dutch Resident Individuals</w:t>
      </w:r>
    </w:p>
    <w:p>
      <w:pPr>
        <w:spacing w:after="0" w:line="144" w:lineRule="exact"/>
        <w:rPr>
          <w:sz w:val="20"/>
          <w:szCs w:val="20"/>
          <w:color w:val="auto"/>
        </w:rPr>
      </w:pPr>
    </w:p>
    <w:p>
      <w:pPr>
        <w:ind w:left="1260" w:right="559" w:firstLine="648"/>
        <w:spacing w:after="0" w:line="243" w:lineRule="auto"/>
        <w:rPr>
          <w:sz w:val="20"/>
          <w:szCs w:val="20"/>
          <w:color w:val="auto"/>
        </w:rPr>
      </w:pPr>
      <w:r>
        <w:rPr>
          <w:rFonts w:ascii="Arial" w:cs="Arial" w:eastAsia="Arial" w:hAnsi="Arial"/>
          <w:sz w:val="18"/>
          <w:szCs w:val="18"/>
          <w:color w:val="auto"/>
        </w:rPr>
        <w:t>If the holder of common shares is a Dutch Resident Individual, any benefits derived or deemed to be derived from the common shares or any gain or loss realized on the disposal or deemed disposal of the common shares is taxable at the progressive Dutch income tax rates (with a maximum of 49.50% in 2021), if:</w:t>
      </w:r>
    </w:p>
    <w:p>
      <w:pPr>
        <w:spacing w:after="0" w:line="120" w:lineRule="exact"/>
        <w:rPr>
          <w:sz w:val="20"/>
          <w:szCs w:val="20"/>
          <w:color w:val="auto"/>
        </w:rPr>
      </w:pPr>
    </w:p>
    <w:p>
      <w:pPr>
        <w:ind w:left="2560" w:right="419" w:hanging="652"/>
        <w:spacing w:after="0" w:line="301" w:lineRule="auto"/>
        <w:tabs>
          <w:tab w:leader="none" w:pos="256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common shares are attributable to an enterprise from which the holder of common shares derives a share of the profit, whether as an entrepreneur (</w:t>
      </w:r>
      <w:r>
        <w:rPr>
          <w:rFonts w:ascii="Arial" w:cs="Arial" w:eastAsia="Arial" w:hAnsi="Arial"/>
          <w:sz w:val="16"/>
          <w:szCs w:val="16"/>
          <w:i w:val="1"/>
          <w:iCs w:val="1"/>
          <w:color w:val="auto"/>
        </w:rPr>
        <w:t>ondernemer</w:t>
      </w:r>
      <w:r>
        <w:rPr>
          <w:rFonts w:ascii="Arial" w:cs="Arial" w:eastAsia="Arial" w:hAnsi="Arial"/>
          <w:sz w:val="16"/>
          <w:szCs w:val="16"/>
          <w:color w:val="auto"/>
        </w:rPr>
        <w:t>) or as a person who has a co-entitlement to the net worth (</w:t>
      </w:r>
      <w:r>
        <w:rPr>
          <w:rFonts w:ascii="Arial" w:cs="Arial" w:eastAsia="Arial" w:hAnsi="Arial"/>
          <w:sz w:val="16"/>
          <w:szCs w:val="16"/>
          <w:i w:val="1"/>
          <w:iCs w:val="1"/>
          <w:color w:val="auto"/>
        </w:rPr>
        <w:t>medegerechtigd tot het vermogen</w:t>
      </w:r>
      <w:r>
        <w:rPr>
          <w:rFonts w:ascii="Arial" w:cs="Arial" w:eastAsia="Arial" w:hAnsi="Arial"/>
          <w:sz w:val="16"/>
          <w:szCs w:val="16"/>
          <w:color w:val="auto"/>
        </w:rPr>
        <w:t>) of such enterprise without being a shareholder (as defined in the Dutch Income Tax Act 2001); or</w:t>
      </w:r>
    </w:p>
    <w:p>
      <w:pPr>
        <w:spacing w:after="0" w:line="76" w:lineRule="exact"/>
        <w:rPr>
          <w:rFonts w:ascii="Arial" w:cs="Arial" w:eastAsia="Arial" w:hAnsi="Arial"/>
          <w:sz w:val="16"/>
          <w:szCs w:val="16"/>
          <w:color w:val="auto"/>
        </w:rPr>
      </w:pPr>
    </w:p>
    <w:p>
      <w:pPr>
        <w:ind w:left="2560" w:right="519" w:hanging="652"/>
        <w:spacing w:after="0" w:line="259" w:lineRule="auto"/>
        <w:tabs>
          <w:tab w:leader="none" w:pos="25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holder of common shares is considered to perform activities with respect to the common shares that go beyond ordinary asset management (</w:t>
      </w:r>
      <w:r>
        <w:rPr>
          <w:rFonts w:ascii="Arial" w:cs="Arial" w:eastAsia="Arial" w:hAnsi="Arial"/>
          <w:sz w:val="18"/>
          <w:szCs w:val="18"/>
          <w:i w:val="1"/>
          <w:iCs w:val="1"/>
          <w:color w:val="auto"/>
        </w:rPr>
        <w:t>normaal, actief</w:t>
      </w:r>
      <w:r>
        <w:rPr>
          <w:rFonts w:ascii="Arial" w:cs="Arial" w:eastAsia="Arial" w:hAnsi="Arial"/>
          <w:sz w:val="18"/>
          <w:szCs w:val="18"/>
          <w:color w:val="auto"/>
        </w:rPr>
        <w:t xml:space="preserve"> </w:t>
      </w:r>
      <w:r>
        <w:rPr>
          <w:rFonts w:ascii="Arial" w:cs="Arial" w:eastAsia="Arial" w:hAnsi="Arial"/>
          <w:sz w:val="18"/>
          <w:szCs w:val="18"/>
          <w:i w:val="1"/>
          <w:iCs w:val="1"/>
          <w:color w:val="auto"/>
        </w:rPr>
        <w:t>vermogensbeheer</w:t>
      </w:r>
      <w:r>
        <w:rPr>
          <w:rFonts w:ascii="Arial" w:cs="Arial" w:eastAsia="Arial" w:hAnsi="Arial"/>
          <w:sz w:val="18"/>
          <w:szCs w:val="18"/>
          <w:color w:val="auto"/>
        </w:rPr>
        <w:t>) or derives benefits from the common shares that are taxable as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from other activities (</w:t>
      </w:r>
      <w:r>
        <w:rPr>
          <w:rFonts w:ascii="Arial" w:cs="Arial" w:eastAsia="Arial" w:hAnsi="Arial"/>
          <w:sz w:val="18"/>
          <w:szCs w:val="18"/>
          <w:i w:val="1"/>
          <w:iCs w:val="1"/>
          <w:color w:val="auto"/>
        </w:rPr>
        <w:t>resultaat uit overige werkzaamheden</w:t>
      </w:r>
      <w:r>
        <w:rPr>
          <w:rFonts w:ascii="Arial" w:cs="Arial" w:eastAsia="Arial" w:hAnsi="Arial"/>
          <w:sz w:val="18"/>
          <w:szCs w:val="18"/>
          <w:color w:val="auto"/>
        </w:rPr>
        <w:t>).</w:t>
      </w:r>
    </w:p>
    <w:p>
      <w:pPr>
        <w:spacing w:after="0" w:line="119" w:lineRule="exact"/>
        <w:rPr>
          <w:sz w:val="20"/>
          <w:szCs w:val="20"/>
          <w:color w:val="auto"/>
        </w:rPr>
      </w:pPr>
    </w:p>
    <w:p>
      <w:pPr>
        <w:ind w:left="1260" w:right="439" w:firstLine="648"/>
        <w:spacing w:after="0"/>
        <w:rPr>
          <w:sz w:val="20"/>
          <w:szCs w:val="20"/>
          <w:color w:val="auto"/>
        </w:rPr>
      </w:pPr>
      <w:r>
        <w:rPr>
          <w:rFonts w:ascii="Arial" w:cs="Arial" w:eastAsia="Arial" w:hAnsi="Arial"/>
          <w:sz w:val="18"/>
          <w:szCs w:val="18"/>
          <w:color w:val="auto"/>
        </w:rPr>
        <w:t>If the above-mentioned conditions (i) and (ii) do not apply to the individual holder of common shares, such holder will be taxed annually on a deemed return (with a maximum of 5.69% in 2021) on the individual’s net investment assets (</w:t>
      </w:r>
      <w:r>
        <w:rPr>
          <w:rFonts w:ascii="Arial" w:cs="Arial" w:eastAsia="Arial" w:hAnsi="Arial"/>
          <w:sz w:val="18"/>
          <w:szCs w:val="18"/>
          <w:i w:val="1"/>
          <w:iCs w:val="1"/>
          <w:color w:val="auto"/>
        </w:rPr>
        <w:t>rendementsgrondslag</w:t>
      </w:r>
      <w:r>
        <w:rPr>
          <w:rFonts w:ascii="Arial" w:cs="Arial" w:eastAsia="Arial" w:hAnsi="Arial"/>
          <w:sz w:val="18"/>
          <w:szCs w:val="18"/>
          <w:color w:val="auto"/>
        </w:rPr>
        <w:t>) for the year, insofar the individual’s net investment assets for the year exceed a statutory threshold (</w:t>
      </w:r>
      <w:r>
        <w:rPr>
          <w:rFonts w:ascii="Arial" w:cs="Arial" w:eastAsia="Arial" w:hAnsi="Arial"/>
          <w:sz w:val="18"/>
          <w:szCs w:val="18"/>
          <w:i w:val="1"/>
          <w:iCs w:val="1"/>
          <w:color w:val="auto"/>
        </w:rPr>
        <w:t>heffingvrij vermogen</w:t>
      </w:r>
      <w:r>
        <w:rPr>
          <w:rFonts w:ascii="Arial" w:cs="Arial" w:eastAsia="Arial" w:hAnsi="Arial"/>
          <w:sz w:val="18"/>
          <w:szCs w:val="18"/>
          <w:color w:val="auto"/>
        </w:rPr>
        <w:t>). The deemed return on the individual’s net investment assets for the year is taxed at a flat rate of 31%. Actual income, gains or losses in respect of the common shares are as such not subject to Dutch income tax.</w:t>
      </w:r>
    </w:p>
    <w:p>
      <w:pPr>
        <w:spacing w:after="0" w:line="108" w:lineRule="exact"/>
        <w:rPr>
          <w:sz w:val="20"/>
          <w:szCs w:val="20"/>
          <w:color w:val="auto"/>
        </w:rPr>
      </w:pPr>
    </w:p>
    <w:p>
      <w:pPr>
        <w:ind w:left="1260" w:right="419" w:firstLine="648"/>
        <w:spacing w:after="0" w:line="259" w:lineRule="auto"/>
        <w:rPr>
          <w:sz w:val="20"/>
          <w:szCs w:val="20"/>
          <w:color w:val="auto"/>
        </w:rPr>
      </w:pPr>
      <w:r>
        <w:rPr>
          <w:rFonts w:ascii="Arial" w:cs="Arial" w:eastAsia="Arial" w:hAnsi="Arial"/>
          <w:sz w:val="17"/>
          <w:szCs w:val="17"/>
          <w:color w:val="auto"/>
        </w:rPr>
        <w:t>The net investment assets for the year are the fair market value of the investment assets less the allowable liabilities on January 1 of the relevant calendar year. The common shares are included as investment assets. For the net investment assets on January 1, 2021, the deemed return ranges from 1.90% up to 5.69% (depending on the aggregate amount of the net investment assets of the individual on January 1, 2021). The deemed return will be adjusted annually on the basis of historic market yields.</w:t>
      </w:r>
    </w:p>
    <w:p>
      <w:pPr>
        <w:sectPr>
          <w:pgSz w:w="11900" w:h="16838" w:orient="portrait"/>
          <w:cols w:equalWidth="0" w:num="1">
            <w:col w:w="9879"/>
          </w:cols>
          <w:pgMar w:left="580" w:top="132" w:right="1440" w:bottom="1440" w:gutter="0" w:footer="0" w:header="0"/>
        </w:sectPr>
      </w:pPr>
    </w:p>
    <w:p>
      <w:pPr>
        <w:spacing w:after="0" w:line="36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92" w:name="page293"/>
    <w:bookmarkEnd w:id="29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Non-residents of the Netherlands</w:t>
      </w:r>
    </w:p>
    <w:p>
      <w:pPr>
        <w:spacing w:after="0" w:line="158" w:lineRule="exact"/>
        <w:rPr>
          <w:sz w:val="20"/>
          <w:szCs w:val="20"/>
          <w:color w:val="auto"/>
        </w:rPr>
      </w:pPr>
    </w:p>
    <w:p>
      <w:pPr>
        <w:ind w:left="1260" w:right="479" w:firstLine="648"/>
        <w:spacing w:after="0" w:line="243" w:lineRule="auto"/>
        <w:rPr>
          <w:sz w:val="20"/>
          <w:szCs w:val="20"/>
          <w:color w:val="auto"/>
        </w:rPr>
      </w:pPr>
      <w:r>
        <w:rPr>
          <w:rFonts w:ascii="Arial" w:cs="Arial" w:eastAsia="Arial" w:hAnsi="Arial"/>
          <w:sz w:val="18"/>
          <w:szCs w:val="18"/>
          <w:color w:val="auto"/>
        </w:rPr>
        <w:t>A holder of common shares that is neither a Dutch Resident Entity nor a Dutch Resident Individual will not be subject to Dutch taxes on income or capital gains in respect of any payment under the common shares or in respect of any gain or loss realized on the disposal or deemed disposal of the common shares, provided that:</w:t>
      </w:r>
    </w:p>
    <w:p>
      <w:pPr>
        <w:spacing w:after="0" w:line="120" w:lineRule="exact"/>
        <w:rPr>
          <w:sz w:val="20"/>
          <w:szCs w:val="20"/>
          <w:color w:val="auto"/>
        </w:rPr>
      </w:pPr>
    </w:p>
    <w:p>
      <w:pPr>
        <w:ind w:left="2560" w:right="419" w:hanging="652"/>
        <w:spacing w:after="0" w:line="255" w:lineRule="auto"/>
        <w:tabs>
          <w:tab w:leader="none" w:pos="25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such holder does not have an interest in an enterprise or deemed enterprise (as defined in the Dutch Income Tax Act 2001 and the Dutch Corporate Income Tax Act 1969) which, in whole or in part, is either effectively managed in the Netherlands or carried on through a permanent establishment, a deemed permanent establishment or a permanent representative in the Netherlands and to which enterprise or part of an enterprise the common shares are attributable; and</w:t>
      </w:r>
    </w:p>
    <w:p>
      <w:pPr>
        <w:spacing w:after="0" w:line="111" w:lineRule="exact"/>
        <w:rPr>
          <w:rFonts w:ascii="Arial" w:cs="Arial" w:eastAsia="Arial" w:hAnsi="Arial"/>
          <w:sz w:val="18"/>
          <w:szCs w:val="18"/>
          <w:color w:val="auto"/>
        </w:rPr>
      </w:pPr>
    </w:p>
    <w:p>
      <w:pPr>
        <w:ind w:left="2560" w:right="479" w:hanging="652"/>
        <w:spacing w:after="0" w:line="259" w:lineRule="auto"/>
        <w:tabs>
          <w:tab w:leader="none" w:pos="25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in the event the holder is an individual, such holder does not carry out any activities in the Netherlands with respect to the common shares that go beyond ordinary asset management and does not derive benefits from the common shares that are taxable as benefits from other activities in the Netherlands.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Gift and Inheritance Taxes</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Residents of the Netherlands</w:t>
      </w:r>
    </w:p>
    <w:p>
      <w:pPr>
        <w:spacing w:after="0" w:line="158" w:lineRule="exact"/>
        <w:rPr>
          <w:sz w:val="20"/>
          <w:szCs w:val="20"/>
          <w:color w:val="auto"/>
        </w:rPr>
      </w:pPr>
    </w:p>
    <w:p>
      <w:pPr>
        <w:jc w:val="both"/>
        <w:ind w:left="1260" w:right="559" w:firstLine="648"/>
        <w:spacing w:after="0" w:line="248" w:lineRule="auto"/>
        <w:rPr>
          <w:sz w:val="20"/>
          <w:szCs w:val="20"/>
          <w:color w:val="auto"/>
        </w:rPr>
      </w:pPr>
      <w:r>
        <w:rPr>
          <w:rFonts w:ascii="Arial" w:cs="Arial" w:eastAsia="Arial" w:hAnsi="Arial"/>
          <w:sz w:val="18"/>
          <w:szCs w:val="18"/>
          <w:color w:val="auto"/>
        </w:rPr>
        <w:t>Gift or inheritance taxes will arise in the Netherlands with respect to a transfer of common shares by way of a gift by, or on the death of, a holder of such common shares who is resident or deemed resident of the Netherlands at the time of the gift or the holder’s death.</w:t>
      </w:r>
    </w:p>
    <w:p>
      <w:pPr>
        <w:spacing w:after="0" w:line="182"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Non-residents of the Netherlands</w:t>
      </w:r>
    </w:p>
    <w:p>
      <w:pPr>
        <w:spacing w:after="0" w:line="144" w:lineRule="exact"/>
        <w:rPr>
          <w:sz w:val="20"/>
          <w:szCs w:val="20"/>
          <w:color w:val="auto"/>
        </w:rPr>
      </w:pPr>
    </w:p>
    <w:p>
      <w:pPr>
        <w:ind w:left="1260" w:right="559" w:firstLine="648"/>
        <w:spacing w:after="0" w:line="248" w:lineRule="auto"/>
        <w:rPr>
          <w:sz w:val="20"/>
          <w:szCs w:val="20"/>
          <w:color w:val="auto"/>
        </w:rPr>
      </w:pPr>
      <w:r>
        <w:rPr>
          <w:rFonts w:ascii="Arial" w:cs="Arial" w:eastAsia="Arial" w:hAnsi="Arial"/>
          <w:sz w:val="18"/>
          <w:szCs w:val="18"/>
          <w:color w:val="auto"/>
        </w:rPr>
        <w:t>No gift or inheritance taxes will arise in the Netherlands with respect to a transfer of common shares by way of gift by, or on the death of, a holder of common shares who is neither resident nor deemed to be resident of the Netherlands, unless:</w:t>
      </w:r>
    </w:p>
    <w:p>
      <w:pPr>
        <w:spacing w:after="0" w:line="114" w:lineRule="exact"/>
        <w:rPr>
          <w:sz w:val="20"/>
          <w:szCs w:val="20"/>
          <w:color w:val="auto"/>
        </w:rPr>
      </w:pPr>
    </w:p>
    <w:p>
      <w:pPr>
        <w:ind w:left="2560" w:right="579" w:hanging="652"/>
        <w:spacing w:after="0" w:line="259" w:lineRule="auto"/>
        <w:tabs>
          <w:tab w:leader="none" w:pos="25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 the case of a gift of common shares by an individual who at the date of the gift was neither resident nor deemed to be resident of the Netherlands, such individual dies within 180 days after the date of the gift, while being resident or deemed to be resident of the Netherlands; or</w:t>
      </w:r>
    </w:p>
    <w:p>
      <w:pPr>
        <w:spacing w:after="0" w:line="105" w:lineRule="exact"/>
        <w:rPr>
          <w:rFonts w:ascii="Arial" w:cs="Arial" w:eastAsia="Arial" w:hAnsi="Arial"/>
          <w:sz w:val="18"/>
          <w:szCs w:val="18"/>
          <w:color w:val="auto"/>
        </w:rPr>
      </w:pPr>
    </w:p>
    <w:p>
      <w:pPr>
        <w:ind w:left="2560" w:right="919" w:hanging="652"/>
        <w:spacing w:after="0" w:line="263" w:lineRule="auto"/>
        <w:tabs>
          <w:tab w:leader="none" w:pos="25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transfer is otherwise construed as a gift or inheritance made by, or on behalf of, a person who, at the time of the gift or death, is or is deemed to be resident of the Netherlands.</w:t>
      </w:r>
    </w:p>
    <w:p>
      <w:pPr>
        <w:spacing w:after="0" w:line="116" w:lineRule="exact"/>
        <w:rPr>
          <w:sz w:val="20"/>
          <w:szCs w:val="20"/>
          <w:color w:val="auto"/>
        </w:rPr>
      </w:pPr>
    </w:p>
    <w:p>
      <w:pPr>
        <w:ind w:left="1260" w:right="479" w:firstLine="648"/>
        <w:spacing w:after="0" w:line="254" w:lineRule="auto"/>
        <w:rPr>
          <w:sz w:val="20"/>
          <w:szCs w:val="20"/>
          <w:color w:val="auto"/>
        </w:rPr>
      </w:pPr>
      <w:r>
        <w:rPr>
          <w:rFonts w:ascii="Arial" w:cs="Arial" w:eastAsia="Arial" w:hAnsi="Arial"/>
          <w:sz w:val="18"/>
          <w:szCs w:val="18"/>
          <w:color w:val="auto"/>
        </w:rPr>
        <w:t>For purposes of Dutch gift and inheritance taxes, among others, a person that holds the Dutch nationality will be deemed to be resident of the Netherlands if such person has been resident in the Netherlands at any time during the ten (10) years preceding the date of the gift or such person’s death. Additionally, for purposes of Dutch gift tax, amongst others, a person not holding the Dutch nationality will be deemed to be resident of the Netherlands if such person has been resident in the Netherlands at any time during the twelve (12) months preceding the date of the gift. Applicable tax treaties may override deemed residency.</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Value Added Tax (VAT)</w:t>
      </w:r>
    </w:p>
    <w:p>
      <w:pPr>
        <w:spacing w:after="0" w:line="158" w:lineRule="exact"/>
        <w:rPr>
          <w:sz w:val="20"/>
          <w:szCs w:val="20"/>
          <w:color w:val="auto"/>
        </w:rPr>
      </w:pPr>
    </w:p>
    <w:p>
      <w:pPr>
        <w:ind w:left="1260" w:right="1139" w:firstLine="648"/>
        <w:spacing w:after="0" w:line="277" w:lineRule="auto"/>
        <w:rPr>
          <w:sz w:val="20"/>
          <w:szCs w:val="20"/>
          <w:color w:val="auto"/>
        </w:rPr>
      </w:pPr>
      <w:r>
        <w:rPr>
          <w:rFonts w:ascii="Arial" w:cs="Arial" w:eastAsia="Arial" w:hAnsi="Arial"/>
          <w:sz w:val="18"/>
          <w:szCs w:val="18"/>
          <w:color w:val="auto"/>
        </w:rPr>
        <w:t>No Dutch VAT will be payable by a holder of common shares in respect of any payment in consideration for the holding or disposal of the common shares.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Taxes and Duties</w:t>
      </w:r>
    </w:p>
    <w:p>
      <w:pPr>
        <w:spacing w:after="0" w:line="144" w:lineRule="exact"/>
        <w:rPr>
          <w:sz w:val="20"/>
          <w:szCs w:val="20"/>
          <w:color w:val="auto"/>
        </w:rPr>
      </w:pPr>
    </w:p>
    <w:p>
      <w:pPr>
        <w:jc w:val="both"/>
        <w:ind w:left="1260" w:right="499" w:firstLine="648"/>
        <w:spacing w:after="0" w:line="263" w:lineRule="auto"/>
        <w:rPr>
          <w:sz w:val="20"/>
          <w:szCs w:val="20"/>
          <w:color w:val="auto"/>
        </w:rPr>
      </w:pPr>
      <w:r>
        <w:rPr>
          <w:rFonts w:ascii="Arial" w:cs="Arial" w:eastAsia="Arial" w:hAnsi="Arial"/>
          <w:sz w:val="18"/>
          <w:szCs w:val="18"/>
          <w:color w:val="auto"/>
        </w:rPr>
        <w:t>No Dutch registration tax, stamp duty or any other similar documentary tax or duty will be payable by a holder of common shares in respect of any payment in consideration for the holding or disposal of the common shares.</w:t>
      </w:r>
    </w:p>
    <w:p>
      <w:pPr>
        <w:sectPr>
          <w:pgSz w:w="11900" w:h="16838" w:orient="portrait"/>
          <w:cols w:equalWidth="0" w:num="1">
            <w:col w:w="9879"/>
          </w:cols>
          <w:pgMar w:left="580" w:top="132" w:right="1440" w:bottom="1440" w:gutter="0" w:footer="0" w:header="0"/>
        </w:sectPr>
      </w:pPr>
    </w:p>
    <w:p>
      <w:pPr>
        <w:spacing w:after="0" w:line="37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93" w:name="page294"/>
    <w:bookmarkEnd w:id="29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Material German Tax Considerations</w:t>
      </w:r>
    </w:p>
    <w:p>
      <w:pPr>
        <w:spacing w:after="0" w:line="162" w:lineRule="exact"/>
        <w:rPr>
          <w:sz w:val="20"/>
          <w:szCs w:val="20"/>
          <w:color w:val="auto"/>
        </w:rPr>
      </w:pPr>
    </w:p>
    <w:p>
      <w:pPr>
        <w:ind w:left="1260" w:right="499" w:firstLine="648"/>
        <w:spacing w:after="0" w:line="253" w:lineRule="auto"/>
        <w:rPr>
          <w:sz w:val="20"/>
          <w:szCs w:val="20"/>
          <w:color w:val="auto"/>
        </w:rPr>
      </w:pPr>
      <w:r>
        <w:rPr>
          <w:rFonts w:ascii="Arial" w:cs="Arial" w:eastAsia="Arial" w:hAnsi="Arial"/>
          <w:sz w:val="17"/>
          <w:szCs w:val="17"/>
          <w:color w:val="auto"/>
        </w:rPr>
        <w:t>The following section is the opinion of FALK GmbH &amp; Co KG, or German Tax Counsel, of the material German tax considerations that become relevant when purchasing, holding or transferring the company’s shares. The company expects and intends to have its sole place of management in Germany and, therefore, qualifies as a corporation subject to German unlimited income taxation; however, because a company’s tax residency depends on future facts regarding the location in which the company is managed and controlled, German Tax Counsel cannot opine as to whether the company will actually qualify as a corporation subject to German unlimited income taxation. This section does not set forth all German tax aspects that may be relevant for shareholders. The section is based on the German tax law applicable as of the date of this Prospectus. It should be noted that the law may change following the issuance of this Prospectus and that such changes may have retroactive effect.</w:t>
      </w:r>
    </w:p>
    <w:p>
      <w:pPr>
        <w:spacing w:after="0" w:line="113" w:lineRule="exact"/>
        <w:rPr>
          <w:sz w:val="20"/>
          <w:szCs w:val="20"/>
          <w:color w:val="auto"/>
        </w:rPr>
      </w:pPr>
    </w:p>
    <w:p>
      <w:pPr>
        <w:ind w:left="1260" w:right="439" w:firstLine="648"/>
        <w:spacing w:after="0" w:line="257" w:lineRule="auto"/>
        <w:rPr>
          <w:sz w:val="20"/>
          <w:szCs w:val="20"/>
          <w:color w:val="auto"/>
        </w:rPr>
      </w:pPr>
      <w:r>
        <w:rPr>
          <w:rFonts w:ascii="Arial" w:cs="Arial" w:eastAsia="Arial" w:hAnsi="Arial"/>
          <w:sz w:val="17"/>
          <w:szCs w:val="17"/>
          <w:color w:val="auto"/>
        </w:rPr>
        <w:t>The material German tax principles of purchasing, owning and transferring of shares are set forth in the following. This section does not purport to be a comprehensive or complete analysis or listing of all potential tax effects of the purchase, ownership or disposition of shares and does not set forth all tax considerations that may be relevant to a particular person’s decision to acquire common shares. All of the following is subject to change. Such changes could apply retroactively and could affect the consequences set forth below. This section does not refer to any U.S. Foreign Account Tax Compliance Act aspects.</w:t>
      </w:r>
    </w:p>
    <w:p>
      <w:pPr>
        <w:spacing w:after="0" w:line="94" w:lineRule="exact"/>
        <w:rPr>
          <w:sz w:val="20"/>
          <w:szCs w:val="20"/>
          <w:color w:val="auto"/>
        </w:rPr>
      </w:pPr>
    </w:p>
    <w:p>
      <w:pPr>
        <w:ind w:left="1260" w:right="459" w:firstLine="648"/>
        <w:spacing w:after="0" w:line="238" w:lineRule="auto"/>
        <w:rPr>
          <w:sz w:val="20"/>
          <w:szCs w:val="20"/>
          <w:color w:val="auto"/>
        </w:rPr>
      </w:pPr>
      <w:r>
        <w:rPr>
          <w:rFonts w:ascii="Arial" w:cs="Arial" w:eastAsia="Arial" w:hAnsi="Arial"/>
          <w:sz w:val="18"/>
          <w:szCs w:val="18"/>
          <w:color w:val="auto"/>
        </w:rPr>
        <w:t>Shareholders are advised to consult their own tax advisers with regard to the application of German tax law to their particular situations, in particular with respect to the procedure to be complied with to obtain a relief of withholding tax on dividends and on capital gains (</w:t>
      </w:r>
      <w:r>
        <w:rPr>
          <w:rFonts w:ascii="Arial" w:cs="Arial" w:eastAsia="Arial" w:hAnsi="Arial"/>
          <w:sz w:val="18"/>
          <w:szCs w:val="18"/>
          <w:i w:val="1"/>
          <w:iCs w:val="1"/>
          <w:color w:val="auto"/>
        </w:rPr>
        <w:t>Kapitalertragsteuer</w:t>
      </w:r>
      <w:r>
        <w:rPr>
          <w:rFonts w:ascii="Arial" w:cs="Arial" w:eastAsia="Arial" w:hAnsi="Arial"/>
          <w:sz w:val="18"/>
          <w:szCs w:val="18"/>
          <w:color w:val="auto"/>
        </w:rPr>
        <w:t>) and with respect to the influence of double tax treaty provisions, as well as any tax consequences arising under the laws of any state, local or other foreign jurisdiction. For German tax purposes, a shareholder may include an individual who or an entity that does not have the legal title to the shares, but to whom nevertheless the shares are attributed, based either on such individual or entity owning a beneficial interest in the shares or based on specific statutory provisions.</w:t>
      </w:r>
    </w:p>
    <w:p>
      <w:pPr>
        <w:spacing w:after="0" w:line="126" w:lineRule="exact"/>
        <w:rPr>
          <w:sz w:val="20"/>
          <w:szCs w:val="20"/>
          <w:color w:val="auto"/>
        </w:rPr>
      </w:pPr>
    </w:p>
    <w:p>
      <w:pPr>
        <w:ind w:left="1260" w:right="899" w:firstLine="648"/>
        <w:spacing w:after="0" w:line="248" w:lineRule="auto"/>
        <w:rPr>
          <w:sz w:val="20"/>
          <w:szCs w:val="20"/>
          <w:color w:val="auto"/>
        </w:rPr>
      </w:pPr>
      <w:r>
        <w:rPr>
          <w:rFonts w:ascii="Arial" w:cs="Arial" w:eastAsia="Arial" w:hAnsi="Arial"/>
          <w:sz w:val="18"/>
          <w:szCs w:val="18"/>
          <w:color w:val="auto"/>
        </w:rPr>
        <w:t>This section does not constitute a particular tax advice. Potential purchasers of the company’s shares are urged to consult their own tax advisers regarding the tax consequences of the purchase, ownership and disposition of shares in light of their particular circumstances.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Dividends Tax</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Withholding Tax on Dividends</w:t>
      </w:r>
    </w:p>
    <w:p>
      <w:pPr>
        <w:spacing w:after="0" w:line="158" w:lineRule="exact"/>
        <w:rPr>
          <w:sz w:val="20"/>
          <w:szCs w:val="20"/>
          <w:color w:val="auto"/>
        </w:rPr>
      </w:pPr>
    </w:p>
    <w:p>
      <w:pPr>
        <w:ind w:left="1260" w:right="519" w:firstLine="648"/>
        <w:spacing w:after="0" w:line="268" w:lineRule="auto"/>
        <w:rPr>
          <w:sz w:val="20"/>
          <w:szCs w:val="20"/>
          <w:color w:val="auto"/>
        </w:rPr>
      </w:pPr>
      <w:r>
        <w:rPr>
          <w:rFonts w:ascii="Arial" w:cs="Arial" w:eastAsia="Arial" w:hAnsi="Arial"/>
          <w:sz w:val="17"/>
          <w:szCs w:val="17"/>
          <w:color w:val="auto"/>
        </w:rPr>
        <w:t>Dividends distributed from a company to its shareholders are subject to withholding tax, subject to certain exemptions (for example, repayments of capital from the tax equity account (</w:t>
      </w:r>
      <w:r>
        <w:rPr>
          <w:rFonts w:ascii="Arial" w:cs="Arial" w:eastAsia="Arial" w:hAnsi="Arial"/>
          <w:sz w:val="17"/>
          <w:szCs w:val="17"/>
          <w:i w:val="1"/>
          <w:iCs w:val="1"/>
          <w:color w:val="auto"/>
        </w:rPr>
        <w:t>steuerliches</w:t>
      </w:r>
      <w:r>
        <w:rPr>
          <w:rFonts w:ascii="Arial" w:cs="Arial" w:eastAsia="Arial" w:hAnsi="Arial"/>
          <w:sz w:val="17"/>
          <w:szCs w:val="17"/>
          <w:color w:val="auto"/>
        </w:rPr>
        <w:t xml:space="preserve"> </w:t>
      </w:r>
      <w:r>
        <w:rPr>
          <w:rFonts w:ascii="Arial" w:cs="Arial" w:eastAsia="Arial" w:hAnsi="Arial"/>
          <w:sz w:val="17"/>
          <w:szCs w:val="17"/>
          <w:i w:val="1"/>
          <w:iCs w:val="1"/>
          <w:color w:val="auto"/>
        </w:rPr>
        <w:t>Einlagekonto</w:t>
      </w:r>
      <w:r>
        <w:rPr>
          <w:rFonts w:ascii="Arial" w:cs="Arial" w:eastAsia="Arial" w:hAnsi="Arial"/>
          <w:sz w:val="17"/>
          <w:szCs w:val="17"/>
          <w:color w:val="auto"/>
        </w:rPr>
        <w:t>)), as described in the following. The withholding tax rate is 25% plus 5.5% solidarity</w:t>
      </w:r>
      <w:r>
        <w:rPr>
          <w:rFonts w:ascii="Arial" w:cs="Arial" w:eastAsia="Arial" w:hAnsi="Arial"/>
          <w:sz w:val="17"/>
          <w:szCs w:val="17"/>
          <w:i w:val="1"/>
          <w:iCs w:val="1"/>
          <w:color w:val="auto"/>
        </w:rPr>
        <w:t xml:space="preserve"> </w:t>
      </w:r>
      <w:r>
        <w:rPr>
          <w:rFonts w:ascii="Arial" w:cs="Arial" w:eastAsia="Arial" w:hAnsi="Arial"/>
          <w:sz w:val="17"/>
          <w:szCs w:val="17"/>
          <w:color w:val="auto"/>
        </w:rPr>
        <w:t>surcharge (</w:t>
      </w:r>
      <w:r>
        <w:rPr>
          <w:rFonts w:ascii="Arial" w:cs="Arial" w:eastAsia="Arial" w:hAnsi="Arial"/>
          <w:sz w:val="17"/>
          <w:szCs w:val="17"/>
          <w:i w:val="1"/>
          <w:iCs w:val="1"/>
          <w:color w:val="auto"/>
        </w:rPr>
        <w:t>Solidaritätszuschlag</w:t>
      </w:r>
      <w:r>
        <w:rPr>
          <w:rFonts w:ascii="Arial" w:cs="Arial" w:eastAsia="Arial" w:hAnsi="Arial"/>
          <w:sz w:val="17"/>
          <w:szCs w:val="17"/>
          <w:color w:val="auto"/>
        </w:rPr>
        <w:t>) thereon (in total 26.375%) of the gross dividend approved by the ordinary shareholders’ meeting. Withholding tax is to be withheld and passed on for the account of the shareholders by a domestic branch of a domestic or foreign credit or financial services institution (</w:t>
      </w:r>
      <w:r>
        <w:rPr>
          <w:rFonts w:ascii="Arial" w:cs="Arial" w:eastAsia="Arial" w:hAnsi="Arial"/>
          <w:sz w:val="17"/>
          <w:szCs w:val="17"/>
          <w:i w:val="1"/>
          <w:iCs w:val="1"/>
          <w:color w:val="auto"/>
        </w:rPr>
        <w:t>Kredit-und</w:t>
      </w:r>
    </w:p>
    <w:p>
      <w:pPr>
        <w:spacing w:after="0" w:line="1" w:lineRule="exact"/>
        <w:rPr>
          <w:sz w:val="20"/>
          <w:szCs w:val="20"/>
          <w:color w:val="auto"/>
        </w:rPr>
      </w:pPr>
    </w:p>
    <w:p>
      <w:pPr>
        <w:ind w:left="1260" w:right="459"/>
        <w:spacing w:after="0" w:line="265" w:lineRule="auto"/>
        <w:rPr>
          <w:sz w:val="20"/>
          <w:szCs w:val="20"/>
          <w:color w:val="auto"/>
        </w:rPr>
      </w:pPr>
      <w:r>
        <w:rPr>
          <w:rFonts w:ascii="Arial" w:cs="Arial" w:eastAsia="Arial" w:hAnsi="Arial"/>
          <w:sz w:val="17"/>
          <w:szCs w:val="17"/>
          <w:i w:val="1"/>
          <w:iCs w:val="1"/>
          <w:color w:val="auto"/>
        </w:rPr>
        <w:t>Finanzdienstleistungsinstitut</w:t>
      </w:r>
      <w:r>
        <w:rPr>
          <w:rFonts w:ascii="Arial" w:cs="Arial" w:eastAsia="Arial" w:hAnsi="Arial"/>
          <w:sz w:val="17"/>
          <w:szCs w:val="17"/>
          <w:color w:val="auto"/>
        </w:rPr>
        <w:t>), by the domestic securities trading company (</w:t>
      </w:r>
      <w:r>
        <w:rPr>
          <w:rFonts w:ascii="Arial" w:cs="Arial" w:eastAsia="Arial" w:hAnsi="Arial"/>
          <w:sz w:val="17"/>
          <w:szCs w:val="17"/>
          <w:i w:val="1"/>
          <w:iCs w:val="1"/>
          <w:color w:val="auto"/>
        </w:rPr>
        <w:t>inländisches Wertpapierhandelsunternehmen</w:t>
      </w:r>
      <w:r>
        <w:rPr>
          <w:rFonts w:ascii="Arial" w:cs="Arial" w:eastAsia="Arial" w:hAnsi="Arial"/>
          <w:sz w:val="17"/>
          <w:szCs w:val="17"/>
          <w:color w:val="auto"/>
        </w:rPr>
        <w:t>) or a domestic securities trading bank (</w:t>
      </w:r>
      <w:r>
        <w:rPr>
          <w:rFonts w:ascii="Arial" w:cs="Arial" w:eastAsia="Arial" w:hAnsi="Arial"/>
          <w:sz w:val="17"/>
          <w:szCs w:val="17"/>
          <w:i w:val="1"/>
          <w:iCs w:val="1"/>
          <w:color w:val="auto"/>
        </w:rPr>
        <w:t>inländische Wertpapierhandelsbank</w:t>
      </w:r>
      <w:r>
        <w:rPr>
          <w:rFonts w:ascii="Arial" w:cs="Arial" w:eastAsia="Arial" w:hAnsi="Arial"/>
          <w:sz w:val="17"/>
          <w:szCs w:val="17"/>
          <w:color w:val="auto"/>
        </w:rPr>
        <w:t>)</w:t>
      </w:r>
    </w:p>
    <w:p>
      <w:pPr>
        <w:ind w:left="1260" w:right="419"/>
        <w:spacing w:after="0" w:line="252" w:lineRule="auto"/>
        <w:rPr>
          <w:sz w:val="20"/>
          <w:szCs w:val="20"/>
          <w:color w:val="auto"/>
        </w:rPr>
      </w:pPr>
      <w:r>
        <w:rPr>
          <w:rFonts w:ascii="Arial" w:cs="Arial" w:eastAsia="Arial" w:hAnsi="Arial"/>
          <w:sz w:val="18"/>
          <w:szCs w:val="18"/>
          <w:color w:val="auto"/>
        </w:rPr>
        <w:t>which keeps and administers the shares and disburses or credits the dividends or disburses the dividends to a foreign agent, or by the securities custodian bank (</w:t>
      </w:r>
      <w:r>
        <w:rPr>
          <w:rFonts w:ascii="Arial" w:cs="Arial" w:eastAsia="Arial" w:hAnsi="Arial"/>
          <w:sz w:val="18"/>
          <w:szCs w:val="18"/>
          <w:i w:val="1"/>
          <w:iCs w:val="1"/>
          <w:color w:val="auto"/>
        </w:rPr>
        <w:t>Wertpapiersammelbank</w:t>
      </w:r>
      <w:r>
        <w:rPr>
          <w:rFonts w:ascii="Arial" w:cs="Arial" w:eastAsia="Arial" w:hAnsi="Arial"/>
          <w:sz w:val="18"/>
          <w:szCs w:val="18"/>
          <w:color w:val="auto"/>
        </w:rPr>
        <w:t>) to which the shares were entrusted for collective custody if the dividends are distributed to a foreign agent by such securities custodian bank (which is referred to as the “Dividend Paying Agent”). In case the shares are not held in collective deposit with a Dividend Paying Agent, the company is responsible for withholding and remitting the tax to the competent tax office.</w:t>
      </w:r>
    </w:p>
    <w:p>
      <w:pPr>
        <w:spacing w:after="0" w:line="113" w:lineRule="exact"/>
        <w:rPr>
          <w:sz w:val="20"/>
          <w:szCs w:val="20"/>
          <w:color w:val="auto"/>
        </w:rPr>
      </w:pPr>
    </w:p>
    <w:p>
      <w:pPr>
        <w:ind w:left="1260" w:right="899" w:firstLine="648"/>
        <w:spacing w:after="0" w:line="263" w:lineRule="auto"/>
        <w:rPr>
          <w:sz w:val="20"/>
          <w:szCs w:val="20"/>
          <w:color w:val="auto"/>
        </w:rPr>
      </w:pPr>
      <w:r>
        <w:rPr>
          <w:rFonts w:ascii="Arial" w:cs="Arial" w:eastAsia="Arial" w:hAnsi="Arial"/>
          <w:sz w:val="18"/>
          <w:szCs w:val="18"/>
          <w:color w:val="auto"/>
        </w:rPr>
        <w:t>Such withholding tax is levied and withheld irrespective of whether, and to what extent, the dividend distribution is taxable at the level of the shareholder, and whether the shareholder is a person residing in Germany or in a foreign country.</w:t>
      </w:r>
    </w:p>
    <w:p>
      <w:pPr>
        <w:spacing w:after="0" w:line="116" w:lineRule="exact"/>
        <w:rPr>
          <w:sz w:val="20"/>
          <w:szCs w:val="20"/>
          <w:color w:val="auto"/>
        </w:rPr>
      </w:pPr>
    </w:p>
    <w:p>
      <w:pPr>
        <w:ind w:left="1260" w:right="559" w:firstLine="648"/>
        <w:spacing w:after="0" w:line="308" w:lineRule="auto"/>
        <w:rPr>
          <w:sz w:val="20"/>
          <w:szCs w:val="20"/>
          <w:color w:val="auto"/>
        </w:rPr>
      </w:pPr>
      <w:r>
        <w:rPr>
          <w:rFonts w:ascii="Arial" w:cs="Arial" w:eastAsia="Arial" w:hAnsi="Arial"/>
          <w:sz w:val="17"/>
          <w:szCs w:val="17"/>
          <w:color w:val="auto"/>
        </w:rPr>
        <w:t>In the case of dividends distributed to a company within the meaning of Art. 2 of the amended EU Directive 2011/96/EU of the Council of November 30, 2011, or the EU Parent Subsidiary Directive,</w:t>
      </w: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94" w:name="page295"/>
    <w:bookmarkEnd w:id="29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19"/>
        <w:spacing w:after="0" w:line="272" w:lineRule="auto"/>
        <w:rPr>
          <w:sz w:val="20"/>
          <w:szCs w:val="20"/>
          <w:color w:val="auto"/>
        </w:rPr>
      </w:pPr>
      <w:r>
        <w:rPr>
          <w:rFonts w:ascii="Arial" w:cs="Arial" w:eastAsia="Arial" w:hAnsi="Arial"/>
          <w:sz w:val="17"/>
          <w:szCs w:val="17"/>
          <w:color w:val="auto"/>
        </w:rPr>
        <w:t>domiciled in another Member State of the European Union, an exemption from withholding tax will begranted upon request if further prerequisites are satisfied (</w:t>
      </w:r>
      <w:r>
        <w:rPr>
          <w:rFonts w:ascii="Arial" w:cs="Arial" w:eastAsia="Arial" w:hAnsi="Arial"/>
          <w:sz w:val="17"/>
          <w:szCs w:val="17"/>
          <w:i w:val="1"/>
          <w:iCs w:val="1"/>
          <w:color w:val="auto"/>
        </w:rPr>
        <w:t>Freistellung im Steuerabzugsverfahren</w:t>
      </w:r>
      <w:r>
        <w:rPr>
          <w:rFonts w:ascii="Arial" w:cs="Arial" w:eastAsia="Arial" w:hAnsi="Arial"/>
          <w:sz w:val="17"/>
          <w:szCs w:val="17"/>
          <w:color w:val="auto"/>
        </w:rPr>
        <w:t>). This also applies to dividends distributed to a permanent establishment located in another Member State of the European Union of such a parent company or of a parent company tax resident in Germany if the participation in the company is effectively connected with this permanent establishment. The key prerequisite for the application of the EU Parent Subsidiary Directive is that the shareholder has held a direct participation in the share capital of the company of at least 10% for at least one year.</w:t>
      </w:r>
    </w:p>
    <w:p>
      <w:pPr>
        <w:spacing w:after="0" w:line="110" w:lineRule="exact"/>
        <w:rPr>
          <w:sz w:val="20"/>
          <w:szCs w:val="20"/>
          <w:color w:val="auto"/>
        </w:rPr>
      </w:pPr>
    </w:p>
    <w:p>
      <w:pPr>
        <w:ind w:left="1260" w:right="439" w:firstLine="648"/>
        <w:spacing w:after="0" w:line="253" w:lineRule="auto"/>
        <w:rPr>
          <w:sz w:val="20"/>
          <w:szCs w:val="20"/>
          <w:color w:val="auto"/>
        </w:rPr>
      </w:pPr>
      <w:r>
        <w:rPr>
          <w:rFonts w:ascii="Arial" w:cs="Arial" w:eastAsia="Arial" w:hAnsi="Arial"/>
          <w:sz w:val="18"/>
          <w:szCs w:val="18"/>
          <w:color w:val="auto"/>
        </w:rPr>
        <w:t>The withholding tax on distributions to other foreign resident shareholders is reduced in accordance with a double taxation treaty if Germany has concluded such double taxation treaty with the country of residence of the shareholder and if the shareholder does not hold his shares either as part of the assets of a permanent establishment or a fixed place of business in Germany or as business assets for which a permanent representative has been appointed in Germany. The reduction of the withholding tax is procedurally granted in such a manner that the difference between the total amount withheld, including the solidarity surcharge, and the tax liability determined on the basis of the tax rate set forth in the applicable double taxation treaty (15% unless further qualifications are met) is refunded by the German tax administration upon request (Federal Central Office for Taxes (</w:t>
      </w:r>
      <w:r>
        <w:rPr>
          <w:rFonts w:ascii="Arial" w:cs="Arial" w:eastAsia="Arial" w:hAnsi="Arial"/>
          <w:sz w:val="18"/>
          <w:szCs w:val="18"/>
          <w:i w:val="1"/>
          <w:iCs w:val="1"/>
          <w:color w:val="auto"/>
        </w:rPr>
        <w:t>Bundeszentralamt für Steuern</w:t>
      </w:r>
      <w:r>
        <w:rPr>
          <w:rFonts w:ascii="Arial" w:cs="Arial" w:eastAsia="Arial" w:hAnsi="Arial"/>
          <w:sz w:val="18"/>
          <w:szCs w:val="18"/>
          <w:color w:val="auto"/>
        </w:rPr>
        <w:t>), main office in Bonn-Beuel, An der Küppe 1, 53225 Bonn, Germany).</w:t>
      </w:r>
    </w:p>
    <w:p>
      <w:pPr>
        <w:spacing w:after="0" w:line="127" w:lineRule="exact"/>
        <w:rPr>
          <w:sz w:val="20"/>
          <w:szCs w:val="20"/>
          <w:color w:val="auto"/>
        </w:rPr>
      </w:pPr>
    </w:p>
    <w:p>
      <w:pPr>
        <w:ind w:left="1260" w:right="519" w:firstLine="648"/>
        <w:spacing w:after="0" w:line="275" w:lineRule="auto"/>
        <w:rPr>
          <w:sz w:val="20"/>
          <w:szCs w:val="20"/>
          <w:color w:val="auto"/>
        </w:rPr>
      </w:pPr>
      <w:r>
        <w:rPr>
          <w:rFonts w:ascii="Arial" w:cs="Arial" w:eastAsia="Arial" w:hAnsi="Arial"/>
          <w:sz w:val="17"/>
          <w:szCs w:val="17"/>
          <w:color w:val="auto"/>
        </w:rPr>
        <w:t>In the case of dividends received by corporations whose statutory seat and effective place of management are not located in Germany and who are therefore not tax resident in Germany, two-fifths of the withholding tax deducted and remitted are refunded without the need to fulfill all prerequisites required for such refund under the EU Parent Subsidiary Directive or under a double taxation treaty or if no double taxation treaty has been concluded between the state of residence of the shareholder.</w:t>
      </w:r>
    </w:p>
    <w:p>
      <w:pPr>
        <w:spacing w:after="0" w:line="95" w:lineRule="exact"/>
        <w:rPr>
          <w:sz w:val="20"/>
          <w:szCs w:val="20"/>
          <w:color w:val="auto"/>
        </w:rPr>
      </w:pPr>
    </w:p>
    <w:p>
      <w:pPr>
        <w:ind w:left="1260" w:right="459" w:firstLine="648"/>
        <w:spacing w:after="0" w:line="257" w:lineRule="auto"/>
        <w:rPr>
          <w:sz w:val="20"/>
          <w:szCs w:val="20"/>
          <w:color w:val="auto"/>
        </w:rPr>
      </w:pPr>
      <w:r>
        <w:rPr>
          <w:rFonts w:ascii="Arial" w:cs="Arial" w:eastAsia="Arial" w:hAnsi="Arial"/>
          <w:sz w:val="18"/>
          <w:szCs w:val="18"/>
          <w:color w:val="auto"/>
        </w:rPr>
        <w:t>In order to receive a refund pursuant to a double taxation treaty or the aforementioned option for foreign corporations, the shareholder has to submit a completed form for refund (available at the Federal Central Office for Taxes (http://www.bzst.de) as well as at the German embassies and consulates) together with a withholding tax certificate (</w:t>
      </w:r>
      <w:r>
        <w:rPr>
          <w:rFonts w:ascii="Arial" w:cs="Arial" w:eastAsia="Arial" w:hAnsi="Arial"/>
          <w:sz w:val="18"/>
          <w:szCs w:val="18"/>
          <w:i w:val="1"/>
          <w:iCs w:val="1"/>
          <w:color w:val="auto"/>
        </w:rPr>
        <w:t>Kapitalertragsteuerbescheinigung</w:t>
      </w:r>
      <w:r>
        <w:rPr>
          <w:rFonts w:ascii="Arial" w:cs="Arial" w:eastAsia="Arial" w:hAnsi="Arial"/>
          <w:sz w:val="18"/>
          <w:szCs w:val="18"/>
          <w:color w:val="auto"/>
        </w:rPr>
        <w:t>) issued by the institution that withheld the tax.</w:t>
      </w:r>
    </w:p>
    <w:p>
      <w:pPr>
        <w:spacing w:after="0" w:line="120" w:lineRule="exact"/>
        <w:rPr>
          <w:sz w:val="20"/>
          <w:szCs w:val="20"/>
          <w:color w:val="auto"/>
        </w:rPr>
      </w:pPr>
    </w:p>
    <w:p>
      <w:pPr>
        <w:ind w:left="1260" w:right="499" w:firstLine="648"/>
        <w:spacing w:after="0" w:line="267" w:lineRule="auto"/>
        <w:rPr>
          <w:sz w:val="20"/>
          <w:szCs w:val="20"/>
          <w:color w:val="auto"/>
        </w:rPr>
      </w:pPr>
      <w:r>
        <w:rPr>
          <w:rFonts w:ascii="Arial" w:cs="Arial" w:eastAsia="Arial" w:hAnsi="Arial"/>
          <w:sz w:val="17"/>
          <w:szCs w:val="17"/>
          <w:color w:val="auto"/>
        </w:rPr>
        <w:t>The exemption from withholding tax in accordance with the EU Parent Subsidiary Directive or a double tax treaty and the aforementioned options for a refund of the withholding tax (with or without protection under a double taxation treaty) depend on whether certain additional prerequisites (in particular so-called substance requirements) are fulfilled. The applicable withholding tax relief will only be granted if the preconditions of the German anti avoidance rules (so called Directive Override or Treaty Override), in particular Section 50d, paragraph 3, German Income Tax Act (</w:t>
      </w:r>
      <w:r>
        <w:rPr>
          <w:rFonts w:ascii="Arial" w:cs="Arial" w:eastAsia="Arial" w:hAnsi="Arial"/>
          <w:sz w:val="17"/>
          <w:szCs w:val="17"/>
          <w:i w:val="1"/>
          <w:iCs w:val="1"/>
          <w:color w:val="auto"/>
        </w:rPr>
        <w:t>Einkommensteuergesetz</w:t>
      </w:r>
      <w:r>
        <w:rPr>
          <w:rFonts w:ascii="Arial" w:cs="Arial" w:eastAsia="Arial" w:hAnsi="Arial"/>
          <w:sz w:val="17"/>
          <w:szCs w:val="17"/>
          <w:color w:val="auto"/>
        </w:rPr>
        <w:t>) are fulfilled. In addition, Article 28 of the Convention between the Federal Republic of Germany and the United States of America for the Avoidance of Double Taxation and the Prevention of Fiscal Evasion with respect to Taxes on Income and Capital and to certain other Taxes of August 29, 1989 in the amended version of June 4,</w:t>
      </w:r>
    </w:p>
    <w:p>
      <w:pPr>
        <w:spacing w:after="0" w:line="1" w:lineRule="exact"/>
        <w:rPr>
          <w:sz w:val="20"/>
          <w:szCs w:val="20"/>
          <w:color w:val="auto"/>
        </w:rPr>
      </w:pPr>
    </w:p>
    <w:p>
      <w:pPr>
        <w:ind w:left="1260" w:right="419"/>
        <w:spacing w:after="0" w:line="260" w:lineRule="auto"/>
        <w:rPr>
          <w:sz w:val="20"/>
          <w:szCs w:val="20"/>
          <w:color w:val="auto"/>
        </w:rPr>
      </w:pPr>
      <w:r>
        <w:rPr>
          <w:rFonts w:ascii="Arial" w:cs="Arial" w:eastAsia="Arial" w:hAnsi="Arial"/>
          <w:sz w:val="18"/>
          <w:szCs w:val="18"/>
          <w:color w:val="auto"/>
        </w:rPr>
        <w:t>2008 (</w:t>
      </w:r>
      <w:r>
        <w:rPr>
          <w:rFonts w:ascii="Arial" w:cs="Arial" w:eastAsia="Arial" w:hAnsi="Arial"/>
          <w:sz w:val="18"/>
          <w:szCs w:val="18"/>
          <w:i w:val="1"/>
          <w:iCs w:val="1"/>
          <w:color w:val="auto"/>
        </w:rPr>
        <w:t>Bundesgesetzblatt II 2008</w:t>
      </w:r>
      <w:r>
        <w:rPr>
          <w:rFonts w:ascii="Arial" w:cs="Arial" w:eastAsia="Arial" w:hAnsi="Arial"/>
          <w:sz w:val="18"/>
          <w:szCs w:val="18"/>
          <w:color w:val="auto"/>
        </w:rPr>
        <w:t>, p. 611) provides for further prerequisites that need to be fulfilled in case of a shareholder who is resident of the United States.</w:t>
      </w:r>
    </w:p>
    <w:p>
      <w:pPr>
        <w:spacing w:after="0" w:line="11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aforementioned reductions of (or exemptions from) withholding tax are further restricted if</w:t>
      </w:r>
    </w:p>
    <w:p>
      <w:pPr>
        <w:spacing w:after="0" w:line="23" w:lineRule="exact"/>
        <w:rPr>
          <w:sz w:val="20"/>
          <w:szCs w:val="20"/>
          <w:color w:val="auto"/>
        </w:rPr>
      </w:pPr>
    </w:p>
    <w:p>
      <w:pPr>
        <w:ind w:left="1260" w:right="539"/>
        <w:spacing w:after="0" w:line="265" w:lineRule="auto"/>
        <w:tabs>
          <w:tab w:leader="none" w:pos="1489"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applicable double taxation treaty provides for a tax reduction resulting in an applicable tax rate of less than 15% and (ii) the shareholder is not a corporation that directly holds at least 10% in the equity capital of the company and is subject to tax on its income and profits in its state of residence without being exempt. In this case, the reduction of (or exemption from) withholding tax is subject to the following three cumulative prerequisites: (i) the shareholder must qualify as beneficial owner of the shares in the company for a minimum holding period of 45 consecutive days occurring within a period of 45 days prior and</w:t>
      </w:r>
    </w:p>
    <w:p>
      <w:pPr>
        <w:ind w:left="1260" w:right="439"/>
        <w:spacing w:after="0" w:line="252" w:lineRule="auto"/>
        <w:rPr>
          <w:rFonts w:ascii="Arial" w:cs="Arial" w:eastAsia="Arial" w:hAnsi="Arial"/>
          <w:sz w:val="17"/>
          <w:szCs w:val="17"/>
          <w:color w:val="auto"/>
        </w:rPr>
      </w:pPr>
      <w:r>
        <w:rPr>
          <w:rFonts w:ascii="Arial" w:cs="Arial" w:eastAsia="Arial" w:hAnsi="Arial"/>
          <w:sz w:val="18"/>
          <w:szCs w:val="18"/>
          <w:color w:val="auto"/>
        </w:rPr>
        <w:t>45 days after the due date of the dividends, (ii) the shareholder has to bear at least 70% of the change in value risk related to the shares in the company during the minimum holding period without being directly or indirectly hedged and (iii) the shareholder must not be required to fully or largely compensate directly or indirectly the dividends to third parties. However, these further prerequisites do not apply if the shareholder has been the beneficial owner of the shares in the company for at least one uninterrupted year upon receipt of the dividends.</w:t>
      </w:r>
    </w:p>
    <w:p>
      <w:pPr>
        <w:spacing w:after="0" w:line="36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95" w:name="page296"/>
    <w:bookmarkEnd w:id="29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19" w:firstLine="648"/>
        <w:spacing w:after="0" w:line="252" w:lineRule="auto"/>
        <w:rPr>
          <w:sz w:val="20"/>
          <w:szCs w:val="20"/>
          <w:color w:val="auto"/>
        </w:rPr>
      </w:pPr>
      <w:r>
        <w:rPr>
          <w:rFonts w:ascii="Arial" w:cs="Arial" w:eastAsia="Arial" w:hAnsi="Arial"/>
          <w:sz w:val="17"/>
          <w:szCs w:val="17"/>
          <w:color w:val="auto"/>
        </w:rPr>
        <w:t>For individual or corporate shareholders tax resident outside Germany not holding the shares through a permanent establishment (</w:t>
      </w:r>
      <w:r>
        <w:rPr>
          <w:rFonts w:ascii="Arial" w:cs="Arial" w:eastAsia="Arial" w:hAnsi="Arial"/>
          <w:sz w:val="17"/>
          <w:szCs w:val="17"/>
          <w:i w:val="1"/>
          <w:iCs w:val="1"/>
          <w:color w:val="auto"/>
        </w:rPr>
        <w:t>Betriebsstätte</w:t>
      </w:r>
      <w:r>
        <w:rPr>
          <w:rFonts w:ascii="Arial" w:cs="Arial" w:eastAsia="Arial" w:hAnsi="Arial"/>
          <w:sz w:val="17"/>
          <w:szCs w:val="17"/>
          <w:color w:val="auto"/>
        </w:rPr>
        <w:t>) in Germany or as business assets (</w:t>
      </w:r>
      <w:r>
        <w:rPr>
          <w:rFonts w:ascii="Arial" w:cs="Arial" w:eastAsia="Arial" w:hAnsi="Arial"/>
          <w:sz w:val="17"/>
          <w:szCs w:val="17"/>
          <w:i w:val="1"/>
          <w:iCs w:val="1"/>
          <w:color w:val="auto"/>
        </w:rPr>
        <w:t>Betriebsvermögen</w:t>
      </w:r>
      <w:r>
        <w:rPr>
          <w:rFonts w:ascii="Arial" w:cs="Arial" w:eastAsia="Arial" w:hAnsi="Arial"/>
          <w:sz w:val="17"/>
          <w:szCs w:val="17"/>
          <w:color w:val="auto"/>
        </w:rPr>
        <w:t>) for which a permanent representative (</w:t>
      </w:r>
      <w:r>
        <w:rPr>
          <w:rFonts w:ascii="Arial" w:cs="Arial" w:eastAsia="Arial" w:hAnsi="Arial"/>
          <w:sz w:val="17"/>
          <w:szCs w:val="17"/>
          <w:i w:val="1"/>
          <w:iCs w:val="1"/>
          <w:color w:val="auto"/>
        </w:rPr>
        <w:t>ständiger Vertreter</w:t>
      </w:r>
      <w:r>
        <w:rPr>
          <w:rFonts w:ascii="Arial" w:cs="Arial" w:eastAsia="Arial" w:hAnsi="Arial"/>
          <w:sz w:val="17"/>
          <w:szCs w:val="17"/>
          <w:color w:val="auto"/>
        </w:rPr>
        <w:t>) has been appointed in Germany, the remaining and paid withholding tax (if any) is final (i.e., not refundable) and settles the shareholder’s limited tax liability in Germany. For individual or corporate shareholders tax resident in Germany (that are, for example, shareholders whose residence, domicile, registered office or place of management is located in Germany) holding their shares as business assets, as well as for shareholders tax resident outside of Germany holding their shares through a permanent establishment in Germany or as business assets for which a permanent representative has been appointed in Germany, the withholding tax withheld (including solidarity surcharge) can be credited against the shareholder’s personal income tax or corporate income tax liability in Germany. Any withholding tax (including solidarity surcharge) in excess of such tax liability is refunded. For individual shareholders tax resident in Germany holding the company’s shares as private assets, the withholding tax is a final tax (</w:t>
      </w:r>
      <w:r>
        <w:rPr>
          <w:rFonts w:ascii="Arial" w:cs="Arial" w:eastAsia="Arial" w:hAnsi="Arial"/>
          <w:sz w:val="17"/>
          <w:szCs w:val="17"/>
          <w:i w:val="1"/>
          <w:iCs w:val="1"/>
          <w:color w:val="auto"/>
        </w:rPr>
        <w:t>Abgeltungsteuer</w:t>
      </w:r>
      <w:r>
        <w:rPr>
          <w:rFonts w:ascii="Arial" w:cs="Arial" w:eastAsia="Arial" w:hAnsi="Arial"/>
          <w:sz w:val="17"/>
          <w:szCs w:val="17"/>
          <w:color w:val="auto"/>
        </w:rPr>
        <w:t>), subject to the exceptions described in the following section.</w:t>
      </w:r>
    </w:p>
    <w:p>
      <w:pPr>
        <w:spacing w:after="0" w:line="113" w:lineRule="exact"/>
        <w:rPr>
          <w:sz w:val="20"/>
          <w:szCs w:val="20"/>
          <w:color w:val="auto"/>
        </w:rPr>
      </w:pPr>
    </w:p>
    <w:p>
      <w:pPr>
        <w:ind w:left="1260" w:right="419" w:firstLine="648"/>
        <w:spacing w:after="0" w:line="236" w:lineRule="auto"/>
        <w:rPr>
          <w:sz w:val="20"/>
          <w:szCs w:val="20"/>
          <w:color w:val="auto"/>
        </w:rPr>
      </w:pPr>
      <w:r>
        <w:rPr>
          <w:rFonts w:ascii="Arial" w:cs="Arial" w:eastAsia="Arial" w:hAnsi="Arial"/>
          <w:sz w:val="18"/>
          <w:szCs w:val="18"/>
          <w:color w:val="auto"/>
        </w:rPr>
        <w:t>Pursuant to special rules on the restriction of withholding tax credit, the credit of withholding tax is subject to the following three cumulative prerequisites: (i) the shareholder must qualify as beneficial owner of the shares in the company for a minimum holding period of 45 consecutive days occurring within a period of 45 days prior and 45 days after the due date of the dividends, (ii) the shareholder has to bear at least 70% of the change in value risk related to the shares in the company during the minimum holding period without being directly or indirectly hedged and (iii) the shareholder must not be required to fully or largely compensate directly or indirectly the dividends to third parties. Absent the fulfillment of all of the three prerequisites, three-fifths of the withholding tax imposed on the dividends must not be credited against the shareholder’s (corporate) income tax liability, but may, upon application, be deducted from the shareholder’s tax base for the relevant assessment period. A shareholder that has received gross dividends without any deduction of withholding tax due to a tax exemption without qualifying for a full tax credit has to notify the competent local tax office accordingly and has to make a payment in the amount of the omitted withholding tax deduction. The special rules on the restriction of withholding tax credit do not apply to a shareholder whose overall dividend earnings within an assessment period do not exceed € 20,000 or that has been the beneficial owner of the shares in the company for at least one uninterrupted year upon receipt of the dividends.</w:t>
      </w:r>
    </w:p>
    <w:p>
      <w:pPr>
        <w:spacing w:after="0" w:line="199" w:lineRule="exact"/>
        <w:rPr>
          <w:sz w:val="20"/>
          <w:szCs w:val="20"/>
          <w:color w:val="auto"/>
        </w:rPr>
      </w:pPr>
    </w:p>
    <w:p>
      <w:pPr>
        <w:ind w:left="1900" w:right="479"/>
        <w:spacing w:after="0" w:line="261" w:lineRule="auto"/>
        <w:rPr>
          <w:sz w:val="20"/>
          <w:szCs w:val="20"/>
          <w:color w:val="auto"/>
        </w:rPr>
      </w:pPr>
      <w:r>
        <w:rPr>
          <w:rFonts w:ascii="Arial" w:cs="Arial" w:eastAsia="Arial" w:hAnsi="Arial"/>
          <w:sz w:val="18"/>
          <w:szCs w:val="18"/>
          <w:i w:val="1"/>
          <w:iCs w:val="1"/>
          <w:color w:val="auto"/>
        </w:rPr>
        <w:t>Taxation of dividend income of shareholders tax resident in Germany holding the company’s shares as private assets</w:t>
      </w:r>
    </w:p>
    <w:p>
      <w:pPr>
        <w:spacing w:after="0" w:line="103" w:lineRule="exact"/>
        <w:rPr>
          <w:sz w:val="20"/>
          <w:szCs w:val="20"/>
          <w:color w:val="auto"/>
        </w:rPr>
      </w:pPr>
    </w:p>
    <w:p>
      <w:pPr>
        <w:ind w:left="1260" w:right="519" w:firstLine="648"/>
        <w:spacing w:after="0" w:line="237" w:lineRule="auto"/>
        <w:rPr>
          <w:sz w:val="20"/>
          <w:szCs w:val="20"/>
          <w:color w:val="auto"/>
        </w:rPr>
      </w:pPr>
      <w:r>
        <w:rPr>
          <w:rFonts w:ascii="Arial" w:cs="Arial" w:eastAsia="Arial" w:hAnsi="Arial"/>
          <w:sz w:val="18"/>
          <w:szCs w:val="18"/>
          <w:color w:val="auto"/>
        </w:rPr>
        <w:t>For individual shareholders (individuals) resident in Germany holding the company’s shares as private assets, dividends are subject to a flat tax rate which is satisfied by the withholding tax actually withheld (</w:t>
      </w:r>
      <w:r>
        <w:rPr>
          <w:rFonts w:ascii="Arial" w:cs="Arial" w:eastAsia="Arial" w:hAnsi="Arial"/>
          <w:sz w:val="18"/>
          <w:szCs w:val="18"/>
          <w:i w:val="1"/>
          <w:iCs w:val="1"/>
          <w:color w:val="auto"/>
        </w:rPr>
        <w:t>Abgeltungsteuer</w:t>
      </w:r>
      <w:r>
        <w:rPr>
          <w:rFonts w:ascii="Arial" w:cs="Arial" w:eastAsia="Arial" w:hAnsi="Arial"/>
          <w:sz w:val="18"/>
          <w:szCs w:val="18"/>
          <w:color w:val="auto"/>
        </w:rPr>
        <w:t>). Accordingly, dividend income will be taxed at a flat tax rate of 25% plus 5.5% solidarity surcharge thereon (in total 26.375%) and church tax (</w:t>
      </w:r>
      <w:r>
        <w:rPr>
          <w:rFonts w:ascii="Arial" w:cs="Arial" w:eastAsia="Arial" w:hAnsi="Arial"/>
          <w:sz w:val="18"/>
          <w:szCs w:val="18"/>
          <w:i w:val="1"/>
          <w:iCs w:val="1"/>
          <w:color w:val="auto"/>
        </w:rPr>
        <w:t>Kirchensteuer</w:t>
      </w:r>
      <w:r>
        <w:rPr>
          <w:rFonts w:ascii="Arial" w:cs="Arial" w:eastAsia="Arial" w:hAnsi="Arial"/>
          <w:sz w:val="18"/>
          <w:szCs w:val="18"/>
          <w:color w:val="auto"/>
        </w:rPr>
        <w:t>) in case the shareholder is subject to church tax because of his individual circumstances. An automatic procedure for deduction of church tax by way of withholding will apply to shareholders being subject to church tax unless the shareholder has filed a blocking notice (</w:t>
      </w:r>
      <w:r>
        <w:rPr>
          <w:rFonts w:ascii="Arial" w:cs="Arial" w:eastAsia="Arial" w:hAnsi="Arial"/>
          <w:sz w:val="18"/>
          <w:szCs w:val="18"/>
          <w:i w:val="1"/>
          <w:iCs w:val="1"/>
          <w:color w:val="auto"/>
        </w:rPr>
        <w:t>Sperrvermerk</w:t>
      </w:r>
      <w:r>
        <w:rPr>
          <w:rFonts w:ascii="Arial" w:cs="Arial" w:eastAsia="Arial" w:hAnsi="Arial"/>
          <w:sz w:val="18"/>
          <w:szCs w:val="18"/>
          <w:color w:val="auto"/>
        </w:rPr>
        <w:t>) with the German Federal Tax Office (details related to the computation of the concrete tax rate including church tax are to be discussed with the individual tax adviser of the relevant shareholder). Except for an annual lump sum savings allowance (</w:t>
      </w:r>
      <w:r>
        <w:rPr>
          <w:rFonts w:ascii="Arial" w:cs="Arial" w:eastAsia="Arial" w:hAnsi="Arial"/>
          <w:sz w:val="18"/>
          <w:szCs w:val="18"/>
          <w:i w:val="1"/>
          <w:iCs w:val="1"/>
          <w:color w:val="auto"/>
        </w:rPr>
        <w:t>Sparer</w:t>
      </w:r>
      <w:r>
        <w:rPr>
          <w:rFonts w:ascii="Arial" w:cs="Arial" w:eastAsia="Arial" w:hAnsi="Arial"/>
          <w:sz w:val="18"/>
          <w:szCs w:val="18"/>
          <w:color w:val="auto"/>
        </w:rPr>
        <w:t>-</w:t>
      </w:r>
      <w:r>
        <w:rPr>
          <w:rFonts w:ascii="Arial" w:cs="Arial" w:eastAsia="Arial" w:hAnsi="Arial"/>
          <w:sz w:val="18"/>
          <w:szCs w:val="18"/>
          <w:i w:val="1"/>
          <w:iCs w:val="1"/>
          <w:color w:val="auto"/>
        </w:rPr>
        <w:t>Pauschbetrag</w:t>
      </w:r>
      <w:r>
        <w:rPr>
          <w:rFonts w:ascii="Arial" w:cs="Arial" w:eastAsia="Arial" w:hAnsi="Arial"/>
          <w:sz w:val="18"/>
          <w:szCs w:val="18"/>
          <w:color w:val="auto"/>
        </w:rPr>
        <w:t>) of up to €801 (for individual filers) or up to €1,602 (for married couples and for partners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accordance with the registered partnership law ( </w:t>
      </w:r>
      <w:r>
        <w:rPr>
          <w:rFonts w:ascii="Arial" w:cs="Arial" w:eastAsia="Arial" w:hAnsi="Arial"/>
          <w:sz w:val="18"/>
          <w:szCs w:val="18"/>
          <w:i w:val="1"/>
          <w:iCs w:val="1"/>
          <w:color w:val="auto"/>
        </w:rPr>
        <w:t>Gesetz über die Eingetragene Lebenspartnerschaft</w:t>
      </w:r>
      <w:r>
        <w:rPr>
          <w:rFonts w:ascii="Arial" w:cs="Arial" w:eastAsia="Arial" w:hAnsi="Arial"/>
          <w:sz w:val="18"/>
          <w:szCs w:val="18"/>
          <w:color w:val="auto"/>
        </w:rPr>
        <w:t>) filing jointly), private individual shareholders will not be entitled to deduct expenses incurred in connection with the capital investment from their dividend income.</w:t>
      </w:r>
    </w:p>
    <w:p>
      <w:pPr>
        <w:spacing w:after="0" w:line="110" w:lineRule="exact"/>
        <w:rPr>
          <w:sz w:val="20"/>
          <w:szCs w:val="20"/>
          <w:color w:val="auto"/>
        </w:rPr>
      </w:pPr>
    </w:p>
    <w:p>
      <w:pPr>
        <w:ind w:left="1260" w:right="499" w:firstLine="648"/>
        <w:spacing w:after="0" w:line="238" w:lineRule="auto"/>
        <w:rPr>
          <w:sz w:val="20"/>
          <w:szCs w:val="20"/>
          <w:color w:val="auto"/>
        </w:rPr>
      </w:pPr>
      <w:r>
        <w:rPr>
          <w:rFonts w:ascii="Arial" w:cs="Arial" w:eastAsia="Arial" w:hAnsi="Arial"/>
          <w:sz w:val="18"/>
          <w:szCs w:val="18"/>
          <w:color w:val="auto"/>
        </w:rPr>
        <w:t>The income tax owed for the dividend income is satisfied by the withholding tax withheld by the Dividend Paying Agent. However, if the flat tax results in a higher tax burden as opposed to the private shareholder’s individual tax rate, the private shareholder can opt for taxation at his individual personal income tax rate. In that case, the final withholding tax will be credited against the income tax. However, pursuant to the German tax authorities and a court ruling, private shareholders are nevertheless not entitled to deduct expenses incurred in connection with the capital investment from their income. The option can be exercised only for all capital income from capital investments received in the relevant assessment period uniformly, and married couples as well as partners in accordance with the registered partnership law filing jointly may only jointly exercise the option.</w:t>
      </w:r>
    </w:p>
    <w:p>
      <w:pPr>
        <w:spacing w:after="0" w:line="38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96" w:name="page297"/>
    <w:bookmarkEnd w:id="29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Exceptions from the flat tax rate (satisfied by withholding at source) (</w:t>
      </w:r>
      <w:r>
        <w:rPr>
          <w:rFonts w:ascii="Arial" w:cs="Arial" w:eastAsia="Arial" w:hAnsi="Arial"/>
          <w:sz w:val="17"/>
          <w:szCs w:val="17"/>
          <w:i w:val="1"/>
          <w:iCs w:val="1"/>
          <w:color w:val="auto"/>
        </w:rPr>
        <w:t>Abgeltungsteuer</w:t>
      </w:r>
      <w:r>
        <w:rPr>
          <w:rFonts w:ascii="Arial" w:cs="Arial" w:eastAsia="Arial" w:hAnsi="Arial"/>
          <w:sz w:val="17"/>
          <w:szCs w:val="17"/>
          <w:color w:val="auto"/>
        </w:rPr>
        <w:t>) may apply</w:t>
      </w:r>
    </w:p>
    <w:p>
      <w:pPr>
        <w:spacing w:after="0" w:line="35" w:lineRule="exact"/>
        <w:rPr>
          <w:sz w:val="20"/>
          <w:szCs w:val="20"/>
          <w:color w:val="auto"/>
        </w:rPr>
      </w:pPr>
    </w:p>
    <w:p>
      <w:pPr>
        <w:ind w:left="1260" w:right="559"/>
        <w:spacing w:after="0" w:line="253" w:lineRule="auto"/>
        <w:rPr>
          <w:sz w:val="20"/>
          <w:szCs w:val="20"/>
          <w:color w:val="auto"/>
        </w:rPr>
      </w:pPr>
      <w:r>
        <w:rPr>
          <w:rFonts w:ascii="Arial" w:cs="Arial" w:eastAsia="Arial" w:hAnsi="Arial"/>
          <w:sz w:val="18"/>
          <w:szCs w:val="18"/>
          <w:color w:val="auto"/>
        </w:rPr>
        <w:t>— that is, only upon application — for shareholders who have a shareholding of at least 25% in a company and for shareholders who have a shareholding of at least 1% in the company and work for a company in a professional capacity. In such a case, the same rules apply as for sole proprietors holding the shares as business assets. See “— Taxation of dividend income of shareholders tax resident in Germany holding the company’s shares as business assets — Sole proprietors.”</w:t>
      </w:r>
    </w:p>
    <w:p>
      <w:pPr>
        <w:spacing w:after="0" w:line="191" w:lineRule="exact"/>
        <w:rPr>
          <w:sz w:val="20"/>
          <w:szCs w:val="20"/>
          <w:color w:val="auto"/>
        </w:rPr>
      </w:pPr>
    </w:p>
    <w:p>
      <w:pPr>
        <w:ind w:left="1900" w:right="479"/>
        <w:spacing w:after="0" w:line="277" w:lineRule="auto"/>
        <w:rPr>
          <w:sz w:val="20"/>
          <w:szCs w:val="20"/>
          <w:color w:val="auto"/>
        </w:rPr>
      </w:pPr>
      <w:r>
        <w:rPr>
          <w:rFonts w:ascii="Arial" w:cs="Arial" w:eastAsia="Arial" w:hAnsi="Arial"/>
          <w:sz w:val="18"/>
          <w:szCs w:val="18"/>
          <w:i w:val="1"/>
          <w:iCs w:val="1"/>
          <w:color w:val="auto"/>
        </w:rPr>
        <w:t>Taxation of dividend income of shareholders tax resident in Germany holding the company’s shares as business assets</w:t>
      </w:r>
    </w:p>
    <w:p>
      <w:pPr>
        <w:spacing w:after="0" w:line="103" w:lineRule="exact"/>
        <w:rPr>
          <w:sz w:val="20"/>
          <w:szCs w:val="20"/>
          <w:color w:val="auto"/>
        </w:rPr>
      </w:pPr>
    </w:p>
    <w:p>
      <w:pPr>
        <w:ind w:left="1260" w:right="519" w:firstLine="648"/>
        <w:spacing w:after="0" w:line="308" w:lineRule="auto"/>
        <w:rPr>
          <w:sz w:val="20"/>
          <w:szCs w:val="20"/>
          <w:color w:val="auto"/>
        </w:rPr>
      </w:pPr>
      <w:r>
        <w:rPr>
          <w:rFonts w:ascii="Arial" w:cs="Arial" w:eastAsia="Arial" w:hAnsi="Arial"/>
          <w:sz w:val="17"/>
          <w:szCs w:val="17"/>
          <w:color w:val="auto"/>
        </w:rPr>
        <w:t>If a shareholder holds the company’s shares as business assets, the taxation of the dividend income depends on whether the respective shareholder is a corporation, a sole proprietor or a partnership.</w:t>
      </w:r>
    </w:p>
    <w:p>
      <w:pPr>
        <w:spacing w:after="0" w:line="146"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Corporations</w:t>
      </w:r>
    </w:p>
    <w:p>
      <w:pPr>
        <w:spacing w:after="0" w:line="158" w:lineRule="exact"/>
        <w:rPr>
          <w:sz w:val="20"/>
          <w:szCs w:val="20"/>
          <w:color w:val="auto"/>
        </w:rPr>
      </w:pPr>
    </w:p>
    <w:p>
      <w:pPr>
        <w:ind w:left="1260" w:right="499" w:firstLine="648"/>
        <w:spacing w:after="0" w:line="269" w:lineRule="auto"/>
        <w:rPr>
          <w:sz w:val="20"/>
          <w:szCs w:val="20"/>
          <w:color w:val="auto"/>
        </w:rPr>
      </w:pPr>
      <w:r>
        <w:rPr>
          <w:rFonts w:ascii="Arial" w:cs="Arial" w:eastAsia="Arial" w:hAnsi="Arial"/>
          <w:sz w:val="17"/>
          <w:szCs w:val="17"/>
          <w:color w:val="auto"/>
        </w:rPr>
        <w:t>Dividend income of corporate shareholders is exempt from corporate income tax, provided that the incorporated entity holds a direct participation of at least 10% in the share capital of a company at the beginning of the calendar year in which the dividends are paid. The acquisition of a participation of at least 10% in the course of a calendar year is deemed to have occurred at the beginning of such calendar year for the purpose of this rule. Participations in the share capital of the company which a corporate shareholder holds through a partnership, including co-entrepreneurships (</w:t>
      </w:r>
      <w:r>
        <w:rPr>
          <w:rFonts w:ascii="Arial" w:cs="Arial" w:eastAsia="Arial" w:hAnsi="Arial"/>
          <w:sz w:val="17"/>
          <w:szCs w:val="17"/>
          <w:i w:val="1"/>
          <w:iCs w:val="1"/>
          <w:color w:val="auto"/>
        </w:rPr>
        <w:t>Mitunternehmerschaften</w:t>
      </w:r>
      <w:r>
        <w:rPr>
          <w:rFonts w:ascii="Arial" w:cs="Arial" w:eastAsia="Arial" w:hAnsi="Arial"/>
          <w:sz w:val="17"/>
          <w:szCs w:val="17"/>
          <w:color w:val="auto"/>
        </w:rPr>
        <w:t>), are attributable to such corporate shareholder only on a pro rata basis at the ratio of the interest share of the corporate shareholder in the assets of the relevant partnership. However, 5% of the tax-exempt dividends are deemed to be non-deductible business expenses for tax purposes and therefore are subject to corporate income tax (plus solidarity surcharge) and trade tax, i.e., tax exemption of 95%. Business expenses incurred in connection with the dividends received are entirely tax-deductible.</w:t>
      </w:r>
    </w:p>
    <w:p>
      <w:pPr>
        <w:spacing w:after="0" w:line="101" w:lineRule="exact"/>
        <w:rPr>
          <w:sz w:val="20"/>
          <w:szCs w:val="20"/>
          <w:color w:val="auto"/>
        </w:rPr>
      </w:pPr>
    </w:p>
    <w:p>
      <w:pPr>
        <w:ind w:left="1260" w:right="499" w:firstLine="648"/>
        <w:spacing w:after="0" w:line="257" w:lineRule="auto"/>
        <w:rPr>
          <w:sz w:val="20"/>
          <w:szCs w:val="20"/>
          <w:color w:val="auto"/>
        </w:rPr>
      </w:pPr>
      <w:r>
        <w:rPr>
          <w:rFonts w:ascii="Arial" w:cs="Arial" w:eastAsia="Arial" w:hAnsi="Arial"/>
          <w:sz w:val="18"/>
          <w:szCs w:val="18"/>
          <w:color w:val="auto"/>
        </w:rPr>
        <w:t>For trade tax purposes the entire dividend income is subject to trade tax (i.e., the tax-exempt dividends must be added back when determining the trade taxable income), unless the corporation shareholder holds at least 15% of the company’s registered share capital at the beginning of the relevant tax assessment period (</w:t>
      </w:r>
      <w:r>
        <w:rPr>
          <w:rFonts w:ascii="Arial" w:cs="Arial" w:eastAsia="Arial" w:hAnsi="Arial"/>
          <w:sz w:val="18"/>
          <w:szCs w:val="18"/>
          <w:i w:val="1"/>
          <w:iCs w:val="1"/>
          <w:color w:val="auto"/>
        </w:rPr>
        <w:t>Erhebungszeitraum</w:t>
      </w:r>
      <w:r>
        <w:rPr>
          <w:rFonts w:ascii="Arial" w:cs="Arial" w:eastAsia="Arial" w:hAnsi="Arial"/>
          <w:sz w:val="18"/>
          <w:szCs w:val="18"/>
          <w:color w:val="auto"/>
        </w:rPr>
        <w:t>). In case of an indirect participation via a partnership please refer to the section “Partnerships” below.</w:t>
      </w:r>
    </w:p>
    <w:p>
      <w:pPr>
        <w:spacing w:after="0" w:line="120" w:lineRule="exact"/>
        <w:rPr>
          <w:sz w:val="20"/>
          <w:szCs w:val="20"/>
          <w:color w:val="auto"/>
        </w:rPr>
      </w:pPr>
    </w:p>
    <w:p>
      <w:pPr>
        <w:ind w:left="1260" w:right="739" w:firstLine="648"/>
        <w:spacing w:after="0" w:line="263" w:lineRule="auto"/>
        <w:rPr>
          <w:sz w:val="20"/>
          <w:szCs w:val="20"/>
          <w:color w:val="auto"/>
        </w:rPr>
      </w:pPr>
      <w:r>
        <w:rPr>
          <w:rFonts w:ascii="Arial" w:cs="Arial" w:eastAsia="Arial" w:hAnsi="Arial"/>
          <w:sz w:val="18"/>
          <w:szCs w:val="18"/>
          <w:color w:val="auto"/>
        </w:rPr>
        <w:t>If the shareholding is below 10% in the share capital, dividends are taxable at the applicable corporate income tax rate of 15% plus 5.5% solidarity surcharge thereon and trade tax (the rate of which depends on the municipalities the corporate shareholder resides in).</w:t>
      </w:r>
    </w:p>
    <w:p>
      <w:pPr>
        <w:spacing w:after="0" w:line="11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Special regulations apply which abolish the 95% tax exemption if the company’s shares are held as</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trading portfolio assets in the meaning of Section 340e of the German commercial code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Handelsgesetzbuch</w:t>
      </w:r>
      <w:r>
        <w:rPr>
          <w:rFonts w:ascii="Arial" w:cs="Arial" w:eastAsia="Arial" w:hAnsi="Arial"/>
          <w:sz w:val="18"/>
          <w:szCs w:val="18"/>
          <w:color w:val="auto"/>
        </w:rPr>
        <w:t>) by (i) a credit institution (</w:t>
      </w:r>
      <w:r>
        <w:rPr>
          <w:rFonts w:ascii="Arial" w:cs="Arial" w:eastAsia="Arial" w:hAnsi="Arial"/>
          <w:sz w:val="18"/>
          <w:szCs w:val="18"/>
          <w:i w:val="1"/>
          <w:iCs w:val="1"/>
          <w:color w:val="auto"/>
        </w:rPr>
        <w:t>Kreditinstitut</w:t>
      </w:r>
      <w:r>
        <w:rPr>
          <w:rFonts w:ascii="Arial" w:cs="Arial" w:eastAsia="Arial" w:hAnsi="Arial"/>
          <w:sz w:val="18"/>
          <w:szCs w:val="18"/>
          <w:color w:val="auto"/>
        </w:rPr>
        <w:t>), (ii) a financial service institution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Finanzdienstleistungsinstitut</w:t>
      </w:r>
      <w:r>
        <w:rPr>
          <w:rFonts w:ascii="Arial" w:cs="Arial" w:eastAsia="Arial" w:hAnsi="Arial"/>
          <w:sz w:val="17"/>
          <w:szCs w:val="17"/>
          <w:color w:val="auto"/>
        </w:rPr>
        <w:t>) or (iii) a financial enterprise within the meaning of the German Banking Act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Kreditwesengesetz</w:t>
      </w:r>
      <w:r>
        <w:rPr>
          <w:rFonts w:ascii="Arial" w:cs="Arial" w:eastAsia="Arial" w:hAnsi="Arial"/>
          <w:sz w:val="17"/>
          <w:szCs w:val="17"/>
          <w:color w:val="auto"/>
        </w:rPr>
        <w:t>), in cases where more than 50% of the shares of such financial enterprise are held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directly or indirectly by a credit institution or a financial service institution, as well as by a life insurance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company, a health insurance company or a pension fund in case the shares are attributable to the capital</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investments, resulting in fully taxable income.</w:t>
      </w:r>
    </w:p>
    <w:p>
      <w:pPr>
        <w:spacing w:after="0" w:line="211"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Sole Proprietors</w:t>
      </w:r>
    </w:p>
    <w:p>
      <w:pPr>
        <w:spacing w:after="0" w:line="144" w:lineRule="exact"/>
        <w:rPr>
          <w:sz w:val="20"/>
          <w:szCs w:val="20"/>
          <w:color w:val="auto"/>
        </w:rPr>
      </w:pPr>
    </w:p>
    <w:p>
      <w:pPr>
        <w:ind w:left="1260" w:right="479" w:firstLine="648"/>
        <w:spacing w:after="0" w:line="269" w:lineRule="auto"/>
        <w:rPr>
          <w:sz w:val="20"/>
          <w:szCs w:val="20"/>
          <w:color w:val="auto"/>
        </w:rPr>
      </w:pPr>
      <w:r>
        <w:rPr>
          <w:rFonts w:ascii="Arial" w:cs="Arial" w:eastAsia="Arial" w:hAnsi="Arial"/>
          <w:sz w:val="17"/>
          <w:szCs w:val="17"/>
          <w:color w:val="auto"/>
        </w:rPr>
        <w:t>For sole proprietors (individuals) resident in Germany holding shares as business assets dividends are subject to the partial income rule (</w:t>
      </w:r>
      <w:r>
        <w:rPr>
          <w:rFonts w:ascii="Arial" w:cs="Arial" w:eastAsia="Arial" w:hAnsi="Arial"/>
          <w:sz w:val="17"/>
          <w:szCs w:val="17"/>
          <w:i w:val="1"/>
          <w:iCs w:val="1"/>
          <w:color w:val="auto"/>
        </w:rPr>
        <w:t>Teileinkünfteverfahren</w:t>
      </w:r>
      <w:r>
        <w:rPr>
          <w:rFonts w:ascii="Arial" w:cs="Arial" w:eastAsia="Arial" w:hAnsi="Arial"/>
          <w:sz w:val="17"/>
          <w:szCs w:val="17"/>
          <w:color w:val="auto"/>
        </w:rPr>
        <w:t>). Accordingly, only (i) 60% of the dividend income will be taxed at his/her individual personal income tax rate plus 5.5% solidarity surcharge thereon and church tax (if applicable) and (ii) 60% of the business expenses related to the dividend income are deductible for tax purposes. In addition, the dividend income is entirely subject to trade tax if the shares are held as business assets of a permanent establishment in Germany within the meaning of the German Trade Tax Act (</w:t>
      </w:r>
      <w:r>
        <w:rPr>
          <w:rFonts w:ascii="Arial" w:cs="Arial" w:eastAsia="Arial" w:hAnsi="Arial"/>
          <w:sz w:val="17"/>
          <w:szCs w:val="17"/>
          <w:i w:val="1"/>
          <w:iCs w:val="1"/>
          <w:color w:val="auto"/>
        </w:rPr>
        <w:t>Gewerbesteuergesetz</w:t>
      </w:r>
      <w:r>
        <w:rPr>
          <w:rFonts w:ascii="Arial" w:cs="Arial" w:eastAsia="Arial" w:hAnsi="Arial"/>
          <w:sz w:val="17"/>
          <w:szCs w:val="17"/>
          <w:color w:val="auto"/>
        </w:rPr>
        <w:t>), unless the shareholder holds at least 15% of the company’s registered share capital at the beginning of the relevant assessment period. The trade tax levied will be eligible for credit against the shareholder’s personal income tax liability based on the applicable municipal trade tax rate and the individual tax situation of the shareholder.</w:t>
      </w:r>
    </w:p>
    <w:p>
      <w:pPr>
        <w:sectPr>
          <w:pgSz w:w="11900" w:h="16838" w:orient="portrait"/>
          <w:cols w:equalWidth="0" w:num="1">
            <w:col w:w="9879"/>
          </w:cols>
          <w:pgMar w:left="580" w:top="132" w:right="1440" w:bottom="1440" w:gutter="0" w:footer="0" w:header="0"/>
        </w:sectPr>
      </w:pPr>
    </w:p>
    <w:p>
      <w:pPr>
        <w:spacing w:after="0" w:line="37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97" w:name="page298"/>
    <w:bookmarkEnd w:id="29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Partnerships</w:t>
      </w:r>
    </w:p>
    <w:p>
      <w:pPr>
        <w:spacing w:after="0" w:line="158" w:lineRule="exact"/>
        <w:rPr>
          <w:sz w:val="20"/>
          <w:szCs w:val="20"/>
          <w:color w:val="auto"/>
        </w:rPr>
      </w:pPr>
    </w:p>
    <w:p>
      <w:pPr>
        <w:ind w:left="1260" w:right="459" w:firstLine="648"/>
        <w:spacing w:after="0" w:line="243" w:lineRule="auto"/>
        <w:rPr>
          <w:sz w:val="20"/>
          <w:szCs w:val="20"/>
          <w:color w:val="auto"/>
        </w:rPr>
      </w:pPr>
      <w:r>
        <w:rPr>
          <w:rFonts w:ascii="Arial" w:cs="Arial" w:eastAsia="Arial" w:hAnsi="Arial"/>
          <w:sz w:val="18"/>
          <w:szCs w:val="18"/>
          <w:color w:val="auto"/>
        </w:rPr>
        <w:t>In case shares are held by a partnership, the partnership itself is not subject to corporate income tax or personal income tax. In this regard, corporate income tax or personal income tax (and church tax, if applicable) as well as solidarity surcharge, are levied only at the level of the partner with respect to their relevant part of the profit and depending on their individual circumstances.</w:t>
      </w:r>
    </w:p>
    <w:p>
      <w:pPr>
        <w:spacing w:after="0" w:line="120" w:lineRule="exact"/>
        <w:rPr>
          <w:sz w:val="20"/>
          <w:szCs w:val="20"/>
          <w:color w:val="auto"/>
        </w:rPr>
      </w:pPr>
    </w:p>
    <w:p>
      <w:pPr>
        <w:ind w:left="1260" w:right="779" w:firstLine="648"/>
        <w:spacing w:after="0" w:line="261" w:lineRule="auto"/>
        <w:rPr>
          <w:sz w:val="20"/>
          <w:szCs w:val="20"/>
          <w:color w:val="auto"/>
        </w:rPr>
      </w:pPr>
      <w:r>
        <w:rPr>
          <w:rFonts w:ascii="Arial" w:cs="Arial" w:eastAsia="Arial" w:hAnsi="Arial"/>
          <w:sz w:val="18"/>
          <w:szCs w:val="18"/>
          <w:color w:val="auto"/>
        </w:rPr>
        <w:t>If the partner is a corporation, the dividend income will be subject to corporate income tax plus solidarity surcharge. See “— Corporations.”</w:t>
      </w:r>
    </w:p>
    <w:p>
      <w:pPr>
        <w:spacing w:after="0" w:line="90" w:lineRule="exact"/>
        <w:rPr>
          <w:sz w:val="20"/>
          <w:szCs w:val="20"/>
          <w:color w:val="auto"/>
        </w:rPr>
      </w:pPr>
    </w:p>
    <w:p>
      <w:pPr>
        <w:ind w:left="1260" w:right="779" w:firstLine="648"/>
        <w:spacing w:after="0" w:line="261" w:lineRule="auto"/>
        <w:rPr>
          <w:sz w:val="20"/>
          <w:szCs w:val="20"/>
          <w:color w:val="auto"/>
        </w:rPr>
      </w:pPr>
      <w:r>
        <w:rPr>
          <w:rFonts w:ascii="Arial" w:cs="Arial" w:eastAsia="Arial" w:hAnsi="Arial"/>
          <w:sz w:val="18"/>
          <w:szCs w:val="18"/>
          <w:color w:val="auto"/>
        </w:rPr>
        <w:t>If the partner is a sole proprietor (individual), the dividend income will be subject to the partial income rule. See “— Sole Proprietors.”</w:t>
      </w:r>
    </w:p>
    <w:p>
      <w:pPr>
        <w:spacing w:after="0" w:line="103" w:lineRule="exact"/>
        <w:rPr>
          <w:sz w:val="20"/>
          <w:szCs w:val="20"/>
          <w:color w:val="auto"/>
        </w:rPr>
      </w:pPr>
    </w:p>
    <w:p>
      <w:pPr>
        <w:ind w:left="1260" w:right="419" w:firstLine="648"/>
        <w:spacing w:after="0" w:line="238" w:lineRule="auto"/>
        <w:rPr>
          <w:sz w:val="20"/>
          <w:szCs w:val="20"/>
          <w:color w:val="auto"/>
        </w:rPr>
      </w:pPr>
      <w:r>
        <w:rPr>
          <w:rFonts w:ascii="Arial" w:cs="Arial" w:eastAsia="Arial" w:hAnsi="Arial"/>
          <w:sz w:val="18"/>
          <w:szCs w:val="18"/>
          <w:color w:val="auto"/>
        </w:rPr>
        <w:t>The dividend income is subject to trade tax at the level of the partnership (provided that the partnership is liable to trade tax), unless the partnership holds at least 15% of a company’s registered share capital at the beginning of the relevant assessment period, in which case the dividend income is exempt from trade tax. There are no explicit statutory provisions concerning the taxation of dividends with regard to a corporate shareholder of the partnership. However, trade tax will be levied on 5% of the dividends to the extent they are attributable to the shares of such corporate partners to whom at least 10% of the shares of the company are attributable on a look-through basis, since such portion of the dividends will be deemed to be non-deductible business expenses.</w:t>
      </w:r>
    </w:p>
    <w:p>
      <w:pPr>
        <w:spacing w:after="0" w:line="126" w:lineRule="exact"/>
        <w:rPr>
          <w:sz w:val="20"/>
          <w:szCs w:val="20"/>
          <w:color w:val="auto"/>
        </w:rPr>
      </w:pPr>
    </w:p>
    <w:p>
      <w:pPr>
        <w:ind w:left="1260" w:right="439" w:firstLine="648"/>
        <w:spacing w:after="0" w:line="248" w:lineRule="auto"/>
        <w:rPr>
          <w:sz w:val="20"/>
          <w:szCs w:val="20"/>
          <w:color w:val="auto"/>
        </w:rPr>
      </w:pPr>
      <w:r>
        <w:rPr>
          <w:rFonts w:ascii="Arial" w:cs="Arial" w:eastAsia="Arial" w:hAnsi="Arial"/>
          <w:sz w:val="18"/>
          <w:szCs w:val="18"/>
          <w:color w:val="auto"/>
        </w:rPr>
        <w:t>If a partner is an individual, depending on the applicable municipal trade tax rate and the individual tax situation, the trade tax paid at the level of the partnership is partly or entirely be credited against the partner’s personal income tax liability.</w:t>
      </w:r>
    </w:p>
    <w:p>
      <w:pPr>
        <w:spacing w:after="0" w:line="101" w:lineRule="exact"/>
        <w:rPr>
          <w:sz w:val="20"/>
          <w:szCs w:val="20"/>
          <w:color w:val="auto"/>
        </w:rPr>
      </w:pPr>
    </w:p>
    <w:p>
      <w:pPr>
        <w:ind w:left="1260" w:right="819" w:firstLine="648"/>
        <w:spacing w:after="0" w:line="243" w:lineRule="auto"/>
        <w:rPr>
          <w:sz w:val="20"/>
          <w:szCs w:val="20"/>
          <w:color w:val="auto"/>
        </w:rPr>
      </w:pPr>
      <w:r>
        <w:rPr>
          <w:rFonts w:ascii="Arial" w:cs="Arial" w:eastAsia="Arial" w:hAnsi="Arial"/>
          <w:sz w:val="18"/>
          <w:szCs w:val="18"/>
          <w:color w:val="auto"/>
        </w:rPr>
        <w:t>In case of a corporation being a partner, special regulations will apply with respect to trading portfolio assets of credit institutions, financial service institutions or financial enterprises within the meaning of the German Banking Act (</w:t>
      </w:r>
      <w:r>
        <w:rPr>
          <w:rFonts w:ascii="Arial" w:cs="Arial" w:eastAsia="Arial" w:hAnsi="Arial"/>
          <w:sz w:val="18"/>
          <w:szCs w:val="18"/>
          <w:i w:val="1"/>
          <w:iCs w:val="1"/>
          <w:color w:val="auto"/>
        </w:rPr>
        <w:t>Kreditwesengesetz</w:t>
      </w:r>
      <w:r>
        <w:rPr>
          <w:rFonts w:ascii="Arial" w:cs="Arial" w:eastAsia="Arial" w:hAnsi="Arial"/>
          <w:sz w:val="18"/>
          <w:szCs w:val="18"/>
          <w:color w:val="auto"/>
        </w:rPr>
        <w:t>) or life insurance companies, health insurance companies or pension funds. See “— Corporations.”</w:t>
      </w:r>
    </w:p>
    <w:p>
      <w:pPr>
        <w:spacing w:after="0" w:line="120" w:lineRule="exact"/>
        <w:rPr>
          <w:sz w:val="20"/>
          <w:szCs w:val="20"/>
          <w:color w:val="auto"/>
        </w:rPr>
      </w:pPr>
    </w:p>
    <w:p>
      <w:pPr>
        <w:ind w:left="1260" w:right="479" w:firstLine="648"/>
        <w:spacing w:after="0" w:line="261" w:lineRule="auto"/>
        <w:rPr>
          <w:sz w:val="20"/>
          <w:szCs w:val="20"/>
          <w:color w:val="auto"/>
        </w:rPr>
      </w:pPr>
      <w:r>
        <w:rPr>
          <w:rFonts w:ascii="Arial" w:cs="Arial" w:eastAsia="Arial" w:hAnsi="Arial"/>
          <w:sz w:val="18"/>
          <w:szCs w:val="18"/>
          <w:color w:val="auto"/>
        </w:rPr>
        <w:t>Thus, the actual trade tax charge, if any, at the level of the partnership depends on the shareholding quota of the partnership and the nature of the partners (e.g., individual or corporation).</w:t>
      </w:r>
    </w:p>
    <w:p>
      <w:pPr>
        <w:spacing w:after="0" w:line="171"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Taxation of dividend income of shareholders tax resident outside of Germany</w:t>
      </w:r>
    </w:p>
    <w:p>
      <w:pPr>
        <w:spacing w:after="0" w:line="158" w:lineRule="exact"/>
        <w:rPr>
          <w:sz w:val="20"/>
          <w:szCs w:val="20"/>
          <w:color w:val="auto"/>
        </w:rPr>
      </w:pPr>
    </w:p>
    <w:p>
      <w:pPr>
        <w:ind w:left="1260" w:right="439" w:firstLine="648"/>
        <w:spacing w:after="0" w:line="273" w:lineRule="auto"/>
        <w:rPr>
          <w:sz w:val="20"/>
          <w:szCs w:val="20"/>
          <w:color w:val="auto"/>
        </w:rPr>
      </w:pPr>
      <w:r>
        <w:rPr>
          <w:rFonts w:ascii="Arial" w:cs="Arial" w:eastAsia="Arial" w:hAnsi="Arial"/>
          <w:sz w:val="17"/>
          <w:szCs w:val="17"/>
          <w:color w:val="auto"/>
        </w:rPr>
        <w:t>For foreign individual or corporate shareholders tax resident outside of Germany not holding the shares through a permanent establishment in Germany or as business assets for which a permanent representative has been appointed in Germany, the deducted withholding tax (possibly reduced by way of a tax relief under a double tax treaty or domestic tax law, such as in connection with the EU Parent Subsidiary Directive) is final (that is, not refundable) and settles the shareholder’s limited tax liability in Germany, unless the shareholder is entitled to apply for a withholding tax refund or exemption.</w:t>
      </w:r>
    </w:p>
    <w:p>
      <w:pPr>
        <w:spacing w:after="0" w:line="97" w:lineRule="exact"/>
        <w:rPr>
          <w:sz w:val="20"/>
          <w:szCs w:val="20"/>
          <w:color w:val="auto"/>
        </w:rPr>
      </w:pPr>
    </w:p>
    <w:p>
      <w:pPr>
        <w:ind w:left="1260" w:right="699" w:firstLine="648"/>
        <w:spacing w:after="0" w:line="255" w:lineRule="auto"/>
        <w:rPr>
          <w:sz w:val="20"/>
          <w:szCs w:val="20"/>
          <w:color w:val="auto"/>
        </w:rPr>
      </w:pPr>
      <w:r>
        <w:rPr>
          <w:rFonts w:ascii="Arial" w:cs="Arial" w:eastAsia="Arial" w:hAnsi="Arial"/>
          <w:sz w:val="18"/>
          <w:szCs w:val="18"/>
          <w:color w:val="auto"/>
        </w:rPr>
        <w:t>In contrast, individual or corporate shareholders tax resident outside of Germany holding the company’s shares through a permanent establishment in Germany or as business assets for which a permanent representative has been appointed in Germany are subject to the same rules as applicable (and described above) to shareholders resident in Germany holding the shares as business assets. The withholding tax withheld (including solidarity surcharge) is credited against the shareholder’s personal income tax or corporate income tax liability in Germany.</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Taxation of Capital Gains</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Withholding tax on capital gains</w:t>
      </w:r>
    </w:p>
    <w:p>
      <w:pPr>
        <w:spacing w:after="0" w:line="158" w:lineRule="exact"/>
        <w:rPr>
          <w:sz w:val="20"/>
          <w:szCs w:val="20"/>
          <w:color w:val="auto"/>
        </w:rPr>
      </w:pPr>
    </w:p>
    <w:p>
      <w:pPr>
        <w:ind w:left="1260" w:right="439" w:firstLine="648"/>
        <w:spacing w:after="0" w:line="255" w:lineRule="auto"/>
        <w:rPr>
          <w:sz w:val="20"/>
          <w:szCs w:val="20"/>
          <w:color w:val="auto"/>
        </w:rPr>
      </w:pPr>
      <w:r>
        <w:rPr>
          <w:rFonts w:ascii="Arial" w:cs="Arial" w:eastAsia="Arial" w:hAnsi="Arial"/>
          <w:sz w:val="18"/>
          <w:szCs w:val="18"/>
          <w:color w:val="auto"/>
        </w:rPr>
        <w:t>Capital gains realized on the disposal of shares are only subject to withholding tax if a German branch of a German or foreign credit or financial institution, a German securities trading company or a German securities trading bank stores or administrates or carries out the sale of the shares and pays or credits the capital gains. In those cases, the institution (and not the company) is required to deduct the withholding tax at the time of payment for the account of the shareholder and has to pay the withholding tax to the</w:t>
      </w:r>
    </w:p>
    <w:p>
      <w:pPr>
        <w:sectPr>
          <w:pgSz w:w="11900" w:h="16838" w:orient="portrait"/>
          <w:cols w:equalWidth="0" w:num="1">
            <w:col w:w="9879"/>
          </w:cols>
          <w:pgMar w:left="580" w:top="132" w:right="1440" w:bottom="1440" w:gutter="0" w:footer="0" w:header="0"/>
        </w:sectPr>
      </w:pPr>
    </w:p>
    <w:p>
      <w:pPr>
        <w:spacing w:after="0" w:line="368"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98" w:name="page299"/>
    <w:bookmarkEnd w:id="29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99"/>
        <w:spacing w:after="0" w:line="254" w:lineRule="auto"/>
        <w:rPr>
          <w:sz w:val="20"/>
          <w:szCs w:val="20"/>
          <w:color w:val="auto"/>
        </w:rPr>
      </w:pPr>
      <w:r>
        <w:rPr>
          <w:rFonts w:ascii="Arial" w:cs="Arial" w:eastAsia="Arial" w:hAnsi="Arial"/>
          <w:sz w:val="18"/>
          <w:szCs w:val="18"/>
          <w:color w:val="auto"/>
        </w:rPr>
        <w:t>competent tax authority. In the case that the shares in CureVac N.V. are held (i) as business assets by a sole proprietor, a partnership or a corporation and such shares are attributable to a German business or (ii) in the case of a corporation being subject to unlimited corporate income tax liability in Germany, the capital gains are not subject to withholding tax. In the case of clause (i), the withholding tax exemption is subject to the condition that the paying agent has been notified by the beneficiary (</w:t>
      </w:r>
      <w:r>
        <w:rPr>
          <w:rFonts w:ascii="Arial" w:cs="Arial" w:eastAsia="Arial" w:hAnsi="Arial"/>
          <w:sz w:val="18"/>
          <w:szCs w:val="18"/>
          <w:i w:val="1"/>
          <w:iCs w:val="1"/>
          <w:color w:val="auto"/>
        </w:rPr>
        <w:t>Gläubiger</w:t>
      </w:r>
      <w:r>
        <w:rPr>
          <w:rFonts w:ascii="Arial" w:cs="Arial" w:eastAsia="Arial" w:hAnsi="Arial"/>
          <w:sz w:val="18"/>
          <w:szCs w:val="18"/>
          <w:color w:val="auto"/>
        </w:rPr>
        <w:t>) that the capital gains are exempt from withholding tax. The respective notification has to be filed by using the officially prescribed form.</w:t>
      </w:r>
    </w:p>
    <w:p>
      <w:pPr>
        <w:spacing w:after="0" w:line="195" w:lineRule="exact"/>
        <w:rPr>
          <w:sz w:val="20"/>
          <w:szCs w:val="20"/>
          <w:color w:val="auto"/>
        </w:rPr>
      </w:pPr>
    </w:p>
    <w:p>
      <w:pPr>
        <w:ind w:left="1900" w:right="659"/>
        <w:spacing w:after="0" w:line="277" w:lineRule="auto"/>
        <w:rPr>
          <w:sz w:val="20"/>
          <w:szCs w:val="20"/>
          <w:color w:val="auto"/>
        </w:rPr>
      </w:pPr>
      <w:r>
        <w:rPr>
          <w:rFonts w:ascii="Arial" w:cs="Arial" w:eastAsia="Arial" w:hAnsi="Arial"/>
          <w:sz w:val="18"/>
          <w:szCs w:val="18"/>
          <w:i w:val="1"/>
          <w:iCs w:val="1"/>
          <w:color w:val="auto"/>
        </w:rPr>
        <w:t>Taxation of Capital Gains Realized by Shareholders Tax Resident in Germany Holding Shares as Private Assets</w:t>
      </w:r>
    </w:p>
    <w:p>
      <w:pPr>
        <w:spacing w:after="0" w:line="103" w:lineRule="exact"/>
        <w:rPr>
          <w:sz w:val="20"/>
          <w:szCs w:val="20"/>
          <w:color w:val="auto"/>
        </w:rPr>
      </w:pPr>
    </w:p>
    <w:p>
      <w:pPr>
        <w:ind w:left="1260" w:right="479" w:firstLine="648"/>
        <w:spacing w:after="0" w:line="268" w:lineRule="auto"/>
        <w:rPr>
          <w:sz w:val="20"/>
          <w:szCs w:val="20"/>
          <w:color w:val="auto"/>
        </w:rPr>
      </w:pPr>
      <w:r>
        <w:rPr>
          <w:rFonts w:ascii="Arial" w:cs="Arial" w:eastAsia="Arial" w:hAnsi="Arial"/>
          <w:sz w:val="17"/>
          <w:szCs w:val="17"/>
          <w:color w:val="auto"/>
        </w:rPr>
        <w:t>For individual shareholders (individuals) resident in Germany holding shares as private assets, capital gains realized on the disposal of shares are subject to final withholding tax. Accordingly, capital gains will be taxed at a flat tax rate of 25% plus a 5.5% solidarity surcharge thereon (in total 26.375%) and church tax, in case the shareholder is subject to church tax because of his individual circumstances. An automatic procedure for deduction of church tax by way of withholding will apply to shareholders being subject to church tax unless the shareholder has filed a blocking notice (</w:t>
      </w:r>
      <w:r>
        <w:rPr>
          <w:rFonts w:ascii="Arial" w:cs="Arial" w:eastAsia="Arial" w:hAnsi="Arial"/>
          <w:sz w:val="17"/>
          <w:szCs w:val="17"/>
          <w:i w:val="1"/>
          <w:iCs w:val="1"/>
          <w:color w:val="auto"/>
        </w:rPr>
        <w:t>Sperrvermerk</w:t>
      </w:r>
      <w:r>
        <w:rPr>
          <w:rFonts w:ascii="Arial" w:cs="Arial" w:eastAsia="Arial" w:hAnsi="Arial"/>
          <w:sz w:val="17"/>
          <w:szCs w:val="17"/>
          <w:color w:val="auto"/>
        </w:rPr>
        <w:t>) with the German Federal Tax Office (details related to the computation of the concrete tax rate including church tax are to be discussed with the individual tax adviser of the relevant shareholder). The taxable capital gain is calculated by deducting the acquisition costs of the shares and the expenses directly related to the disposal from the proceeds of the disposal. Apart from that, except for an annual lump sum savings allowance (</w:t>
      </w:r>
      <w:r>
        <w:rPr>
          <w:rFonts w:ascii="Arial" w:cs="Arial" w:eastAsia="Arial" w:hAnsi="Arial"/>
          <w:sz w:val="17"/>
          <w:szCs w:val="17"/>
          <w:i w:val="1"/>
          <w:iCs w:val="1"/>
          <w:color w:val="auto"/>
        </w:rPr>
        <w:t>Sparer-Pauschbetrag</w:t>
      </w:r>
      <w:r>
        <w:rPr>
          <w:rFonts w:ascii="Arial" w:cs="Arial" w:eastAsia="Arial" w:hAnsi="Arial"/>
          <w:sz w:val="17"/>
          <w:szCs w:val="17"/>
          <w:color w:val="auto"/>
        </w:rPr>
        <w:t>) of up to €801 (for individual filers) or up to €1,602 (for married couples and for partners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the registered partnership law (</w:t>
      </w:r>
      <w:r>
        <w:rPr>
          <w:rFonts w:ascii="Arial" w:cs="Arial" w:eastAsia="Arial" w:hAnsi="Arial"/>
          <w:sz w:val="17"/>
          <w:szCs w:val="17"/>
          <w:i w:val="1"/>
          <w:iCs w:val="1"/>
          <w:color w:val="auto"/>
        </w:rPr>
        <w:t>Gesetz über die Eingetragene Lebenspartnerschaft</w:t>
      </w:r>
      <w:r>
        <w:rPr>
          <w:rFonts w:ascii="Arial" w:cs="Arial" w:eastAsia="Arial" w:hAnsi="Arial"/>
          <w:sz w:val="17"/>
          <w:szCs w:val="17"/>
          <w:color w:val="auto"/>
        </w:rPr>
        <w:t>) filing jointly), private individual shareholders will not be entitled to deduct expenses incurred in connection with the capital investment from their capital gain.</w:t>
      </w:r>
    </w:p>
    <w:p>
      <w:pPr>
        <w:spacing w:after="0" w:line="117" w:lineRule="exact"/>
        <w:rPr>
          <w:sz w:val="20"/>
          <w:szCs w:val="20"/>
          <w:color w:val="auto"/>
        </w:rPr>
      </w:pPr>
    </w:p>
    <w:p>
      <w:pPr>
        <w:jc w:val="both"/>
        <w:ind w:left="1260" w:right="459" w:firstLine="648"/>
        <w:spacing w:after="0" w:line="271" w:lineRule="auto"/>
        <w:rPr>
          <w:sz w:val="20"/>
          <w:szCs w:val="20"/>
          <w:color w:val="auto"/>
        </w:rPr>
      </w:pPr>
      <w:r>
        <w:rPr>
          <w:rFonts w:ascii="Arial" w:cs="Arial" w:eastAsia="Arial" w:hAnsi="Arial"/>
          <w:sz w:val="17"/>
          <w:szCs w:val="17"/>
          <w:color w:val="auto"/>
        </w:rPr>
        <w:t>In case the flat tax results in a higher tax burden as opposed to the private shareholder’s individual tax rate, the private shareholder can opt for taxation at his or her individual personal income tax rate. In that case, the withholding tax (including solidarity surcharge) withheld will be credited against the income tax.</w:t>
      </w:r>
    </w:p>
    <w:p>
      <w:pPr>
        <w:jc w:val="both"/>
        <w:ind w:left="1260" w:right="699"/>
        <w:spacing w:after="0" w:line="253" w:lineRule="auto"/>
        <w:rPr>
          <w:sz w:val="20"/>
          <w:szCs w:val="20"/>
          <w:color w:val="auto"/>
        </w:rPr>
      </w:pPr>
      <w:r>
        <w:rPr>
          <w:rFonts w:ascii="Arial" w:cs="Arial" w:eastAsia="Arial" w:hAnsi="Arial"/>
          <w:sz w:val="18"/>
          <w:szCs w:val="18"/>
          <w:color w:val="auto"/>
        </w:rPr>
        <w:t>However, pursuant to the German tax authorities the private shareholders are nevertheless not entitled to deduct expenses incurred in connection with the capital investment from their income. The option can be exercised only for all capital income from capital investments received in the relevant assessment period uniformly, and married couples as well as for partners in accordance with the registered partnership law filing jointly may only jointly exercise the option.</w:t>
      </w:r>
    </w:p>
    <w:p>
      <w:pPr>
        <w:spacing w:after="0" w:line="110" w:lineRule="exact"/>
        <w:rPr>
          <w:sz w:val="20"/>
          <w:szCs w:val="20"/>
          <w:color w:val="auto"/>
        </w:rPr>
      </w:pPr>
    </w:p>
    <w:p>
      <w:pPr>
        <w:ind w:left="1260" w:right="539" w:firstLine="648"/>
        <w:spacing w:after="0" w:line="272" w:lineRule="auto"/>
        <w:rPr>
          <w:sz w:val="20"/>
          <w:szCs w:val="20"/>
          <w:color w:val="auto"/>
        </w:rPr>
      </w:pPr>
      <w:r>
        <w:rPr>
          <w:rFonts w:ascii="Arial" w:cs="Arial" w:eastAsia="Arial" w:hAnsi="Arial"/>
          <w:sz w:val="17"/>
          <w:szCs w:val="17"/>
          <w:color w:val="auto"/>
        </w:rPr>
        <w:t>Capital losses arising from the sale of the shares can only be offset against other capital gains resulting from the disposition of the shares or shares in other stock corporations during the same calendar year. Offsetting of overall losses with other income (such as business or rental income) and other capital income is not possible. Such losses are to be carried forward and to be offset against positive capital gains deriving from the sale of shares in stock corporations in future years. In case of a derecognition or transfer of worthless shares (or other capital assets), the utilization of such loss is further restricted and can only be offset up to the amount of €10,000 per calendar year.</w:t>
      </w:r>
    </w:p>
    <w:p>
      <w:pPr>
        <w:spacing w:after="0" w:line="110" w:lineRule="exact"/>
        <w:rPr>
          <w:sz w:val="20"/>
          <w:szCs w:val="20"/>
          <w:color w:val="auto"/>
        </w:rPr>
      </w:pPr>
    </w:p>
    <w:p>
      <w:pPr>
        <w:ind w:left="1260" w:right="499" w:firstLine="648"/>
        <w:spacing w:after="0" w:line="254" w:lineRule="auto"/>
        <w:rPr>
          <w:sz w:val="20"/>
          <w:szCs w:val="20"/>
          <w:color w:val="auto"/>
        </w:rPr>
      </w:pPr>
      <w:r>
        <w:rPr>
          <w:rFonts w:ascii="Arial" w:cs="Arial" w:eastAsia="Arial" w:hAnsi="Arial"/>
          <w:sz w:val="18"/>
          <w:szCs w:val="18"/>
          <w:color w:val="auto"/>
        </w:rPr>
        <w:t>The final withholding tax will not apply if the seller of the shares or, in the case of gratuitous transfer, its legal predecessor has held, directly or indirectly, at least 1% of the company’s registered share capital at any time during the five years prior to the disposal. In that case capital gains are subject to the partial income rule. Accordingly, only (i) 60% of the capital gains will be taxed at his individual personal income tax rate plus a 5.5% solidarity surcharge thereon and church tax (if applicable) and (ii) 60% of the business expenses related to the capital gains are deductible for tax purposes. The withholding tax withheld (including solidarity surcharge) will be credited against the shareholder’s personal income tax liability in Germany.</w:t>
      </w:r>
    </w:p>
    <w:p>
      <w:pPr>
        <w:spacing w:after="0" w:line="192" w:lineRule="exact"/>
        <w:rPr>
          <w:sz w:val="20"/>
          <w:szCs w:val="20"/>
          <w:color w:val="auto"/>
        </w:rPr>
      </w:pPr>
    </w:p>
    <w:p>
      <w:pPr>
        <w:ind w:left="1900" w:right="1159"/>
        <w:spacing w:after="0" w:line="277" w:lineRule="auto"/>
        <w:rPr>
          <w:sz w:val="20"/>
          <w:szCs w:val="20"/>
          <w:color w:val="auto"/>
        </w:rPr>
      </w:pPr>
      <w:r>
        <w:rPr>
          <w:rFonts w:ascii="Arial" w:cs="Arial" w:eastAsia="Arial" w:hAnsi="Arial"/>
          <w:sz w:val="18"/>
          <w:szCs w:val="18"/>
          <w:i w:val="1"/>
          <w:iCs w:val="1"/>
          <w:color w:val="auto"/>
        </w:rPr>
        <w:t>Taxation of Capital Gains Realized by Shareholders Tax Resident in Germany Holding the Company’s Shares as Business Assets</w:t>
      </w:r>
    </w:p>
    <w:p>
      <w:pPr>
        <w:spacing w:after="0" w:line="103" w:lineRule="exact"/>
        <w:rPr>
          <w:sz w:val="20"/>
          <w:szCs w:val="20"/>
          <w:color w:val="auto"/>
        </w:rPr>
      </w:pPr>
    </w:p>
    <w:p>
      <w:pPr>
        <w:ind w:left="1260" w:right="539" w:firstLine="648"/>
        <w:spacing w:after="0" w:line="263" w:lineRule="auto"/>
        <w:rPr>
          <w:sz w:val="20"/>
          <w:szCs w:val="20"/>
          <w:color w:val="auto"/>
        </w:rPr>
      </w:pPr>
      <w:r>
        <w:rPr>
          <w:rFonts w:ascii="Arial" w:cs="Arial" w:eastAsia="Arial" w:hAnsi="Arial"/>
          <w:sz w:val="18"/>
          <w:szCs w:val="18"/>
          <w:color w:val="auto"/>
        </w:rPr>
        <w:t>If a shareholder holds shares as business assets, the taxation of capital gains realized on the disposal of such shares depends on whether the respective shareholder is a corporation, a sole proprietor or a partnership:</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99" w:name="page300"/>
    <w:bookmarkEnd w:id="29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Corporations</w:t>
      </w:r>
    </w:p>
    <w:p>
      <w:pPr>
        <w:spacing w:after="0" w:line="158" w:lineRule="exact"/>
        <w:rPr>
          <w:sz w:val="20"/>
          <w:szCs w:val="20"/>
          <w:color w:val="auto"/>
        </w:rPr>
      </w:pPr>
    </w:p>
    <w:p>
      <w:pPr>
        <w:ind w:left="1260" w:right="639" w:firstLine="648"/>
        <w:spacing w:after="0" w:line="257" w:lineRule="auto"/>
        <w:rPr>
          <w:sz w:val="20"/>
          <w:szCs w:val="20"/>
          <w:color w:val="auto"/>
        </w:rPr>
      </w:pPr>
      <w:r>
        <w:rPr>
          <w:rFonts w:ascii="Arial" w:cs="Arial" w:eastAsia="Arial" w:hAnsi="Arial"/>
          <w:sz w:val="18"/>
          <w:szCs w:val="18"/>
          <w:color w:val="auto"/>
        </w:rPr>
        <w:t>Capital gains realized on the disposal of shares by a corporate shareholder are generally exempt from corporate income tax and trade tax. However, 5% of the tax-exempt capital gains are deemed to be non-deductible business expenses for tax purposes and therefore are subject to corporate income tax (plus solidarity surcharge) and trade tax, i.e., tax exemption of 95%. Business expenses incurred in connection with the capital gains are entirely tax-deductible.</w:t>
      </w:r>
    </w:p>
    <w:p>
      <w:pPr>
        <w:spacing w:after="0" w:line="120" w:lineRule="exact"/>
        <w:rPr>
          <w:sz w:val="20"/>
          <w:szCs w:val="20"/>
          <w:color w:val="auto"/>
        </w:rPr>
      </w:pPr>
    </w:p>
    <w:p>
      <w:pPr>
        <w:ind w:left="1260" w:right="499" w:firstLine="648"/>
        <w:spacing w:after="0" w:line="257" w:lineRule="auto"/>
        <w:rPr>
          <w:sz w:val="20"/>
          <w:szCs w:val="20"/>
          <w:color w:val="auto"/>
        </w:rPr>
      </w:pPr>
      <w:r>
        <w:rPr>
          <w:rFonts w:ascii="Arial" w:cs="Arial" w:eastAsia="Arial" w:hAnsi="Arial"/>
          <w:sz w:val="18"/>
          <w:szCs w:val="18"/>
          <w:color w:val="auto"/>
        </w:rPr>
        <w:t>Capital losses incurred upon the disposal of shares or other impairments of the share value are not tax deductible. A reduction of profit is also defined as any losses incurred in connection with a loan or security in the event the loan or the security is granted by a shareholder or by a related party thereto or by a third person with the right of recourse against the aforementioned persons, and the shareholder holds directly or indirectly more than 25% of the company’s registered share capital.</w:t>
      </w:r>
    </w:p>
    <w:p>
      <w:pPr>
        <w:spacing w:after="0" w:line="107"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Special regulations apply if the shares are held as trading portfolio assets by a credit institution, a</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financial service institution or a financial enterprise within the meaning of the German Banking Act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Kreditwesengesetz</w:t>
      </w:r>
      <w:r>
        <w:rPr>
          <w:rFonts w:ascii="Arial" w:cs="Arial" w:eastAsia="Arial" w:hAnsi="Arial"/>
          <w:sz w:val="17"/>
          <w:szCs w:val="17"/>
          <w:color w:val="auto"/>
        </w:rPr>
        <w:t>) as well as by a life insurance company, a health insurance company or a pension fund.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See “— Taxation of dividend income of shareholders tax resident in Germany holding the company’s shares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 business assets — Corporations.”</w:t>
      </w:r>
    </w:p>
    <w:p>
      <w:pPr>
        <w:spacing w:after="0" w:line="211"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Sole Proprietors</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If the shares are held by a sole proprietor, capital gains realized on the disposal of the shares are</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subject to the partial income rule. Accordingly, only (i) 60% of the capital gains will be taxed at his/her</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individual personal income tax rate plus a 5.5% solidarity surcharge thereon and church tax (if applicable)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and (ii) 60% of the business expenses related to the dividend income are deductible for tax purposes. In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addition, 60% of the capital gains are subject to trade tax if the shares are held as business assets of a</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permanent establishment in Germany within the meaning of the German Trade Tax Act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Gewerbesteuergesetz</w:t>
      </w:r>
      <w:r>
        <w:rPr>
          <w:rFonts w:ascii="Arial" w:cs="Arial" w:eastAsia="Arial" w:hAnsi="Arial"/>
          <w:sz w:val="17"/>
          <w:szCs w:val="17"/>
          <w:color w:val="auto"/>
        </w:rPr>
        <w:t>). The trade tax levied, depending on the applicable municipal trade tax rate and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individual tax situation, is partly or entirely credited against the shareholder’s personal income tax liability.</w:t>
      </w:r>
    </w:p>
    <w:p>
      <w:pPr>
        <w:spacing w:after="0" w:line="222"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Partnerships</w:t>
      </w:r>
    </w:p>
    <w:p>
      <w:pPr>
        <w:spacing w:after="0" w:line="158" w:lineRule="exact"/>
        <w:rPr>
          <w:sz w:val="20"/>
          <w:szCs w:val="20"/>
          <w:color w:val="auto"/>
        </w:rPr>
      </w:pPr>
    </w:p>
    <w:p>
      <w:pPr>
        <w:ind w:left="1260" w:right="459" w:firstLine="648"/>
        <w:spacing w:after="0" w:line="275" w:lineRule="auto"/>
        <w:rPr>
          <w:sz w:val="20"/>
          <w:szCs w:val="20"/>
          <w:color w:val="auto"/>
        </w:rPr>
      </w:pPr>
      <w:r>
        <w:rPr>
          <w:rFonts w:ascii="Arial" w:cs="Arial" w:eastAsia="Arial" w:hAnsi="Arial"/>
          <w:sz w:val="17"/>
          <w:szCs w:val="17"/>
          <w:color w:val="auto"/>
        </w:rPr>
        <w:t>In case the shares are held by a partnership, the partnership itself is not subject to corporate income tax or personal income tax as well as a solidarity surcharge (and church tax) since partnerships qualify as transparent for German tax purposes. In this regard, corporate income tax or personal income tax as well as a solidarity surcharge (and church tax, if applicable), are levied only at the level of the partner with respect to their relevant part of the profit and depending on their individual circumstances.</w:t>
      </w:r>
    </w:p>
    <w:p>
      <w:pPr>
        <w:spacing w:after="0" w:line="95" w:lineRule="exact"/>
        <w:rPr>
          <w:sz w:val="20"/>
          <w:szCs w:val="20"/>
          <w:color w:val="auto"/>
        </w:rPr>
      </w:pPr>
    </w:p>
    <w:p>
      <w:pPr>
        <w:ind w:left="1260" w:right="539" w:firstLine="648"/>
        <w:spacing w:after="0" w:line="257" w:lineRule="auto"/>
        <w:rPr>
          <w:sz w:val="20"/>
          <w:szCs w:val="20"/>
          <w:color w:val="auto"/>
        </w:rPr>
      </w:pPr>
      <w:r>
        <w:rPr>
          <w:rFonts w:ascii="Arial" w:cs="Arial" w:eastAsia="Arial" w:hAnsi="Arial"/>
          <w:sz w:val="18"/>
          <w:szCs w:val="18"/>
          <w:color w:val="auto"/>
        </w:rPr>
        <w:t>If the partner is a corporation, the capital gains will be subject to corporate income tax plus a solidarity surcharge. See “— Corporations.” Trade tax will be levied additionally at the level of the partner insofar as the relevant profit of the partnership is not subject to trade tax at the level of the partnership. However, with respect to both corporate income and trade tax, the 95% exemption rule as described above applies.</w:t>
      </w:r>
    </w:p>
    <w:p>
      <w:pPr>
        <w:spacing w:after="0" w:line="120" w:lineRule="exact"/>
        <w:rPr>
          <w:sz w:val="20"/>
          <w:szCs w:val="20"/>
          <w:color w:val="auto"/>
        </w:rPr>
      </w:pPr>
    </w:p>
    <w:p>
      <w:pPr>
        <w:ind w:left="1260" w:right="779" w:firstLine="648"/>
        <w:spacing w:after="0" w:line="277" w:lineRule="auto"/>
        <w:rPr>
          <w:sz w:val="20"/>
          <w:szCs w:val="20"/>
          <w:color w:val="auto"/>
        </w:rPr>
      </w:pPr>
      <w:r>
        <w:rPr>
          <w:rFonts w:ascii="Arial" w:cs="Arial" w:eastAsia="Arial" w:hAnsi="Arial"/>
          <w:sz w:val="18"/>
          <w:szCs w:val="18"/>
          <w:color w:val="auto"/>
        </w:rPr>
        <w:t>If the partner is a sole proprietor (individual), the capital gains are subject to the partial income rule. See “— Sole Proprietors.”</w:t>
      </w:r>
    </w:p>
    <w:p>
      <w:pPr>
        <w:spacing w:after="0" w:line="103" w:lineRule="exact"/>
        <w:rPr>
          <w:sz w:val="20"/>
          <w:szCs w:val="20"/>
          <w:color w:val="auto"/>
        </w:rPr>
      </w:pPr>
    </w:p>
    <w:p>
      <w:pPr>
        <w:ind w:left="1260" w:right="519" w:firstLine="648"/>
        <w:spacing w:after="0" w:line="275" w:lineRule="auto"/>
        <w:rPr>
          <w:sz w:val="20"/>
          <w:szCs w:val="20"/>
          <w:color w:val="auto"/>
        </w:rPr>
      </w:pPr>
      <w:r>
        <w:rPr>
          <w:rFonts w:ascii="Arial" w:cs="Arial" w:eastAsia="Arial" w:hAnsi="Arial"/>
          <w:sz w:val="17"/>
          <w:szCs w:val="17"/>
          <w:color w:val="auto"/>
        </w:rPr>
        <w:t>In addition, if the partnership is liable to trade tax, 60% of the capital gains are subject to trade tax at the level of the partnership, to the extent the partners are individuals, and 5% of the capital gains are subject to trade tax, to the extent the partners are corporations. However, if a partner is an individual, depending on the applicable municipal trade tax rate and the individual tax situation, the trade tax paid at the level of the partnership is credited against the partner’s personal income tax liability.</w:t>
      </w:r>
    </w:p>
    <w:p>
      <w:pPr>
        <w:spacing w:after="0" w:line="95" w:lineRule="exact"/>
        <w:rPr>
          <w:sz w:val="20"/>
          <w:szCs w:val="20"/>
          <w:color w:val="auto"/>
        </w:rPr>
      </w:pPr>
    </w:p>
    <w:p>
      <w:pPr>
        <w:ind w:left="1260" w:right="559" w:firstLine="648"/>
        <w:spacing w:after="0" w:line="259" w:lineRule="auto"/>
        <w:rPr>
          <w:sz w:val="20"/>
          <w:szCs w:val="20"/>
          <w:color w:val="auto"/>
        </w:rPr>
      </w:pPr>
      <w:r>
        <w:rPr>
          <w:rFonts w:ascii="Arial" w:cs="Arial" w:eastAsia="Arial" w:hAnsi="Arial"/>
          <w:sz w:val="18"/>
          <w:szCs w:val="18"/>
          <w:color w:val="auto"/>
        </w:rPr>
        <w:t>With regard to corporate partners, special regulations apply if they are held as trading portfolio assets by credit institutions, financial service institutions or financial enterprises within the meaning of the German Banking Act or life insurance companies, health insurance companies or pension funds, as described above.</w:t>
      </w:r>
    </w:p>
    <w:p>
      <w:pPr>
        <w:sectPr>
          <w:pgSz w:w="11900" w:h="16838" w:orient="portrait"/>
          <w:cols w:equalWidth="0" w:num="1">
            <w:col w:w="9879"/>
          </w:cols>
          <w:pgMar w:left="580" w:top="132" w:right="1440" w:bottom="1440" w:gutter="0" w:footer="0" w:header="0"/>
        </w:sectPr>
      </w:pPr>
    </w:p>
    <w:p>
      <w:pPr>
        <w:spacing w:after="0" w:line="37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300" w:name="page301"/>
    <w:bookmarkEnd w:id="30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Taxation of capital gains realized by shareholders tax resident outside of Germany</w:t>
      </w:r>
    </w:p>
    <w:p>
      <w:pPr>
        <w:spacing w:after="0" w:line="158" w:lineRule="exact"/>
        <w:rPr>
          <w:sz w:val="20"/>
          <w:szCs w:val="20"/>
          <w:color w:val="auto"/>
        </w:rPr>
      </w:pPr>
    </w:p>
    <w:p>
      <w:pPr>
        <w:ind w:left="1260" w:right="439" w:firstLine="648"/>
        <w:spacing w:after="0" w:line="253" w:lineRule="auto"/>
        <w:rPr>
          <w:sz w:val="20"/>
          <w:szCs w:val="20"/>
          <w:color w:val="auto"/>
        </w:rPr>
      </w:pPr>
      <w:r>
        <w:rPr>
          <w:rFonts w:ascii="Arial" w:cs="Arial" w:eastAsia="Arial" w:hAnsi="Arial"/>
          <w:sz w:val="17"/>
          <w:szCs w:val="17"/>
          <w:color w:val="auto"/>
        </w:rPr>
        <w:t>Capital gains realized on the disposal of the shares by a shareholder tax resident outside of Germany are subject to German taxation provided that (i) the company’s shares are held as business assets of a permanent establishment or as business assets for which a permanent representative has been appointed in Germany, or (ii) the shareholder or, in case of a gratuitous transfer, its legal predecessor has held, directly or indirectly, at least 1% of the company’s shares capital at any time during a five-year period prior to the disposal. In these cases, capital gains are generally subject to the same rules as described above for shareholders resident in Germany. However, in case the shares are not attributable to a German permanent establishment or permanent representative the 5% taxation (see “— Corporations — Taxation of capital gains realized by shareholders tax resident in Germany holding the company’s shares as business assets”) shall not apply and the capital gains are fully exempt from German tax.</w:t>
      </w:r>
    </w:p>
    <w:p>
      <w:pPr>
        <w:spacing w:after="0" w:line="113" w:lineRule="exact"/>
        <w:rPr>
          <w:sz w:val="20"/>
          <w:szCs w:val="20"/>
          <w:color w:val="auto"/>
        </w:rPr>
      </w:pPr>
    </w:p>
    <w:p>
      <w:pPr>
        <w:ind w:left="1260" w:right="1019" w:firstLine="648"/>
        <w:spacing w:after="0" w:line="261" w:lineRule="auto"/>
        <w:rPr>
          <w:sz w:val="20"/>
          <w:szCs w:val="20"/>
          <w:color w:val="auto"/>
        </w:rPr>
      </w:pPr>
      <w:r>
        <w:rPr>
          <w:rFonts w:ascii="Arial" w:cs="Arial" w:eastAsia="Arial" w:hAnsi="Arial"/>
          <w:sz w:val="18"/>
          <w:szCs w:val="18"/>
          <w:color w:val="auto"/>
        </w:rPr>
        <w:t>However, except for the cases referred to in clause (i) above, some of the double tax treaties concluded with Germany provide for a full exemption from German taxation.</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Inheritance and Gift Tax</w:t>
      </w:r>
    </w:p>
    <w:p>
      <w:pPr>
        <w:spacing w:after="0" w:line="144" w:lineRule="exact"/>
        <w:rPr>
          <w:sz w:val="20"/>
          <w:szCs w:val="20"/>
          <w:color w:val="auto"/>
        </w:rPr>
      </w:pPr>
    </w:p>
    <w:p>
      <w:pPr>
        <w:ind w:left="1260" w:right="499" w:firstLine="648"/>
        <w:spacing w:after="0" w:line="261" w:lineRule="auto"/>
        <w:rPr>
          <w:sz w:val="20"/>
          <w:szCs w:val="20"/>
          <w:color w:val="auto"/>
        </w:rPr>
      </w:pPr>
      <w:r>
        <w:rPr>
          <w:rFonts w:ascii="Arial" w:cs="Arial" w:eastAsia="Arial" w:hAnsi="Arial"/>
          <w:sz w:val="18"/>
          <w:szCs w:val="18"/>
          <w:color w:val="auto"/>
        </w:rPr>
        <w:t>The transfer of the company’s shares to another person by way of succession or donation is subject to German inheritance and gift tax (</w:t>
      </w:r>
      <w:r>
        <w:rPr>
          <w:rFonts w:ascii="Arial" w:cs="Arial" w:eastAsia="Arial" w:hAnsi="Arial"/>
          <w:sz w:val="18"/>
          <w:szCs w:val="18"/>
          <w:i w:val="1"/>
          <w:iCs w:val="1"/>
          <w:color w:val="auto"/>
        </w:rPr>
        <w:t>Erbschaft-und Schenkungsteuer</w:t>
      </w:r>
      <w:r>
        <w:rPr>
          <w:rFonts w:ascii="Arial" w:cs="Arial" w:eastAsia="Arial" w:hAnsi="Arial"/>
          <w:sz w:val="18"/>
          <w:szCs w:val="18"/>
          <w:color w:val="auto"/>
        </w:rPr>
        <w:t>) if:</w:t>
      </w:r>
    </w:p>
    <w:p>
      <w:pPr>
        <w:spacing w:after="0" w:line="103" w:lineRule="exact"/>
        <w:rPr>
          <w:sz w:val="20"/>
          <w:szCs w:val="20"/>
          <w:color w:val="auto"/>
        </w:rPr>
      </w:pPr>
    </w:p>
    <w:p>
      <w:pPr>
        <w:ind w:left="2560" w:right="679" w:hanging="652"/>
        <w:spacing w:after="0" w:line="259" w:lineRule="auto"/>
        <w:tabs>
          <w:tab w:leader="none" w:pos="25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decedent, the donor, the heir, the donee or any other beneficiary has his/her/its residence, domicile, registered office or place of management in Germany at the time of the transfer, or is a German citizen who has not stayed abroad for more than five consecutive years without having a residence in Germany; or</w:t>
      </w:r>
    </w:p>
    <w:p>
      <w:pPr>
        <w:spacing w:after="0" w:line="105" w:lineRule="exact"/>
        <w:rPr>
          <w:rFonts w:ascii="Arial" w:cs="Arial" w:eastAsia="Arial" w:hAnsi="Arial"/>
          <w:sz w:val="18"/>
          <w:szCs w:val="18"/>
          <w:color w:val="auto"/>
        </w:rPr>
      </w:pPr>
    </w:p>
    <w:p>
      <w:pPr>
        <w:ind w:left="2560" w:right="459" w:hanging="652"/>
        <w:spacing w:after="0" w:line="263" w:lineRule="auto"/>
        <w:tabs>
          <w:tab w:leader="none" w:pos="25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(irrespective of the personal circumstances) the shares are held by the decedent or donor as business assets for which a permanent establishment in Germany is maintained or a permanent representative is appointed in Germany; or</w:t>
      </w:r>
    </w:p>
    <w:p>
      <w:pPr>
        <w:spacing w:after="0" w:line="116" w:lineRule="exact"/>
        <w:rPr>
          <w:rFonts w:ascii="Arial" w:cs="Arial" w:eastAsia="Arial" w:hAnsi="Arial"/>
          <w:sz w:val="18"/>
          <w:szCs w:val="18"/>
          <w:color w:val="auto"/>
        </w:rPr>
      </w:pPr>
    </w:p>
    <w:p>
      <w:pPr>
        <w:ind w:left="2560" w:right="519" w:hanging="652"/>
        <w:spacing w:after="0" w:line="286" w:lineRule="auto"/>
        <w:tabs>
          <w:tab w:leader="none" w:pos="256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(irrespective of the personal circumstances) at least 10% of the shares are held, directly or indirectly by, the decedent or person making the gift, himself or together with a related party in terms of Section 1, paragraph 2 of the Foreign Tax Act (</w:t>
      </w:r>
      <w:r>
        <w:rPr>
          <w:rFonts w:ascii="Arial" w:cs="Arial" w:eastAsia="Arial" w:hAnsi="Arial"/>
          <w:sz w:val="17"/>
          <w:szCs w:val="17"/>
          <w:i w:val="1"/>
          <w:iCs w:val="1"/>
          <w:color w:val="auto"/>
        </w:rPr>
        <w:t>Außensteuergesetz</w:t>
      </w:r>
      <w:r>
        <w:rPr>
          <w:rFonts w:ascii="Arial" w:cs="Arial" w:eastAsia="Arial" w:hAnsi="Arial"/>
          <w:sz w:val="17"/>
          <w:szCs w:val="17"/>
          <w:color w:val="auto"/>
        </w:rPr>
        <w:t>).</w:t>
      </w:r>
    </w:p>
    <w:p>
      <w:pPr>
        <w:spacing w:after="0" w:line="98" w:lineRule="exact"/>
        <w:rPr>
          <w:sz w:val="20"/>
          <w:szCs w:val="20"/>
          <w:color w:val="auto"/>
        </w:rPr>
      </w:pPr>
    </w:p>
    <w:p>
      <w:pPr>
        <w:ind w:left="1260" w:right="539" w:firstLine="648"/>
        <w:spacing w:after="0" w:line="241" w:lineRule="auto"/>
        <w:rPr>
          <w:sz w:val="20"/>
          <w:szCs w:val="20"/>
          <w:color w:val="auto"/>
        </w:rPr>
      </w:pPr>
      <w:r>
        <w:rPr>
          <w:rFonts w:ascii="Arial" w:cs="Arial" w:eastAsia="Arial" w:hAnsi="Arial"/>
          <w:sz w:val="18"/>
          <w:szCs w:val="18"/>
          <w:color w:val="auto"/>
        </w:rPr>
        <w:t>Special regulations apply to qualified German citizens who maintain neither a residence nor their domicile in Germany but in a low tax jurisdiction, and to former German citizens, also resulting in inheritance and gift tax. The few double tax treaties on inheritance and gift tax which Germany has entered into provide that German inheritance and gift tax is levied only in the case of (i) and, with certain restrictions, in the case of (ii).</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Abolishment of Solidarity Surcharge</w:t>
      </w:r>
    </w:p>
    <w:p>
      <w:pPr>
        <w:spacing w:after="0" w:line="144" w:lineRule="exact"/>
        <w:rPr>
          <w:sz w:val="20"/>
          <w:szCs w:val="20"/>
          <w:color w:val="auto"/>
        </w:rPr>
      </w:pPr>
    </w:p>
    <w:p>
      <w:pPr>
        <w:ind w:left="1260" w:right="459" w:firstLine="648"/>
        <w:spacing w:after="0" w:line="255" w:lineRule="auto"/>
        <w:rPr>
          <w:sz w:val="20"/>
          <w:szCs w:val="20"/>
          <w:color w:val="auto"/>
        </w:rPr>
      </w:pPr>
      <w:r>
        <w:rPr>
          <w:rFonts w:ascii="Arial" w:cs="Arial" w:eastAsia="Arial" w:hAnsi="Arial"/>
          <w:sz w:val="18"/>
          <w:szCs w:val="18"/>
          <w:color w:val="auto"/>
        </w:rPr>
        <w:t>According to a bill enacted in December 2019, the solidarity surcharge will be partially abolished as of the assessment period 2021 for certain individuals. The solidarity surcharge shall, however, continue to apply for capital investment and, thus, on withholding taxes levied. In cases where the individual income tax burden for an individual shareholder is lower than 25%, the shareholder can apply for his/her capital investment income being assessed at his/her individual tariff-based income tax rate, in which case solidarity surcharge would be refunded.</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Taxes</w:t>
      </w:r>
    </w:p>
    <w:p>
      <w:pPr>
        <w:spacing w:after="0" w:line="158" w:lineRule="exact"/>
        <w:rPr>
          <w:sz w:val="20"/>
          <w:szCs w:val="20"/>
          <w:color w:val="auto"/>
        </w:rPr>
      </w:pPr>
    </w:p>
    <w:p>
      <w:pPr>
        <w:ind w:left="1260" w:right="419" w:firstLine="648"/>
        <w:spacing w:after="0" w:line="259" w:lineRule="auto"/>
        <w:rPr>
          <w:sz w:val="20"/>
          <w:szCs w:val="20"/>
          <w:color w:val="auto"/>
        </w:rPr>
      </w:pPr>
      <w:r>
        <w:rPr>
          <w:rFonts w:ascii="Arial" w:cs="Arial" w:eastAsia="Arial" w:hAnsi="Arial"/>
          <w:sz w:val="18"/>
          <w:szCs w:val="18"/>
          <w:color w:val="auto"/>
        </w:rPr>
        <w:t>No German capital transfer tax (</w:t>
      </w:r>
      <w:r>
        <w:rPr>
          <w:rFonts w:ascii="Arial" w:cs="Arial" w:eastAsia="Arial" w:hAnsi="Arial"/>
          <w:sz w:val="18"/>
          <w:szCs w:val="18"/>
          <w:i w:val="1"/>
          <w:iCs w:val="1"/>
          <w:color w:val="auto"/>
        </w:rPr>
        <w:t>Kapitalverkehrsteuer</w:t>
      </w:r>
      <w:r>
        <w:rPr>
          <w:rFonts w:ascii="Arial" w:cs="Arial" w:eastAsia="Arial" w:hAnsi="Arial"/>
          <w:sz w:val="18"/>
          <w:szCs w:val="18"/>
          <w:color w:val="auto"/>
        </w:rPr>
        <w:t>), value added tax (</w:t>
      </w:r>
      <w:r>
        <w:rPr>
          <w:rFonts w:ascii="Arial" w:cs="Arial" w:eastAsia="Arial" w:hAnsi="Arial"/>
          <w:sz w:val="18"/>
          <w:szCs w:val="18"/>
          <w:i w:val="1"/>
          <w:iCs w:val="1"/>
          <w:color w:val="auto"/>
        </w:rPr>
        <w:t>Umsatzsteuer</w:t>
      </w:r>
      <w:r>
        <w:rPr>
          <w:rFonts w:ascii="Arial" w:cs="Arial" w:eastAsia="Arial" w:hAnsi="Arial"/>
          <w:sz w:val="18"/>
          <w:szCs w:val="18"/>
          <w:color w:val="auto"/>
        </w:rPr>
        <w:t>), stamp duty (</w:t>
      </w:r>
      <w:r>
        <w:rPr>
          <w:rFonts w:ascii="Arial" w:cs="Arial" w:eastAsia="Arial" w:hAnsi="Arial"/>
          <w:sz w:val="18"/>
          <w:szCs w:val="18"/>
          <w:i w:val="1"/>
          <w:iCs w:val="1"/>
          <w:color w:val="auto"/>
        </w:rPr>
        <w:t>Stempelgebühr</w:t>
      </w:r>
      <w:r>
        <w:rPr>
          <w:rFonts w:ascii="Arial" w:cs="Arial" w:eastAsia="Arial" w:hAnsi="Arial"/>
          <w:sz w:val="18"/>
          <w:szCs w:val="18"/>
          <w:color w:val="auto"/>
        </w:rPr>
        <w:t>) or similar taxes are levied when acquiring, holding or transferring the company’s shares. No value added tax will be levied unless the shareholder validly opts for it. Net wealth tax (</w:t>
      </w:r>
      <w:r>
        <w:rPr>
          <w:rFonts w:ascii="Arial" w:cs="Arial" w:eastAsia="Arial" w:hAnsi="Arial"/>
          <w:sz w:val="18"/>
          <w:szCs w:val="18"/>
          <w:i w:val="1"/>
          <w:iCs w:val="1"/>
          <w:color w:val="auto"/>
        </w:rPr>
        <w:t>Vermögensteuer</w:t>
      </w:r>
      <w:r>
        <w:rPr>
          <w:rFonts w:ascii="Arial" w:cs="Arial" w:eastAsia="Arial" w:hAnsi="Arial"/>
          <w:sz w:val="18"/>
          <w:szCs w:val="18"/>
          <w:color w:val="auto"/>
        </w:rPr>
        <w:t>) is currently not levied in Germany.</w:t>
      </w:r>
    </w:p>
    <w:p>
      <w:pPr>
        <w:spacing w:after="0" w:line="119" w:lineRule="exact"/>
        <w:rPr>
          <w:sz w:val="20"/>
          <w:szCs w:val="20"/>
          <w:color w:val="auto"/>
        </w:rPr>
      </w:pPr>
    </w:p>
    <w:p>
      <w:pPr>
        <w:ind w:left="1260" w:right="619" w:firstLine="648"/>
        <w:spacing w:after="0" w:line="259" w:lineRule="auto"/>
        <w:rPr>
          <w:sz w:val="20"/>
          <w:szCs w:val="20"/>
          <w:color w:val="auto"/>
        </w:rPr>
      </w:pPr>
      <w:r>
        <w:rPr>
          <w:rFonts w:ascii="Arial" w:cs="Arial" w:eastAsia="Arial" w:hAnsi="Arial"/>
          <w:sz w:val="18"/>
          <w:szCs w:val="18"/>
          <w:color w:val="auto"/>
        </w:rPr>
        <w:t>On January 22, 2013, the Council of the European Union approved the resolution of the ministers of finance from 11 European Union member states (including Germany) to introduce a Financial Transaction Tax, or FTT, within the framework of enhanced cooperation. On February 14, 2013, the EC published a</w:t>
      </w:r>
    </w:p>
    <w:p>
      <w:pPr>
        <w:sectPr>
          <w:pgSz w:w="11900" w:h="16838" w:orient="portrait"/>
          <w:cols w:equalWidth="0" w:num="1">
            <w:col w:w="9879"/>
          </w:cols>
          <w:pgMar w:left="580" w:top="132" w:right="1440" w:bottom="1440" w:gutter="0" w:footer="0" w:header="0"/>
        </w:sectPr>
      </w:pP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301" w:name="page302"/>
    <w:bookmarkEnd w:id="30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39"/>
        <w:spacing w:after="0" w:line="248" w:lineRule="auto"/>
        <w:rPr>
          <w:sz w:val="20"/>
          <w:szCs w:val="20"/>
          <w:color w:val="auto"/>
        </w:rPr>
      </w:pPr>
      <w:r>
        <w:rPr>
          <w:rFonts w:ascii="Arial" w:cs="Arial" w:eastAsia="Arial" w:hAnsi="Arial"/>
          <w:sz w:val="18"/>
          <w:szCs w:val="18"/>
          <w:color w:val="auto"/>
        </w:rPr>
        <w:t>proposal for a Council Directive implementing enhanced cooperation in the area of financial transaction tax. The plan focuses on levying a tax of 0.1% (0.01% for derivatives) on the purchase and sale of financial instruments.</w:t>
      </w:r>
    </w:p>
    <w:p>
      <w:pPr>
        <w:spacing w:after="0" w:line="114" w:lineRule="exact"/>
        <w:rPr>
          <w:sz w:val="20"/>
          <w:szCs w:val="20"/>
          <w:color w:val="auto"/>
        </w:rPr>
      </w:pPr>
    </w:p>
    <w:p>
      <w:pPr>
        <w:ind w:left="1260" w:right="559" w:firstLine="648"/>
        <w:spacing w:after="0" w:line="255" w:lineRule="auto"/>
        <w:rPr>
          <w:sz w:val="20"/>
          <w:szCs w:val="20"/>
          <w:color w:val="auto"/>
        </w:rPr>
      </w:pPr>
      <w:r>
        <w:rPr>
          <w:rFonts w:ascii="Arial" w:cs="Arial" w:eastAsia="Arial" w:hAnsi="Arial"/>
          <w:sz w:val="17"/>
          <w:szCs w:val="17"/>
          <w:color w:val="auto"/>
        </w:rPr>
        <w:t>A joint statement issued by 10 of the 11 participating European Union member states in October 2016 reaffirmed the intention to introduce FTT. However, at the moment not many details are available. Recently, further discussions on an FTT on the basis of a draft provided by Germany were held. However, it is still unclear if and when the FFT will be implemented and what the exact scope will be. The FTT proposal remains subject to negotiation between the participating member states and is subject to political discussion. It may, therefore, be altered prior to the implementation, the timing of which remains unclear. Additional European Union member states may decide to participate.</w:t>
      </w:r>
    </w:p>
    <w:p>
      <w:pPr>
        <w:spacing w:after="0" w:line="112"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Prospective holders of the shares are advised to seek their own professional advice in relation to</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FTT.</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Material U.S. Federal Income Tax Considerations to U.S. Holders</w:t>
      </w:r>
    </w:p>
    <w:p>
      <w:pPr>
        <w:spacing w:after="0" w:line="148" w:lineRule="exact"/>
        <w:rPr>
          <w:sz w:val="20"/>
          <w:szCs w:val="20"/>
          <w:color w:val="auto"/>
        </w:rPr>
      </w:pPr>
    </w:p>
    <w:p>
      <w:pPr>
        <w:ind w:left="1260" w:right="659" w:firstLine="648"/>
        <w:spacing w:after="0" w:line="243" w:lineRule="auto"/>
        <w:rPr>
          <w:sz w:val="20"/>
          <w:szCs w:val="20"/>
          <w:color w:val="auto"/>
        </w:rPr>
      </w:pPr>
      <w:r>
        <w:rPr>
          <w:rFonts w:ascii="Arial" w:cs="Arial" w:eastAsia="Arial" w:hAnsi="Arial"/>
          <w:sz w:val="18"/>
          <w:szCs w:val="18"/>
          <w:color w:val="auto"/>
        </w:rPr>
        <w:t>In the opinion of Davis Polk &amp; Wardwell LLP, the following is a description of the material U.S. federal income tax consequences to the U.S. Holders, as defined below, of owning and disposing of our common shares. It does not describe all tax considerations that may be relevant to a particular person’s decision to acquire common shares.</w:t>
      </w:r>
    </w:p>
    <w:p>
      <w:pPr>
        <w:spacing w:after="0" w:line="120" w:lineRule="exact"/>
        <w:rPr>
          <w:sz w:val="20"/>
          <w:szCs w:val="20"/>
          <w:color w:val="auto"/>
        </w:rPr>
      </w:pPr>
    </w:p>
    <w:p>
      <w:pPr>
        <w:ind w:left="1260" w:right="459" w:firstLine="648"/>
        <w:spacing w:after="0" w:line="259" w:lineRule="auto"/>
        <w:rPr>
          <w:sz w:val="20"/>
          <w:szCs w:val="20"/>
          <w:color w:val="auto"/>
        </w:rPr>
      </w:pPr>
      <w:r>
        <w:rPr>
          <w:rFonts w:ascii="Arial" w:cs="Arial" w:eastAsia="Arial" w:hAnsi="Arial"/>
          <w:sz w:val="17"/>
          <w:szCs w:val="17"/>
          <w:color w:val="auto"/>
        </w:rPr>
        <w:t>This discussion applies only to a U.S. Holder that holds common shares as capital assets for U.S. federal income tax purposes. In addition, it does not describe all of the U.S. federal income tax consequences that may be relevant in light of the U.S. Holder’s particular circumstances, including alternative minimum tax consequences, the potential application of the provisions of the Code known as the Medicare contribution tax and tax consequences applicable to U.S. Holders subject to special rules, such as:</w:t>
      </w:r>
    </w:p>
    <w:p>
      <w:pPr>
        <w:spacing w:after="0" w:line="66" w:lineRule="exact"/>
        <w:rPr>
          <w:sz w:val="20"/>
          <w:szCs w:val="20"/>
          <w:color w:val="auto"/>
        </w:rPr>
      </w:pPr>
    </w:p>
    <w:p>
      <w:pPr>
        <w:ind w:left="2260" w:hanging="352"/>
        <w:spacing w:after="0"/>
        <w:tabs>
          <w:tab w:leader="none" w:pos="22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03" w:lineRule="exact"/>
        <w:rPr>
          <w:rFonts w:ascii="Arial" w:cs="Arial" w:eastAsia="Arial" w:hAnsi="Arial"/>
          <w:sz w:val="18"/>
          <w:szCs w:val="18"/>
          <w:color w:val="auto"/>
        </w:rPr>
      </w:pPr>
    </w:p>
    <w:p>
      <w:pPr>
        <w:ind w:left="2260" w:hanging="352"/>
        <w:spacing w:after="0"/>
        <w:tabs>
          <w:tab w:leader="none" w:pos="22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dealers or traders in securities who use a mark-to-market method of tax accounting;</w:t>
      </w:r>
    </w:p>
    <w:p>
      <w:pPr>
        <w:spacing w:after="0" w:line="117" w:lineRule="exact"/>
        <w:rPr>
          <w:rFonts w:ascii="Arial" w:cs="Arial" w:eastAsia="Arial" w:hAnsi="Arial"/>
          <w:sz w:val="18"/>
          <w:szCs w:val="18"/>
          <w:color w:val="auto"/>
        </w:rPr>
      </w:pPr>
    </w:p>
    <w:p>
      <w:pPr>
        <w:ind w:left="2260" w:right="639" w:hanging="352"/>
        <w:spacing w:after="0" w:line="263" w:lineRule="auto"/>
        <w:tabs>
          <w:tab w:leader="none" w:pos="22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persons holding common shares as part of a hedging transaction, straddle, wash sale, conversion transaction or other integrated transaction or persons entering into a constructive sale with respect to the common shares;</w:t>
      </w:r>
    </w:p>
    <w:p>
      <w:pPr>
        <w:spacing w:after="0" w:line="75" w:lineRule="exact"/>
        <w:rPr>
          <w:rFonts w:ascii="Arial" w:cs="Arial" w:eastAsia="Arial" w:hAnsi="Arial"/>
          <w:sz w:val="18"/>
          <w:szCs w:val="18"/>
          <w:color w:val="auto"/>
        </w:rPr>
      </w:pPr>
    </w:p>
    <w:p>
      <w:pPr>
        <w:ind w:left="2260" w:hanging="352"/>
        <w:spacing w:after="0"/>
        <w:tabs>
          <w:tab w:leader="none" w:pos="226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persons whose functional currency for U.S. federal income tax purposes is not the U.S. dollar;</w:t>
      </w:r>
    </w:p>
    <w:p>
      <w:pPr>
        <w:spacing w:after="0" w:line="128" w:lineRule="exact"/>
        <w:rPr>
          <w:rFonts w:ascii="Arial" w:cs="Arial" w:eastAsia="Arial" w:hAnsi="Arial"/>
          <w:sz w:val="17"/>
          <w:szCs w:val="17"/>
          <w:color w:val="auto"/>
        </w:rPr>
      </w:pPr>
    </w:p>
    <w:p>
      <w:pPr>
        <w:ind w:left="2260" w:hanging="352"/>
        <w:spacing w:after="0"/>
        <w:tabs>
          <w:tab w:leader="none" w:pos="22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entities classified as partnerships for U.S. federal income tax purposes;</w:t>
      </w:r>
    </w:p>
    <w:p>
      <w:pPr>
        <w:spacing w:after="0" w:line="103" w:lineRule="exact"/>
        <w:rPr>
          <w:rFonts w:ascii="Arial" w:cs="Arial" w:eastAsia="Arial" w:hAnsi="Arial"/>
          <w:sz w:val="18"/>
          <w:szCs w:val="18"/>
          <w:color w:val="auto"/>
        </w:rPr>
      </w:pPr>
    </w:p>
    <w:p>
      <w:pPr>
        <w:ind w:left="2260" w:hanging="352"/>
        <w:spacing w:after="0"/>
        <w:tabs>
          <w:tab w:leader="none" w:pos="22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tax-exempt entities, including an “individual retirement account” or “Roth IRA”;</w:t>
      </w:r>
    </w:p>
    <w:p>
      <w:pPr>
        <w:spacing w:after="0" w:line="117" w:lineRule="exact"/>
        <w:rPr>
          <w:rFonts w:ascii="Arial" w:cs="Arial" w:eastAsia="Arial" w:hAnsi="Arial"/>
          <w:sz w:val="18"/>
          <w:szCs w:val="18"/>
          <w:color w:val="auto"/>
        </w:rPr>
      </w:pPr>
    </w:p>
    <w:p>
      <w:pPr>
        <w:ind w:left="2260" w:right="539" w:hanging="352"/>
        <w:spacing w:after="0" w:line="277" w:lineRule="auto"/>
        <w:tabs>
          <w:tab w:leader="none" w:pos="22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persons that own or are deemed to own ten percent or more of our common shares (by vote or value); or</w:t>
      </w:r>
    </w:p>
    <w:p>
      <w:pPr>
        <w:spacing w:after="0" w:line="62" w:lineRule="exact"/>
        <w:rPr>
          <w:rFonts w:ascii="Arial" w:cs="Arial" w:eastAsia="Arial" w:hAnsi="Arial"/>
          <w:sz w:val="18"/>
          <w:szCs w:val="18"/>
          <w:color w:val="auto"/>
        </w:rPr>
      </w:pPr>
    </w:p>
    <w:p>
      <w:pPr>
        <w:ind w:left="2260" w:right="679" w:hanging="352"/>
        <w:spacing w:after="0" w:line="277" w:lineRule="auto"/>
        <w:tabs>
          <w:tab w:leader="none" w:pos="22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persons holding common shares in connection with a trade or business conducted outside of the United States.</w:t>
      </w:r>
    </w:p>
    <w:p>
      <w:pPr>
        <w:spacing w:after="0" w:line="89" w:lineRule="exact"/>
        <w:rPr>
          <w:sz w:val="20"/>
          <w:szCs w:val="20"/>
          <w:color w:val="auto"/>
        </w:rPr>
      </w:pPr>
    </w:p>
    <w:p>
      <w:pPr>
        <w:ind w:left="1260" w:right="539" w:firstLine="648"/>
        <w:spacing w:after="0" w:line="241" w:lineRule="auto"/>
        <w:rPr>
          <w:sz w:val="20"/>
          <w:szCs w:val="20"/>
          <w:color w:val="auto"/>
        </w:rPr>
      </w:pPr>
      <w:r>
        <w:rPr>
          <w:rFonts w:ascii="Arial" w:cs="Arial" w:eastAsia="Arial" w:hAnsi="Arial"/>
          <w:sz w:val="18"/>
          <w:szCs w:val="18"/>
          <w:color w:val="auto"/>
        </w:rPr>
        <w:t>If an entity that is classified as a partnership for U.S. federal income tax purposes holds common shares, the U.S. federal income tax treatment of a partner will generally depend on the status of the partner and the activities of the partnership. Partnerships holding common shares and partners in such partnerships should consult their tax advisers as to the particular U.S. federal income tax consequences of owning and disposing of the common shares.</w:t>
      </w:r>
    </w:p>
    <w:p>
      <w:pPr>
        <w:spacing w:after="0" w:line="122" w:lineRule="exact"/>
        <w:rPr>
          <w:sz w:val="20"/>
          <w:szCs w:val="20"/>
          <w:color w:val="auto"/>
        </w:rPr>
      </w:pPr>
    </w:p>
    <w:p>
      <w:pPr>
        <w:ind w:left="1260" w:right="519" w:firstLine="648"/>
        <w:spacing w:after="0" w:line="243" w:lineRule="auto"/>
        <w:rPr>
          <w:sz w:val="20"/>
          <w:szCs w:val="20"/>
          <w:color w:val="auto"/>
        </w:rPr>
      </w:pPr>
      <w:r>
        <w:rPr>
          <w:rFonts w:ascii="Arial" w:cs="Arial" w:eastAsia="Arial" w:hAnsi="Arial"/>
          <w:sz w:val="18"/>
          <w:szCs w:val="18"/>
          <w:color w:val="auto"/>
        </w:rPr>
        <w:t>This discussion is based on the Code, administrative pronouncements, judicial decisions, final, temporary and proposed Treasury regulations, and the income tax treaty between the Federal Republic of Germany and the United States, or the Treaty, all as of the date hereof, any of which is subject to change or differing interpretations, possibly with retroactive effect.</w:t>
      </w:r>
    </w:p>
    <w:p>
      <w:pPr>
        <w:spacing w:after="0" w:line="120" w:lineRule="exact"/>
        <w:rPr>
          <w:sz w:val="20"/>
          <w:szCs w:val="20"/>
          <w:color w:val="auto"/>
        </w:rPr>
      </w:pPr>
    </w:p>
    <w:p>
      <w:pPr>
        <w:ind w:left="1260" w:right="479" w:firstLine="648"/>
        <w:spacing w:after="0" w:line="261" w:lineRule="auto"/>
        <w:rPr>
          <w:sz w:val="20"/>
          <w:szCs w:val="20"/>
          <w:color w:val="auto"/>
        </w:rPr>
      </w:pPr>
      <w:r>
        <w:rPr>
          <w:rFonts w:ascii="Arial" w:cs="Arial" w:eastAsia="Arial" w:hAnsi="Arial"/>
          <w:sz w:val="18"/>
          <w:szCs w:val="18"/>
          <w:color w:val="auto"/>
        </w:rPr>
        <w:t>A “U.S. Holder” is a holder who, for U.S. federal income tax purposes, is a beneficial owner of our common shares, who is eligible for the benefits of the Treaty and who is:</w:t>
      </w:r>
    </w:p>
    <w:p>
      <w:pPr>
        <w:spacing w:after="0" w:line="49" w:lineRule="exact"/>
        <w:rPr>
          <w:sz w:val="20"/>
          <w:szCs w:val="20"/>
          <w:color w:val="auto"/>
        </w:rPr>
      </w:pPr>
    </w:p>
    <w:p>
      <w:pPr>
        <w:ind w:left="5200" w:right="2939" w:hanging="3292"/>
        <w:spacing w:after="0" w:line="747" w:lineRule="auto"/>
        <w:tabs>
          <w:tab w:leader="none" w:pos="226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 297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6806565" cy="171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302" w:name="page303"/>
    <w:bookmarkEnd w:id="30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60" w:right="799" w:hanging="352"/>
        <w:spacing w:after="0" w:line="277" w:lineRule="auto"/>
        <w:tabs>
          <w:tab w:leader="none" w:pos="22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62" w:lineRule="exact"/>
        <w:rPr>
          <w:rFonts w:ascii="Arial" w:cs="Arial" w:eastAsia="Arial" w:hAnsi="Arial"/>
          <w:sz w:val="18"/>
          <w:szCs w:val="18"/>
          <w:color w:val="auto"/>
        </w:rPr>
      </w:pPr>
    </w:p>
    <w:p>
      <w:pPr>
        <w:ind w:left="2260" w:right="539" w:hanging="352"/>
        <w:spacing w:after="0" w:line="277" w:lineRule="auto"/>
        <w:tabs>
          <w:tab w:leader="none" w:pos="22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103"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U.S. Holders should consult their tax advisers concerning the U.S. federal, state, local and non-U.S.</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tax consequences of owning and disposing of our common shares in their particular circumstances.</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58" w:lineRule="exact"/>
        <w:rPr>
          <w:sz w:val="20"/>
          <w:szCs w:val="20"/>
          <w:color w:val="auto"/>
        </w:rPr>
      </w:pPr>
    </w:p>
    <w:p>
      <w:pPr>
        <w:ind w:left="1260" w:right="419" w:firstLine="648"/>
        <w:spacing w:after="0" w:line="250" w:lineRule="auto"/>
        <w:rPr>
          <w:sz w:val="20"/>
          <w:szCs w:val="20"/>
          <w:color w:val="auto"/>
        </w:rPr>
      </w:pPr>
      <w:r>
        <w:rPr>
          <w:rFonts w:ascii="Arial" w:cs="Arial" w:eastAsia="Arial" w:hAnsi="Arial"/>
          <w:sz w:val="17"/>
          <w:szCs w:val="17"/>
          <w:color w:val="auto"/>
        </w:rPr>
        <w:t>As discussed above under “Dividend Policy” we have never paid or declared any cash dividends on our common shares, and we do not anticipate paying any cash dividends on our common shares in the foreseeable future. In the event that we do make distributions of cash or other property, subject to the passive foreign investment company rules described below, distributions paid on common shares, other than certain pro rata distributions of common shares,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For so long as our common shares are listed on the Nasdaq or another established securities market in the United States or we are eligible for benefits under the Treaty, dividends paid to certain non -corporate U.S. Holders may be eligible for taxation as “qualified dividend income” and therefore, subject to applicable limitations, taxable at rates not in excess of the long-term capital gain rate applicable to such U.S. Holders. U.S. Holders should consult their tax advisers regarding the availability of the reduced tax rate on dividends in their particular circumstances. The amount of a dividend will include any amounts withheld by us in respect of German income taxes. The amount of the dividend will be treated as foreign-source dividend income to U.S. Holders and will not be eligible for the dividends- received deduction generally available to U.S. corporations under the Code. Dividends will be included in a U.S. Holder’s income on the date of the U.S. Holder’s receipt of the dividend. The amount of any dividend income paid in euros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09" w:lineRule="exact"/>
        <w:rPr>
          <w:sz w:val="20"/>
          <w:szCs w:val="20"/>
          <w:color w:val="auto"/>
        </w:rPr>
      </w:pPr>
    </w:p>
    <w:p>
      <w:pPr>
        <w:ind w:left="1260" w:right="439" w:firstLine="648"/>
        <w:spacing w:after="0" w:line="270" w:lineRule="auto"/>
        <w:rPr>
          <w:sz w:val="20"/>
          <w:szCs w:val="20"/>
          <w:color w:val="auto"/>
        </w:rPr>
      </w:pPr>
      <w:r>
        <w:rPr>
          <w:rFonts w:ascii="Arial" w:cs="Arial" w:eastAsia="Arial" w:hAnsi="Arial"/>
          <w:sz w:val="17"/>
          <w:szCs w:val="17"/>
          <w:color w:val="auto"/>
        </w:rPr>
        <w:t>Subject to applicable limitations, some of which vary depending upon the U.S. Holder’s particular circumstances, German income taxes withheld from dividends on common shares at a rate not exceeding the rate provided by the Treaty will be creditable against the U.S. Holder’s U.S. federal income tax liability.</w:t>
      </w:r>
    </w:p>
    <w:p>
      <w:pPr>
        <w:spacing w:after="0" w:line="96" w:lineRule="exact"/>
        <w:rPr>
          <w:sz w:val="20"/>
          <w:szCs w:val="20"/>
          <w:color w:val="auto"/>
        </w:rPr>
      </w:pPr>
    </w:p>
    <w:p>
      <w:pPr>
        <w:ind w:left="1260" w:right="639" w:firstLine="648"/>
        <w:spacing w:after="0" w:line="255" w:lineRule="auto"/>
        <w:rPr>
          <w:sz w:val="20"/>
          <w:szCs w:val="20"/>
          <w:color w:val="auto"/>
        </w:rPr>
      </w:pPr>
      <w:r>
        <w:rPr>
          <w:rFonts w:ascii="Arial" w:cs="Arial" w:eastAsia="Arial" w:hAnsi="Arial"/>
          <w:sz w:val="17"/>
          <w:szCs w:val="17"/>
          <w:color w:val="auto"/>
        </w:rPr>
        <w:t>German taxes withheld in excess of the rate applicable under the Treaty will not be eligible for credit against a U.S. Holder’s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German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Sale or Other Disposition of Common Shares</w:t>
      </w:r>
    </w:p>
    <w:p>
      <w:pPr>
        <w:spacing w:after="0" w:line="144" w:lineRule="exact"/>
        <w:rPr>
          <w:sz w:val="20"/>
          <w:szCs w:val="20"/>
          <w:color w:val="auto"/>
        </w:rPr>
      </w:pPr>
    </w:p>
    <w:p>
      <w:pPr>
        <w:ind w:left="1260" w:right="419" w:firstLine="648"/>
        <w:spacing w:after="0" w:line="253" w:lineRule="auto"/>
        <w:rPr>
          <w:sz w:val="20"/>
          <w:szCs w:val="20"/>
          <w:color w:val="auto"/>
        </w:rPr>
      </w:pPr>
      <w:r>
        <w:rPr>
          <w:rFonts w:ascii="Arial" w:cs="Arial" w:eastAsia="Arial" w:hAnsi="Arial"/>
          <w:sz w:val="17"/>
          <w:szCs w:val="17"/>
          <w:color w:val="auto"/>
        </w:rPr>
        <w:t>Subject to the passive foreign investment company rules described below, gain or loss realized on the sale or other disposition of common shares will be capital gain or loss, and will be long- term capital gain or loss if the U.S. Holder held the common shares for more than one year. The amount of the gain or loss will equal the difference between the U.S. Holder’s tax basis in the common shares disposed of and the amount realized on the disposition, in each case as determined in U.S. dollars. This gain or loss will generally be U.S.- source gain or loss for foreign tax credit purposes. The deductibility of capital losses is subject to various limitations. The Treaty generally exempts a U.S. Holder from German tax on capital gains realized on the sale or other disposition of common shares and, accordingly, no such tax will be creditable against the U.S. Holder’s U.S. federal income tax liability.</w:t>
      </w:r>
    </w:p>
    <w:p>
      <w:pPr>
        <w:spacing w:after="0" w:line="37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303" w:name="page304"/>
    <w:bookmarkEnd w:id="30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58" w:lineRule="exact"/>
        <w:rPr>
          <w:sz w:val="20"/>
          <w:szCs w:val="20"/>
          <w:color w:val="auto"/>
        </w:rPr>
      </w:pPr>
    </w:p>
    <w:p>
      <w:pPr>
        <w:ind w:left="1260" w:right="459" w:firstLine="648"/>
        <w:spacing w:after="0" w:line="266" w:lineRule="auto"/>
        <w:rPr>
          <w:sz w:val="20"/>
          <w:szCs w:val="20"/>
          <w:color w:val="auto"/>
        </w:rPr>
      </w:pPr>
      <w:r>
        <w:rPr>
          <w:rFonts w:ascii="Arial" w:cs="Arial" w:eastAsia="Arial" w:hAnsi="Arial"/>
          <w:sz w:val="17"/>
          <w:szCs w:val="17"/>
          <w:color w:val="auto"/>
        </w:rPr>
        <w:t>Under the Code, we will generally be a PFIC for any taxable year in which, after the application of certain “look-through” rules with respect to subsidiaries, either (i) 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dividends, interest, rents, certain non-active royalties and capital gains. The value of a non-U.S. corporation’s goodwill that is associated with activities that produce, or are intended to produce, active income is generally an active asset for purposes of the asset test unless, for U.S. federal income tax purposes, the non-U.S. corporation is a “controlled foreign corporation,” or CFC, that is not publicly traded “for the taxable year.” If a non-U.S. corporation is a CFC that is not publicly traded for the taxable year, its PFIC status under the asset test is determined by using the U.S. tax basis of its assets rather than their fair market value and therefore the market value of its goodwill is generally disregarded. Generally, a non-U.S. corporation is a CFC if more than 50% of its shares’ voting power or value is owned, directly, indirectly or constructively, by “United States shareholders” (as defined in Section 951(b) of the Code). Although it is not certain, we may be or may have been a CFC in our 2020 taxable year. However, under the recently promulgated Treasury regulations, the fair market value of our assets (including goodwill) can be used for purposes of the asset test provided that (i) we are publicly traded on the majority of days during our taxable year or</w:t>
      </w:r>
    </w:p>
    <w:p>
      <w:pPr>
        <w:spacing w:after="0" w:line="2" w:lineRule="exact"/>
        <w:rPr>
          <w:sz w:val="20"/>
          <w:szCs w:val="20"/>
          <w:color w:val="auto"/>
        </w:rPr>
      </w:pPr>
    </w:p>
    <w:p>
      <w:pPr>
        <w:ind w:left="1260" w:right="719"/>
        <w:spacing w:after="0" w:line="255" w:lineRule="auto"/>
        <w:tabs>
          <w:tab w:leader="none" w:pos="1543"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we would not be a CFC if certain constructive ownership rules were not applied. We believe, and the remainder of this discussion assumes, that we are eligible to use the fair market value of our assets for purposes of the asset test, for our 2020 taxable year.</w:t>
      </w:r>
    </w:p>
    <w:p>
      <w:pPr>
        <w:spacing w:after="0" w:line="122" w:lineRule="exact"/>
        <w:rPr>
          <w:sz w:val="20"/>
          <w:szCs w:val="20"/>
          <w:color w:val="auto"/>
        </w:rPr>
      </w:pPr>
    </w:p>
    <w:p>
      <w:pPr>
        <w:ind w:left="1260" w:right="439" w:firstLine="648"/>
        <w:spacing w:after="0" w:line="267" w:lineRule="auto"/>
        <w:rPr>
          <w:sz w:val="20"/>
          <w:szCs w:val="20"/>
          <w:color w:val="auto"/>
        </w:rPr>
      </w:pPr>
      <w:r>
        <w:rPr>
          <w:rFonts w:ascii="Arial" w:cs="Arial" w:eastAsia="Arial" w:hAnsi="Arial"/>
          <w:sz w:val="17"/>
          <w:szCs w:val="17"/>
          <w:color w:val="auto"/>
        </w:rPr>
        <w:t>Based on the composition of our income and assets during 2020, we do not believe that we were a PFIC for our 2020 taxable year. However, PFIC status is a fact-intensive determination made on an annual basis after the end of each taxable year, and we have not yet determined our PFIC status for our 2020 taxable year or expected PFIC status for the current taxable year or any future taxable year. Whether we will be a PFIC in 2021 or any future year is uncertain because, among other things, (i) we currently own, and will own after the closing of this offering, a substantial amount of passive assets, including cash, (ii) the valuation of our assets that generate non-passive income for PFIC purposes, including our intangible assets, is uncertain and may vary substantially over time, (iii) the treatment of grants as income for U.S. federal income tax purposes is unclear, and (iv) the composition of our income may vary substantially over time. Accordingly, there can be no assurance that we will not be a PFIC in 2021 or any future taxable year. If we are a PFIC for any year during which a U.S. Holder holds common shares, we generally would continue to be treated as a PFIC with respect to that U.S. Holder for all succeeding years during which the U.S. Holder holds common shares, even if we ceased to meet the threshold requirements for PFIC status. In addition, we may, directly or indirectly, have held or hold equity interests in other PFICs, collectively referred to as Lower-Tier PFICs. Under attribution rules, if the we are a PFIC, U.S. Holders will be deemed to own their proportionate shares of the stock of Lower-Tier PFICs and will be subject to U.S. federal income tax according to the rules described in the following paragraphs on (i) certain distributions by a Lower-Tier PFIC and (ii) a disposition of shares of a Lower-Tier PFIC, in each case as if the U.S. Holder held such shares directly, even though holders have not received the proceeds of those distributions or dispositions directly. U.S. Holders should consult their tax advisors about the consequences to them of our investment in one or more Lower-Tier PFICs.</w:t>
      </w:r>
    </w:p>
    <w:p>
      <w:pPr>
        <w:spacing w:after="0" w:line="104" w:lineRule="exact"/>
        <w:rPr>
          <w:sz w:val="20"/>
          <w:szCs w:val="20"/>
          <w:color w:val="auto"/>
        </w:rPr>
      </w:pPr>
    </w:p>
    <w:p>
      <w:pPr>
        <w:ind w:left="1260" w:right="419" w:firstLine="648"/>
        <w:spacing w:after="0" w:line="270" w:lineRule="auto"/>
        <w:rPr>
          <w:sz w:val="20"/>
          <w:szCs w:val="20"/>
          <w:color w:val="auto"/>
        </w:rPr>
      </w:pPr>
      <w:r>
        <w:rPr>
          <w:rFonts w:ascii="Arial" w:cs="Arial" w:eastAsia="Arial" w:hAnsi="Arial"/>
          <w:sz w:val="17"/>
          <w:szCs w:val="17"/>
          <w:color w:val="auto"/>
        </w:rPr>
        <w:t>If we were a PFIC for any taxable year during which a U.S. Holder held common shares (assuming such U.S. Holder has not made a timely mark-to-market election, as described below), gain recognized by a U.S. Holder on a sale or other disposition (including certain pledges) of the common shares would be allocated ratably over the U.S. Holder’s holding period for the common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on its common shares exceeds 125% of the average of the annual distributions on</w:t>
      </w:r>
    </w:p>
    <w:p>
      <w:pPr>
        <w:sectPr>
          <w:pgSz w:w="11900" w:h="16838" w:orient="portrait"/>
          <w:cols w:equalWidth="0" w:num="1">
            <w:col w:w="9879"/>
          </w:cols>
          <w:pgMar w:left="580" w:top="132"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304" w:name="page305"/>
    <w:bookmarkEnd w:id="30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48" w:lineRule="auto"/>
        <w:rPr>
          <w:sz w:val="20"/>
          <w:szCs w:val="20"/>
          <w:color w:val="auto"/>
        </w:rPr>
      </w:pPr>
      <w:r>
        <w:rPr>
          <w:rFonts w:ascii="Arial" w:cs="Arial" w:eastAsia="Arial" w:hAnsi="Arial"/>
          <w:sz w:val="18"/>
          <w:szCs w:val="18"/>
          <w:color w:val="auto"/>
        </w:rPr>
        <w:t>the common shares received during the preceding three years or the U.S. Holder’s holding period, whichever is shorter, that distribution would be subject to taxation in the same manner as gain, described immediately above.</w:t>
      </w:r>
    </w:p>
    <w:p>
      <w:pPr>
        <w:spacing w:after="0" w:line="114" w:lineRule="exact"/>
        <w:rPr>
          <w:sz w:val="20"/>
          <w:szCs w:val="20"/>
          <w:color w:val="auto"/>
        </w:rPr>
      </w:pPr>
    </w:p>
    <w:p>
      <w:pPr>
        <w:ind w:left="1260" w:right="439" w:firstLine="648"/>
        <w:spacing w:after="0" w:line="251" w:lineRule="auto"/>
        <w:tabs>
          <w:tab w:leader="none" w:pos="209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U.S. Holder can avoid certain of the adverse rules described above by making a mark-to-market election with respect to its common shares, provided that the common shares are “marketable.” Common shares will be marketable if they are “regularly traded” on a “qualified exchange” or other market within the meaning of applicable Treasury regulations. If a U.S. Holder makes the mark-to-market election, it generally will recognize as ordinary income any excess of the fair market value of the common shares at the end of each taxable year over their adjusted tax basis, and will recognize an ordinary loss in respect of any excess of the adjusted tax basis of the common shares over their fair market value at the end of the taxable year (but only to the extent of the net amount of income previously included as a result of the mark-to-market election). If a U.S. Holder makes the election, the U.S. Holder’s tax basis in our common shares will be adjusted to reflect the income or loss amounts recognized. Any gain recognized on the sale or other disposition of common shares in a year when we are a PFIC will be treated as ordinary income and any loss will be treated as an ordinary loss (but only to the extent of the net amount of income previously included as a result of the mark-to-market election). A mark-to-market election generally cannot be made for equity interests in any Lower-Tier PFIC unless shares of such Lower-Tier PFIC are themselves “marketable.” As a result, if a U.S. Holder makes a mark-to-market election with respect to our common shares, the U.S. Holder would nevertheless be subject to the PFIC rules described above with respect to its indirect interest in any Lower-Tier PFIC unless the U.S. Holder makes a QEF Election with respect to such Lower-Tier PFIC, as discussed below.</w:t>
      </w:r>
    </w:p>
    <w:p>
      <w:pPr>
        <w:spacing w:after="0" w:line="114" w:lineRule="exact"/>
        <w:rPr>
          <w:sz w:val="20"/>
          <w:szCs w:val="20"/>
          <w:color w:val="auto"/>
        </w:rPr>
      </w:pPr>
    </w:p>
    <w:p>
      <w:pPr>
        <w:ind w:left="1260" w:right="479" w:firstLine="648"/>
        <w:spacing w:after="0" w:line="237" w:lineRule="auto"/>
        <w:rPr>
          <w:sz w:val="20"/>
          <w:szCs w:val="20"/>
          <w:color w:val="auto"/>
        </w:rPr>
      </w:pPr>
      <w:r>
        <w:rPr>
          <w:rFonts w:ascii="Arial" w:cs="Arial" w:eastAsia="Arial" w:hAnsi="Arial"/>
          <w:sz w:val="18"/>
          <w:szCs w:val="18"/>
          <w:color w:val="auto"/>
        </w:rPr>
        <w:t>In addition, in order to avoid the application of the foregoing rules, a U.S. Holder that owns stock in a PFIC for U.S. federal income tax purposes may make a QEF Election with respect to such PFIC if the PFIC provides the information necessary for such election to be made. If a U.S. Holder makes a QEF Election with respect to a PFIC, the U.S. Holder will be currently taxable on its pro rata share of the PFIC’s ordinary earnings and net capital gain (at ordinary income and capital gain rates, respectively) for each taxable year that the entity is classified as a PFIC and will not be required to include such amounts in income when actually distributed by the PFIC. There is no assurance that we will provide information necessary for U.S. Holders to make QEF Elections. A QEF Election with respect to us will not apply to any Lower-tier PFIC. If we determine that any of our subsidiaries is a Lower- Tier PFIC for any taxable year, there is no assurance that we will provide information necessary for U.S. Holders to make a QEF Election with respect to such Lower-Tier PFIC.</w:t>
      </w:r>
    </w:p>
    <w:p>
      <w:pPr>
        <w:spacing w:after="0" w:line="114" w:lineRule="exact"/>
        <w:rPr>
          <w:sz w:val="20"/>
          <w:szCs w:val="20"/>
          <w:color w:val="auto"/>
        </w:rPr>
      </w:pPr>
    </w:p>
    <w:p>
      <w:pPr>
        <w:ind w:left="1260" w:right="479" w:firstLine="648"/>
        <w:spacing w:after="0" w:line="286" w:lineRule="auto"/>
        <w:rPr>
          <w:sz w:val="20"/>
          <w:szCs w:val="20"/>
          <w:color w:val="auto"/>
        </w:rPr>
      </w:pPr>
      <w:r>
        <w:rPr>
          <w:rFonts w:ascii="Arial" w:cs="Arial" w:eastAsia="Arial" w:hAnsi="Arial"/>
          <w:sz w:val="17"/>
          <w:szCs w:val="17"/>
          <w:color w:val="auto"/>
        </w:rPr>
        <w:t>In addition, if we were a PFIC or, with respect to a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98" w:lineRule="exact"/>
        <w:rPr>
          <w:sz w:val="20"/>
          <w:szCs w:val="20"/>
          <w:color w:val="auto"/>
        </w:rPr>
      </w:pPr>
    </w:p>
    <w:p>
      <w:pPr>
        <w:ind w:left="1260" w:right="579" w:firstLine="648"/>
        <w:spacing w:after="0" w:line="259" w:lineRule="auto"/>
        <w:rPr>
          <w:sz w:val="20"/>
          <w:szCs w:val="20"/>
          <w:color w:val="auto"/>
        </w:rPr>
      </w:pPr>
      <w:r>
        <w:rPr>
          <w:rFonts w:ascii="Arial" w:cs="Arial" w:eastAsia="Arial" w:hAnsi="Arial"/>
          <w:sz w:val="18"/>
          <w:szCs w:val="18"/>
          <w:color w:val="auto"/>
        </w:rPr>
        <w:t>If a U.S. Holder owns common shares during any year in which we are a PFIC, the U.S. Holder generally must file annual reports, containing such information as the U.S. Treasury may require on IRS Form 8621 (or any successor form) with respect to us, generally with the U.S. Holder’s federal income tax return for that year.</w:t>
      </w:r>
    </w:p>
    <w:p>
      <w:pPr>
        <w:spacing w:after="0" w:line="119" w:lineRule="exact"/>
        <w:rPr>
          <w:sz w:val="20"/>
          <w:szCs w:val="20"/>
          <w:color w:val="auto"/>
        </w:rPr>
      </w:pPr>
    </w:p>
    <w:p>
      <w:pPr>
        <w:ind w:left="1260" w:right="1099" w:firstLine="648"/>
        <w:spacing w:after="0" w:line="277" w:lineRule="auto"/>
        <w:rPr>
          <w:sz w:val="20"/>
          <w:szCs w:val="20"/>
          <w:color w:val="auto"/>
        </w:rPr>
      </w:pPr>
      <w:r>
        <w:rPr>
          <w:rFonts w:ascii="Arial" w:cs="Arial" w:eastAsia="Arial" w:hAnsi="Arial"/>
          <w:sz w:val="18"/>
          <w:szCs w:val="18"/>
          <w:color w:val="auto"/>
        </w:rPr>
        <w:t>U.S. Holders should consult their tax advisers concerning our potential PFIC status and the potential application of the PFIC rules.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44" w:lineRule="exact"/>
        <w:rPr>
          <w:sz w:val="20"/>
          <w:szCs w:val="20"/>
          <w:color w:val="auto"/>
        </w:rPr>
      </w:pPr>
    </w:p>
    <w:p>
      <w:pPr>
        <w:ind w:left="1260" w:right="479" w:firstLine="648"/>
        <w:spacing w:after="0" w:line="257" w:lineRule="auto"/>
        <w:rPr>
          <w:sz w:val="20"/>
          <w:szCs w:val="20"/>
          <w:color w:val="auto"/>
        </w:rPr>
      </w:pPr>
      <w:r>
        <w:rPr>
          <w:rFonts w:ascii="Arial" w:cs="Arial" w:eastAsia="Arial" w:hAnsi="Arial"/>
          <w:sz w:val="18"/>
          <w:szCs w:val="18"/>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20" w:lineRule="exact"/>
        <w:rPr>
          <w:sz w:val="20"/>
          <w:szCs w:val="20"/>
          <w:color w:val="auto"/>
        </w:rPr>
      </w:pPr>
    </w:p>
    <w:p>
      <w:pPr>
        <w:ind w:left="1260" w:right="459" w:firstLine="648"/>
        <w:spacing w:after="0" w:line="263" w:lineRule="auto"/>
        <w:rPr>
          <w:sz w:val="20"/>
          <w:szCs w:val="20"/>
          <w:color w:val="auto"/>
        </w:rPr>
      </w:pPr>
      <w:r>
        <w:rPr>
          <w:rFonts w:ascii="Arial" w:cs="Arial" w:eastAsia="Arial" w:hAnsi="Arial"/>
          <w:sz w:val="18"/>
          <w:szCs w:val="18"/>
          <w:color w:val="auto"/>
        </w:rPr>
        <w:t>The amount of any backup withholding from a payment to a U.S. Holder will be allowed as a credit against the U.S. Holder’s U.S. federal income tax liability and may entitle it to a refund, provided that the required information is timely furnished to the IRS.</w:t>
      </w: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05" w:name="page306"/>
    <w:bookmarkEnd w:id="30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UNDERWRITING</w:t>
      </w:r>
    </w:p>
    <w:p>
      <w:pPr>
        <w:spacing w:after="0" w:line="162" w:lineRule="exact"/>
        <w:rPr>
          <w:sz w:val="20"/>
          <w:szCs w:val="20"/>
          <w:color w:val="auto"/>
        </w:rPr>
      </w:pPr>
    </w:p>
    <w:p>
      <w:pPr>
        <w:ind w:left="1260" w:right="539" w:firstLine="648"/>
        <w:spacing w:after="0" w:line="301" w:lineRule="auto"/>
        <w:rPr>
          <w:sz w:val="20"/>
          <w:szCs w:val="20"/>
          <w:color w:val="auto"/>
        </w:rPr>
      </w:pPr>
      <w:r>
        <w:rPr>
          <w:rFonts w:ascii="Arial" w:cs="Arial" w:eastAsia="Arial" w:hAnsi="Arial"/>
          <w:sz w:val="16"/>
          <w:szCs w:val="16"/>
          <w:color w:val="auto"/>
        </w:rPr>
        <w:t>BofA Securities, Inc. and Jefferies LLC are acting as representatives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common shares set forth opposite its name below.</w:t>
      </w:r>
    </w:p>
    <w:p>
      <w:pPr>
        <w:spacing w:after="0" w:line="10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b w:val="1"/>
                <w:bCs w:val="1"/>
                <w:color w:val="auto"/>
              </w:rPr>
              <w:t>Number</w:t>
            </w:r>
          </w:p>
        </w:tc>
      </w:tr>
      <w:tr>
        <w:trPr>
          <w:trHeight w:val="186"/>
        </w:trPr>
        <w:tc>
          <w:tcPr>
            <w:tcW w:w="676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720" w:type="dxa"/>
            <w:vAlign w:val="bottom"/>
          </w:tcPr>
          <w:p>
            <w:pPr>
              <w:ind w:left="80"/>
              <w:spacing w:after="0"/>
              <w:rPr>
                <w:sz w:val="20"/>
                <w:szCs w:val="20"/>
                <w:color w:val="auto"/>
              </w:rPr>
            </w:pPr>
            <w:r>
              <w:rPr>
                <w:rFonts w:ascii="Arial" w:cs="Arial" w:eastAsia="Arial" w:hAnsi="Arial"/>
                <w:sz w:val="14"/>
                <w:szCs w:val="14"/>
                <w:b w:val="1"/>
                <w:bCs w:val="1"/>
                <w:color w:val="auto"/>
                <w:w w:val="97"/>
              </w:rPr>
              <w:t>of Shares</w:t>
            </w:r>
          </w:p>
        </w:tc>
      </w:tr>
      <w:tr>
        <w:trPr>
          <w:trHeight w:val="26"/>
        </w:trPr>
        <w:tc>
          <w:tcPr>
            <w:tcW w:w="6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BofA Securities, Inc.</w:t>
            </w:r>
          </w:p>
        </w:tc>
        <w:tc>
          <w:tcPr>
            <w:tcW w:w="720" w:type="dxa"/>
            <w:vAlign w:val="bottom"/>
            <w:shd w:val="clear" w:color="auto" w:fill="CCEEFF"/>
          </w:tcPr>
          <w:p>
            <w:pPr>
              <w:spacing w:after="0"/>
              <w:rPr>
                <w:sz w:val="21"/>
                <w:szCs w:val="21"/>
                <w:color w:val="auto"/>
              </w:rPr>
            </w:pPr>
          </w:p>
        </w:tc>
      </w:tr>
      <w:tr>
        <w:trPr>
          <w:trHeight w:val="257"/>
        </w:trPr>
        <w:tc>
          <w:tcPr>
            <w:tcW w:w="6760" w:type="dxa"/>
            <w:vAlign w:val="bottom"/>
            <w:gridSpan w:val="3"/>
          </w:tcPr>
          <w:p>
            <w:pPr>
              <w:spacing w:after="0"/>
              <w:rPr>
                <w:sz w:val="20"/>
                <w:szCs w:val="20"/>
                <w:color w:val="auto"/>
              </w:rPr>
            </w:pPr>
            <w:r>
              <w:rPr>
                <w:rFonts w:ascii="Arial" w:cs="Arial" w:eastAsia="Arial" w:hAnsi="Arial"/>
                <w:sz w:val="18"/>
                <w:szCs w:val="18"/>
                <w:color w:val="auto"/>
              </w:rPr>
              <w:t>Jefferies LLC</w:t>
            </w:r>
          </w:p>
        </w:tc>
        <w:tc>
          <w:tcPr>
            <w:tcW w:w="720" w:type="dxa"/>
            <w:vAlign w:val="bottom"/>
          </w:tcPr>
          <w:p>
            <w:pPr>
              <w:spacing w:after="0"/>
              <w:rPr>
                <w:sz w:val="22"/>
                <w:szCs w:val="22"/>
                <w:color w:val="auto"/>
              </w:rPr>
            </w:pPr>
          </w:p>
        </w:tc>
      </w:tr>
      <w:tr>
        <w:trPr>
          <w:trHeight w:val="257"/>
        </w:trPr>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Evercore Group L.L.C.</w:t>
            </w:r>
          </w:p>
        </w:tc>
        <w:tc>
          <w:tcPr>
            <w:tcW w:w="720" w:type="dxa"/>
            <w:vAlign w:val="bottom"/>
            <w:shd w:val="clear" w:color="auto" w:fill="CCEEFF"/>
          </w:tcPr>
          <w:p>
            <w:pPr>
              <w:spacing w:after="0"/>
              <w:rPr>
                <w:sz w:val="22"/>
                <w:szCs w:val="22"/>
                <w:color w:val="auto"/>
              </w:rPr>
            </w:pPr>
          </w:p>
        </w:tc>
      </w:tr>
      <w:tr>
        <w:trPr>
          <w:trHeight w:val="256"/>
        </w:trPr>
        <w:tc>
          <w:tcPr>
            <w:tcW w:w="6760" w:type="dxa"/>
            <w:vAlign w:val="bottom"/>
            <w:gridSpan w:val="3"/>
          </w:tcPr>
          <w:p>
            <w:pPr>
              <w:spacing w:after="0"/>
              <w:rPr>
                <w:sz w:val="20"/>
                <w:szCs w:val="20"/>
                <w:color w:val="auto"/>
              </w:rPr>
            </w:pPr>
            <w:r>
              <w:rPr>
                <w:rFonts w:ascii="Arial" w:cs="Arial" w:eastAsia="Arial" w:hAnsi="Arial"/>
                <w:sz w:val="18"/>
                <w:szCs w:val="18"/>
                <w:color w:val="auto"/>
              </w:rPr>
              <w:t>UBS Securities LLC</w:t>
            </w:r>
          </w:p>
        </w:tc>
        <w:tc>
          <w:tcPr>
            <w:tcW w:w="720" w:type="dxa"/>
            <w:vAlign w:val="bottom"/>
          </w:tcPr>
          <w:p>
            <w:pPr>
              <w:spacing w:after="0"/>
              <w:rPr>
                <w:sz w:val="22"/>
                <w:szCs w:val="22"/>
                <w:color w:val="auto"/>
              </w:rPr>
            </w:pPr>
          </w:p>
        </w:tc>
      </w:tr>
      <w:tr>
        <w:trPr>
          <w:trHeight w:val="257"/>
        </w:trPr>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Guggenheim Securities, LLC</w:t>
            </w:r>
          </w:p>
        </w:tc>
        <w:tc>
          <w:tcPr>
            <w:tcW w:w="720" w:type="dxa"/>
            <w:vAlign w:val="bottom"/>
            <w:shd w:val="clear" w:color="auto" w:fill="CCEEFF"/>
          </w:tcPr>
          <w:p>
            <w:pPr>
              <w:spacing w:after="0"/>
              <w:rPr>
                <w:sz w:val="22"/>
                <w:szCs w:val="22"/>
                <w:color w:val="auto"/>
              </w:rPr>
            </w:pPr>
          </w:p>
        </w:tc>
      </w:tr>
      <w:tr>
        <w:trPr>
          <w:trHeight w:val="257"/>
        </w:trPr>
        <w:tc>
          <w:tcPr>
            <w:tcW w:w="6760" w:type="dxa"/>
            <w:vAlign w:val="bottom"/>
            <w:gridSpan w:val="3"/>
          </w:tcPr>
          <w:p>
            <w:pPr>
              <w:spacing w:after="0"/>
              <w:rPr>
                <w:sz w:val="20"/>
                <w:szCs w:val="20"/>
                <w:color w:val="auto"/>
              </w:rPr>
            </w:pPr>
            <w:r>
              <w:rPr>
                <w:rFonts w:ascii="Arial" w:cs="Arial" w:eastAsia="Arial" w:hAnsi="Arial"/>
                <w:sz w:val="18"/>
                <w:szCs w:val="18"/>
                <w:color w:val="auto"/>
              </w:rPr>
              <w:t>Berenberg Capital Markets LLC</w:t>
            </w:r>
          </w:p>
        </w:tc>
        <w:tc>
          <w:tcPr>
            <w:tcW w:w="720" w:type="dxa"/>
            <w:vAlign w:val="bottom"/>
          </w:tcPr>
          <w:p>
            <w:pPr>
              <w:spacing w:after="0"/>
              <w:rPr>
                <w:sz w:val="22"/>
                <w:szCs w:val="22"/>
                <w:color w:val="auto"/>
              </w:rPr>
            </w:pPr>
          </w:p>
        </w:tc>
      </w:tr>
      <w:tr>
        <w:trPr>
          <w:trHeight w:val="263"/>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Kempen &amp; Co U.S.A., Inc.</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r>
      <w:tr>
        <w:trPr>
          <w:trHeight w:val="263"/>
        </w:trPr>
        <w:tc>
          <w:tcPr>
            <w:tcW w:w="6760" w:type="dxa"/>
            <w:vAlign w:val="bottom"/>
            <w:gridSpan w:val="3"/>
          </w:tcPr>
          <w:p>
            <w:pPr>
              <w:ind w:left="18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5,000,000</w:t>
            </w:r>
          </w:p>
        </w:tc>
      </w:tr>
      <w:tr>
        <w:trPr>
          <w:trHeight w:val="20"/>
        </w:trPr>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5172075</wp:posOffset>
            </wp:positionH>
            <wp:positionV relativeFrom="paragraph">
              <wp:posOffset>-1362710</wp:posOffset>
            </wp:positionV>
            <wp:extent cx="13716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9" w:lineRule="exact"/>
        <w:rPr>
          <w:sz w:val="20"/>
          <w:szCs w:val="20"/>
          <w:color w:val="auto"/>
        </w:rPr>
      </w:pPr>
    </w:p>
    <w:p>
      <w:pPr>
        <w:ind w:left="1260" w:right="539" w:firstLine="648"/>
        <w:spacing w:after="0" w:line="257" w:lineRule="auto"/>
        <w:rPr>
          <w:sz w:val="20"/>
          <w:szCs w:val="20"/>
          <w:color w:val="auto"/>
        </w:rPr>
      </w:pPr>
      <w:r>
        <w:rPr>
          <w:rFonts w:ascii="Arial" w:cs="Arial" w:eastAsia="Arial" w:hAnsi="Arial"/>
          <w:sz w:val="18"/>
          <w:szCs w:val="18"/>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20" w:lineRule="exact"/>
        <w:rPr>
          <w:sz w:val="20"/>
          <w:szCs w:val="20"/>
          <w:color w:val="auto"/>
        </w:rPr>
      </w:pPr>
    </w:p>
    <w:p>
      <w:pPr>
        <w:ind w:left="1260" w:right="419" w:firstLine="648"/>
        <w:spacing w:after="0" w:line="263"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16" w:lineRule="exact"/>
        <w:rPr>
          <w:sz w:val="20"/>
          <w:szCs w:val="20"/>
          <w:color w:val="auto"/>
        </w:rPr>
      </w:pPr>
    </w:p>
    <w:p>
      <w:pPr>
        <w:ind w:left="1260" w:right="519" w:firstLine="648"/>
        <w:spacing w:after="0" w:line="257"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Commissions and Discounts</w:t>
      </w:r>
    </w:p>
    <w:p>
      <w:pPr>
        <w:spacing w:after="0" w:line="148" w:lineRule="exact"/>
        <w:rPr>
          <w:sz w:val="20"/>
          <w:szCs w:val="20"/>
          <w:color w:val="auto"/>
        </w:rPr>
      </w:pPr>
    </w:p>
    <w:p>
      <w:pPr>
        <w:ind w:left="1260" w:right="479" w:firstLine="648"/>
        <w:spacing w:after="0" w:line="274" w:lineRule="auto"/>
        <w:rPr>
          <w:sz w:val="20"/>
          <w:szCs w:val="20"/>
          <w:color w:val="auto"/>
        </w:rPr>
      </w:pPr>
      <w:r>
        <w:rPr>
          <w:rFonts w:ascii="Arial" w:cs="Arial" w:eastAsia="Arial" w:hAnsi="Arial"/>
          <w:sz w:val="17"/>
          <w:szCs w:val="17"/>
          <w:color w:val="auto"/>
        </w:rPr>
        <w:t>The representatives have advised us that the underwriters propose initially to offer the shares to the public at the public offering price set forth on the cover page of this prospectus and to dealers at that price</w:t>
      </w:r>
    </w:p>
    <w:p>
      <w:pPr>
        <w:ind w:left="1260" w:right="619"/>
        <w:spacing w:after="0" w:line="255" w:lineRule="auto"/>
        <w:rPr>
          <w:sz w:val="20"/>
          <w:szCs w:val="20"/>
          <w:color w:val="auto"/>
        </w:rPr>
      </w:pPr>
      <w:r>
        <w:rPr>
          <w:rFonts w:ascii="Arial" w:cs="Arial" w:eastAsia="Arial" w:hAnsi="Arial"/>
          <w:sz w:val="18"/>
          <w:szCs w:val="18"/>
          <w:color w:val="auto"/>
        </w:rPr>
        <w:t>less a concession not in excess of $ per share. After the initial offering, the public offering price, concession or any other term of the offering may be changed. Sales of shares may be made through one or more affiliates or selling agents of the underwriters.</w:t>
      </w:r>
    </w:p>
    <w:p>
      <w:pPr>
        <w:spacing w:after="0" w:line="122" w:lineRule="exact"/>
        <w:rPr>
          <w:sz w:val="20"/>
          <w:szCs w:val="20"/>
          <w:color w:val="auto"/>
        </w:rPr>
      </w:pPr>
    </w:p>
    <w:p>
      <w:pPr>
        <w:jc w:val="both"/>
        <w:ind w:left="1260" w:right="759" w:firstLine="648"/>
        <w:spacing w:after="0" w:line="263"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The information assumes either no exercise or full exercise by the underwriters of their option to purchase additional shares.</w:t>
      </w:r>
    </w:p>
    <w:p>
      <w:pPr>
        <w:spacing w:after="0" w:line="121"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Per Share</w:t>
            </w: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Without Option</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90"/>
              </w:rPr>
              <w:t>With Option</w:t>
            </w:r>
          </w:p>
        </w:tc>
      </w:tr>
      <w:tr>
        <w:trPr>
          <w:trHeight w:val="25"/>
        </w:trPr>
        <w:tc>
          <w:tcPr>
            <w:tcW w:w="47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w:t>
            </w:r>
          </w:p>
        </w:tc>
      </w:tr>
      <w:tr>
        <w:trPr>
          <w:trHeight w:val="257"/>
        </w:trPr>
        <w:tc>
          <w:tcPr>
            <w:tcW w:w="4720" w:type="dxa"/>
            <w:vAlign w:val="bottom"/>
          </w:tcPr>
          <w:p>
            <w:pPr>
              <w:spacing w:after="0"/>
              <w:rPr>
                <w:sz w:val="20"/>
                <w:szCs w:val="20"/>
                <w:color w:val="auto"/>
              </w:rPr>
            </w:pPr>
            <w:r>
              <w:rPr>
                <w:rFonts w:ascii="Arial" w:cs="Arial" w:eastAsia="Arial" w:hAnsi="Arial"/>
                <w:sz w:val="18"/>
                <w:szCs w:val="18"/>
                <w:color w:val="auto"/>
              </w:rPr>
              <w:t>Underwriting discount</w:t>
            </w: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960" w:type="dxa"/>
            <w:vAlign w:val="bottom"/>
          </w:tcPr>
          <w:p>
            <w:pPr>
              <w:jc w:val="right"/>
              <w:ind w:right="59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760" w:type="dxa"/>
            <w:vAlign w:val="bottom"/>
          </w:tcPr>
          <w:p>
            <w:pPr>
              <w:jc w:val="right"/>
              <w:ind w:right="495"/>
              <w:spacing w:after="0"/>
              <w:rPr>
                <w:sz w:val="20"/>
                <w:szCs w:val="20"/>
                <w:color w:val="auto"/>
              </w:rPr>
            </w:pPr>
            <w:r>
              <w:rPr>
                <w:rFonts w:ascii="Arial" w:cs="Arial" w:eastAsia="Arial" w:hAnsi="Arial"/>
                <w:sz w:val="18"/>
                <w:szCs w:val="18"/>
                <w:color w:val="auto"/>
              </w:rPr>
              <w:t>$</w:t>
            </w:r>
          </w:p>
        </w:tc>
      </w:tr>
      <w:tr>
        <w:trPr>
          <w:trHeight w:val="25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5154930</wp:posOffset>
            </wp:positionH>
            <wp:positionV relativeFrom="paragraph">
              <wp:posOffset>-496570</wp:posOffset>
            </wp:positionV>
            <wp:extent cx="13716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-496570</wp:posOffset>
            </wp:positionV>
            <wp:extent cx="351472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514725" cy="8890"/>
                    </a:xfrm>
                    <a:prstGeom prst="rect">
                      <a:avLst/>
                    </a:prstGeom>
                    <a:noFill/>
                  </pic:spPr>
                </pic:pic>
              </a:graphicData>
            </a:graphic>
          </wp:anchor>
        </w:drawing>
      </w:r>
    </w:p>
    <w:p>
      <w:pPr>
        <w:spacing w:after="0" w:line="128" w:lineRule="exact"/>
        <w:rPr>
          <w:sz w:val="20"/>
          <w:szCs w:val="20"/>
          <w:color w:val="auto"/>
        </w:rPr>
      </w:pPr>
    </w:p>
    <w:p>
      <w:pPr>
        <w:ind w:left="1260" w:right="699" w:firstLine="648"/>
        <w:spacing w:after="0" w:line="263" w:lineRule="auto"/>
        <w:rPr>
          <w:sz w:val="20"/>
          <w:szCs w:val="20"/>
          <w:color w:val="auto"/>
        </w:rPr>
      </w:pPr>
      <w:r>
        <w:rPr>
          <w:rFonts w:ascii="Arial" w:cs="Arial" w:eastAsia="Arial" w:hAnsi="Arial"/>
          <w:sz w:val="18"/>
          <w:szCs w:val="18"/>
          <w:color w:val="auto"/>
        </w:rPr>
        <w:t>The expenses of the offering, not including the underwriting discount, are estimated at approximately $1.1 million and are payable by us. We have also agreed to reimburse the underwriters for certain of their expenses in an amount up to $25,000.</w:t>
      </w: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06" w:name="page307"/>
    <w:bookmarkEnd w:id="30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62" w:lineRule="exact"/>
        <w:rPr>
          <w:sz w:val="20"/>
          <w:szCs w:val="20"/>
          <w:color w:val="auto"/>
        </w:rPr>
      </w:pPr>
    </w:p>
    <w:p>
      <w:pPr>
        <w:ind w:left="1260" w:right="559" w:firstLine="648"/>
        <w:spacing w:after="0" w:line="241" w:lineRule="auto"/>
        <w:rPr>
          <w:sz w:val="20"/>
          <w:szCs w:val="20"/>
          <w:color w:val="auto"/>
        </w:rPr>
      </w:pPr>
      <w:r>
        <w:rPr>
          <w:rFonts w:ascii="Arial" w:cs="Arial" w:eastAsia="Arial" w:hAnsi="Arial"/>
          <w:sz w:val="18"/>
          <w:szCs w:val="18"/>
          <w:color w:val="auto"/>
        </w:rPr>
        <w:t>We have granted an option to the underwriters, exercisable for 30 days after the date of this prospectus, to purchase up to 750,000 additional shares at the public offering price, less the underwriting discount.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 Sales of Similar Securities</w:t>
      </w:r>
    </w:p>
    <w:p>
      <w:pPr>
        <w:spacing w:after="0" w:line="162" w:lineRule="exact"/>
        <w:rPr>
          <w:sz w:val="20"/>
          <w:szCs w:val="20"/>
          <w:color w:val="auto"/>
        </w:rPr>
      </w:pPr>
    </w:p>
    <w:p>
      <w:pPr>
        <w:ind w:left="1260" w:right="439" w:firstLine="648"/>
        <w:spacing w:after="0" w:line="241" w:lineRule="auto"/>
        <w:rPr>
          <w:sz w:val="20"/>
          <w:szCs w:val="20"/>
          <w:color w:val="auto"/>
        </w:rPr>
      </w:pPr>
      <w:r>
        <w:rPr>
          <w:rFonts w:ascii="Arial" w:cs="Arial" w:eastAsia="Arial" w:hAnsi="Arial"/>
          <w:sz w:val="18"/>
          <w:szCs w:val="18"/>
          <w:color w:val="auto"/>
        </w:rPr>
        <w:t>Our executive officers and substantially all of our directors and our other existing security holders have agreed not to sell or transfer any common shares or securities convertible into, exchangeable for, exercisable for, or repayable with common shares, until the end of February 9, 2021 without first obtaining the written consent of BofA Securities, Inc and Jefferies LLC. Specifically, these other persons have agreed, with certain limited exceptions, not to directly or indirectly:</w:t>
      </w:r>
    </w:p>
    <w:p>
      <w:pPr>
        <w:spacing w:after="0" w:line="68" w:lineRule="exact"/>
        <w:rPr>
          <w:sz w:val="20"/>
          <w:szCs w:val="20"/>
          <w:color w:val="auto"/>
        </w:rPr>
      </w:pPr>
    </w:p>
    <w:p>
      <w:pPr>
        <w:ind w:left="2260" w:hanging="352"/>
        <w:spacing w:after="0"/>
        <w:tabs>
          <w:tab w:leader="none" w:pos="22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shares,</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shares,</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shares,</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shares,</w:t>
      </w:r>
    </w:p>
    <w:p>
      <w:pPr>
        <w:spacing w:after="0" w:line="103" w:lineRule="exact"/>
        <w:rPr>
          <w:rFonts w:ascii="Arial" w:cs="Arial" w:eastAsia="Arial" w:hAnsi="Arial"/>
          <w:sz w:val="18"/>
          <w:szCs w:val="18"/>
          <w:color w:val="auto"/>
        </w:rPr>
      </w:pPr>
    </w:p>
    <w:p>
      <w:pPr>
        <w:ind w:left="2260" w:hanging="352"/>
        <w:spacing w:after="0"/>
        <w:tabs>
          <w:tab w:leader="none" w:pos="22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shares,</w:t>
      </w:r>
    </w:p>
    <w:p>
      <w:pPr>
        <w:spacing w:after="0" w:line="117" w:lineRule="exact"/>
        <w:rPr>
          <w:rFonts w:ascii="Arial" w:cs="Arial" w:eastAsia="Arial" w:hAnsi="Arial"/>
          <w:sz w:val="18"/>
          <w:szCs w:val="18"/>
          <w:color w:val="auto"/>
        </w:rPr>
      </w:pPr>
    </w:p>
    <w:p>
      <w:pPr>
        <w:ind w:left="2260" w:right="659" w:hanging="352"/>
        <w:spacing w:after="0" w:line="277" w:lineRule="auto"/>
        <w:tabs>
          <w:tab w:leader="none" w:pos="22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request or demand that we file or make a confidential submission of a registration statement related to the common shares, or</w:t>
      </w:r>
    </w:p>
    <w:p>
      <w:pPr>
        <w:spacing w:after="0" w:line="62" w:lineRule="exact"/>
        <w:rPr>
          <w:rFonts w:ascii="Arial" w:cs="Arial" w:eastAsia="Arial" w:hAnsi="Arial"/>
          <w:sz w:val="18"/>
          <w:szCs w:val="18"/>
          <w:color w:val="auto"/>
        </w:rPr>
      </w:pPr>
    </w:p>
    <w:p>
      <w:pPr>
        <w:ind w:left="2260" w:right="619" w:hanging="352"/>
        <w:spacing w:after="0" w:line="286" w:lineRule="auto"/>
        <w:tabs>
          <w:tab w:leader="none" w:pos="226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enter into any swap or other agreement that transfers, in whole or in part, the economic consequence of ownership of any common shares whether any such swap or transaction is to be settled by delivery of shares or other securities, in cash or otherwise.</w:t>
      </w:r>
    </w:p>
    <w:p>
      <w:pPr>
        <w:spacing w:after="0" w:line="84" w:lineRule="exact"/>
        <w:rPr>
          <w:sz w:val="20"/>
          <w:szCs w:val="20"/>
          <w:color w:val="auto"/>
        </w:rPr>
      </w:pPr>
    </w:p>
    <w:p>
      <w:pPr>
        <w:ind w:left="1260" w:right="459" w:firstLine="648"/>
        <w:spacing w:after="0" w:line="243" w:lineRule="auto"/>
        <w:rPr>
          <w:sz w:val="20"/>
          <w:szCs w:val="20"/>
          <w:color w:val="auto"/>
        </w:rPr>
      </w:pPr>
      <w:r>
        <w:rPr>
          <w:rFonts w:ascii="Arial" w:cs="Arial" w:eastAsia="Arial" w:hAnsi="Arial"/>
          <w:sz w:val="18"/>
          <w:szCs w:val="18"/>
          <w:color w:val="auto"/>
        </w:rPr>
        <w:t>This lock -up provision applies to common shares and to securities convertible into or exchangeable or exercisable for or repayable with common shares. It also applies to common shares owned now or acquired later by the person executing the agreement or for which the person executing the agreement later acquires the power of disposition.</w:t>
      </w:r>
    </w:p>
    <w:p>
      <w:pPr>
        <w:spacing w:after="0" w:line="120" w:lineRule="exact"/>
        <w:rPr>
          <w:sz w:val="20"/>
          <w:szCs w:val="20"/>
          <w:color w:val="auto"/>
        </w:rPr>
      </w:pPr>
    </w:p>
    <w:p>
      <w:pPr>
        <w:ind w:left="1260" w:right="639" w:firstLine="648"/>
        <w:spacing w:after="0" w:line="261" w:lineRule="auto"/>
        <w:rPr>
          <w:sz w:val="20"/>
          <w:szCs w:val="20"/>
          <w:color w:val="auto"/>
        </w:rPr>
      </w:pPr>
      <w:r>
        <w:rPr>
          <w:rFonts w:ascii="Arial" w:cs="Arial" w:eastAsia="Arial" w:hAnsi="Arial"/>
          <w:sz w:val="18"/>
          <w:szCs w:val="18"/>
          <w:color w:val="auto"/>
        </w:rPr>
        <w:t>We also agreed to substantially the same contractual lock-up terms and exceptions for a period of 60 days after the date of this prospectus.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Nasdaq Global Market Listing</w:t>
      </w:r>
    </w:p>
    <w:p>
      <w:pPr>
        <w:spacing w:after="0" w:line="16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shares are listed on The Nasdaq Global Market under the symbol “CVAC.”</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48" w:lineRule="exact"/>
        <w:rPr>
          <w:sz w:val="20"/>
          <w:szCs w:val="20"/>
          <w:color w:val="auto"/>
        </w:rPr>
      </w:pPr>
    </w:p>
    <w:p>
      <w:pPr>
        <w:ind w:left="1260" w:right="439" w:firstLine="648"/>
        <w:spacing w:after="0" w:line="248" w:lineRule="auto"/>
        <w:rPr>
          <w:sz w:val="20"/>
          <w:szCs w:val="20"/>
          <w:color w:val="auto"/>
        </w:rPr>
      </w:pPr>
      <w:r>
        <w:rPr>
          <w:rFonts w:ascii="Arial" w:cs="Arial" w:eastAsia="Arial" w:hAnsi="Arial"/>
          <w:sz w:val="18"/>
          <w:szCs w:val="18"/>
          <w:color w:val="auto"/>
        </w:rPr>
        <w:t>Until the distribution of the shares is completed, SEC rules may limit underwriters from bidding for and purchasing our common shares. However, the representatives may engage in transactions that stabilize the price of the common shares, such as bids or purchases to peg, fix or maintain that price.</w:t>
      </w:r>
    </w:p>
    <w:p>
      <w:pPr>
        <w:spacing w:after="0" w:line="114" w:lineRule="exact"/>
        <w:rPr>
          <w:sz w:val="20"/>
          <w:szCs w:val="20"/>
          <w:color w:val="auto"/>
        </w:rPr>
      </w:pPr>
    </w:p>
    <w:p>
      <w:pPr>
        <w:ind w:left="1260" w:right="499" w:firstLine="648"/>
        <w:spacing w:after="0" w:line="237" w:lineRule="auto"/>
        <w:rPr>
          <w:sz w:val="20"/>
          <w:szCs w:val="20"/>
          <w:color w:val="auto"/>
        </w:rPr>
      </w:pPr>
      <w:r>
        <w:rPr>
          <w:rFonts w:ascii="Arial" w:cs="Arial" w:eastAsia="Arial" w:hAnsi="Arial"/>
          <w:sz w:val="18"/>
          <w:szCs w:val="18"/>
          <w:color w:val="auto"/>
        </w:rPr>
        <w:t>In connection with the offering, the underwriters may purchase and sell our common shares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w:t>
      </w:r>
    </w:p>
    <w:p>
      <w:pPr>
        <w:sectPr>
          <w:pgSz w:w="11900" w:h="16838" w:orient="portrait"/>
          <w:cols w:equalWidth="0" w:num="1">
            <w:col w:w="9879"/>
          </w:cols>
          <w:pgMar w:left="580" w:top="131" w:right="1440" w:bottom="1440" w:gutter="0" w:footer="0" w:header="0"/>
        </w:sectPr>
      </w:pPr>
    </w:p>
    <w:p>
      <w:pPr>
        <w:spacing w:after="0" w:line="36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07" w:name="page308"/>
    <w:bookmarkEnd w:id="30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43" w:lineRule="auto"/>
        <w:rPr>
          <w:sz w:val="20"/>
          <w:szCs w:val="20"/>
          <w:color w:val="auto"/>
        </w:rPr>
      </w:pPr>
      <w:r>
        <w:rPr>
          <w:rFonts w:ascii="Arial" w:cs="Arial" w:eastAsia="Arial" w:hAnsi="Arial"/>
          <w:sz w:val="18"/>
          <w:szCs w:val="18"/>
          <w:color w:val="auto"/>
        </w:rPr>
        <w:t>be created if the underwriters are concerned that there may be downward pressure on the price of our common shares in the open market after pricing that could adversely affect investors who purchase in the offering. Stabilizing transactions consist of various bids for or purchases of common shares made by the underwriters in the open market prior to the completion of the offering.</w:t>
      </w:r>
    </w:p>
    <w:p>
      <w:pPr>
        <w:spacing w:after="0" w:line="120" w:lineRule="exact"/>
        <w:rPr>
          <w:sz w:val="20"/>
          <w:szCs w:val="20"/>
          <w:color w:val="auto"/>
        </w:rPr>
      </w:pPr>
    </w:p>
    <w:p>
      <w:pPr>
        <w:ind w:left="1260" w:right="539" w:firstLine="648"/>
        <w:spacing w:after="0" w:line="24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20" w:lineRule="exact"/>
        <w:rPr>
          <w:sz w:val="20"/>
          <w:szCs w:val="20"/>
          <w:color w:val="auto"/>
        </w:rPr>
      </w:pPr>
    </w:p>
    <w:p>
      <w:pPr>
        <w:ind w:left="1260" w:right="539" w:firstLine="648"/>
        <w:spacing w:after="0" w:line="259" w:lineRule="auto"/>
        <w:rPr>
          <w:sz w:val="20"/>
          <w:szCs w:val="20"/>
          <w:color w:val="auto"/>
        </w:rPr>
      </w:pPr>
      <w:r>
        <w:rPr>
          <w:rFonts w:ascii="Arial" w:cs="Arial" w:eastAsia="Arial" w:hAnsi="Arial"/>
          <w:sz w:val="17"/>
          <w:szCs w:val="17"/>
          <w:color w:val="auto"/>
        </w:rPr>
        <w:t>Similar to other purchase transactions, the underwriters’ purchases to cover the syndicate short sales may have the effect of raising or maintaining the market price of our common shares or preventing or retarding a decline in the market price of our common shares. As a result, the price of our common shares may be higher than the price that might otherwise exist in the open market. The underwriters may conduct these transactions on The Nasdaq Global Market, in the over-the-counter market or otherwise.</w:t>
      </w:r>
    </w:p>
    <w:p>
      <w:pPr>
        <w:spacing w:after="0" w:line="93" w:lineRule="exact"/>
        <w:rPr>
          <w:sz w:val="20"/>
          <w:szCs w:val="20"/>
          <w:color w:val="auto"/>
        </w:rPr>
      </w:pPr>
    </w:p>
    <w:p>
      <w:pPr>
        <w:ind w:left="1260" w:right="519" w:firstLine="648"/>
        <w:spacing w:after="0" w:line="241" w:lineRule="auto"/>
        <w:rPr>
          <w:sz w:val="20"/>
          <w:szCs w:val="20"/>
          <w:color w:val="auto"/>
        </w:rPr>
      </w:pPr>
      <w:r>
        <w:rPr>
          <w:rFonts w:ascii="Arial" w:cs="Arial" w:eastAsia="Arial" w:hAnsi="Arial"/>
          <w:sz w:val="18"/>
          <w:szCs w:val="18"/>
          <w:color w:val="auto"/>
        </w:rPr>
        <w:t>Neither we nor any of the underwriters make any representation or prediction as to the direction or magnitude of any effect that the transactions described above may have on the price of our common shares. In addition, neither we nor any of the underwriters make any representation that the representatives will engage in these transactions or that these transactions, once commenced, will not be discontinued without notice.</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Passive Market Making</w:t>
      </w:r>
    </w:p>
    <w:p>
      <w:pPr>
        <w:spacing w:after="0" w:line="162" w:lineRule="exact"/>
        <w:rPr>
          <w:sz w:val="20"/>
          <w:szCs w:val="20"/>
          <w:color w:val="auto"/>
        </w:rPr>
      </w:pPr>
    </w:p>
    <w:p>
      <w:pPr>
        <w:ind w:left="1260" w:right="459" w:firstLine="648"/>
        <w:spacing w:after="0" w:line="271" w:lineRule="auto"/>
        <w:rPr>
          <w:sz w:val="20"/>
          <w:szCs w:val="20"/>
          <w:color w:val="auto"/>
        </w:rPr>
      </w:pPr>
      <w:r>
        <w:rPr>
          <w:rFonts w:ascii="Arial" w:cs="Arial" w:eastAsia="Arial" w:hAnsi="Arial"/>
          <w:sz w:val="16"/>
          <w:szCs w:val="16"/>
          <w:color w:val="auto"/>
        </w:rPr>
        <w:t>In connection with this offering, underwriters may engage in passive market making transactions in the common shares on The Nasdaq Global Market in accordance with Rule 103 of Regulation M under the Exchange Act during a period before the commencement of offers or sales of common shares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Passive market making may cause the price of our common shares to be higher than the price that otherwise would exist in the open market in the absence of those transactions. The underwriters and dealers are not required to engage in passive market making and may end passive market making activities at any time.</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Stamp Taxes</w:t>
      </w:r>
    </w:p>
    <w:p>
      <w:pPr>
        <w:spacing w:after="0" w:line="162" w:lineRule="exact"/>
        <w:rPr>
          <w:sz w:val="20"/>
          <w:szCs w:val="20"/>
          <w:color w:val="auto"/>
        </w:rPr>
      </w:pPr>
    </w:p>
    <w:p>
      <w:pPr>
        <w:jc w:val="both"/>
        <w:ind w:left="1260" w:right="519" w:firstLine="648"/>
        <w:spacing w:after="0" w:line="248" w:lineRule="auto"/>
        <w:rPr>
          <w:sz w:val="20"/>
          <w:szCs w:val="20"/>
          <w:color w:val="auto"/>
        </w:rPr>
      </w:pPr>
      <w:r>
        <w:rPr>
          <w:rFonts w:ascii="Arial" w:cs="Arial" w:eastAsia="Arial" w:hAnsi="Arial"/>
          <w:sz w:val="18"/>
          <w:szCs w:val="18"/>
          <w:color w:val="auto"/>
        </w:rPr>
        <w:t>If you purchase common shares offered in this prospectus, you may be required to pay stamp taxes and other charges under the laws and practices of the country of purchase, in addition to the offering price listed on the cover page of this prospectus.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Electronic Distribution</w:t>
      </w:r>
    </w:p>
    <w:p>
      <w:pPr>
        <w:spacing w:after="0" w:line="148" w:lineRule="exact"/>
        <w:rPr>
          <w:sz w:val="20"/>
          <w:szCs w:val="20"/>
          <w:color w:val="auto"/>
        </w:rPr>
      </w:pPr>
    </w:p>
    <w:p>
      <w:pPr>
        <w:ind w:left="1260" w:right="839" w:firstLine="648"/>
        <w:spacing w:after="0" w:line="261" w:lineRule="auto"/>
        <w:rPr>
          <w:sz w:val="20"/>
          <w:szCs w:val="20"/>
          <w:color w:val="auto"/>
        </w:rPr>
      </w:pPr>
      <w:r>
        <w:rPr>
          <w:rFonts w:ascii="Arial" w:cs="Arial" w:eastAsia="Arial" w:hAnsi="Arial"/>
          <w:sz w:val="18"/>
          <w:szCs w:val="18"/>
          <w:color w:val="auto"/>
        </w:rPr>
        <w:t>In connection with the offering, certain of the underwriters or securities dealers may distribute prospectuses by electronic means, such as e-mail.</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Relationships</w:t>
      </w:r>
    </w:p>
    <w:p>
      <w:pPr>
        <w:spacing w:after="0" w:line="162" w:lineRule="exact"/>
        <w:rPr>
          <w:sz w:val="20"/>
          <w:szCs w:val="20"/>
          <w:color w:val="auto"/>
        </w:rPr>
      </w:pPr>
    </w:p>
    <w:p>
      <w:pPr>
        <w:ind w:left="1260" w:right="839" w:firstLine="648"/>
        <w:spacing w:after="0" w:line="243" w:lineRule="auto"/>
        <w:rPr>
          <w:sz w:val="20"/>
          <w:szCs w:val="20"/>
          <w:color w:val="auto"/>
        </w:rPr>
      </w:pPr>
      <w:r>
        <w:rPr>
          <w:rFonts w:ascii="Arial" w:cs="Arial" w:eastAsia="Arial" w:hAnsi="Arial"/>
          <w:sz w:val="18"/>
          <w:szCs w:val="18"/>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20" w:lineRule="exact"/>
        <w:rPr>
          <w:sz w:val="20"/>
          <w:szCs w:val="20"/>
          <w:color w:val="auto"/>
        </w:rPr>
      </w:pPr>
    </w:p>
    <w:p>
      <w:pPr>
        <w:ind w:left="1260" w:right="419" w:firstLine="648"/>
        <w:spacing w:after="0" w:line="238"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36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303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08" w:name="page309"/>
    <w:bookmarkEnd w:id="30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62" w:lineRule="exact"/>
        <w:rPr>
          <w:sz w:val="20"/>
          <w:szCs w:val="20"/>
          <w:color w:val="auto"/>
        </w:rPr>
      </w:pPr>
    </w:p>
    <w:p>
      <w:pPr>
        <w:ind w:left="1260" w:right="539" w:firstLine="648"/>
        <w:spacing w:after="0" w:line="251" w:lineRule="auto"/>
        <w:rPr>
          <w:sz w:val="20"/>
          <w:szCs w:val="20"/>
          <w:color w:val="auto"/>
        </w:rPr>
      </w:pPr>
      <w:r>
        <w:rPr>
          <w:rFonts w:ascii="Arial" w:cs="Arial" w:eastAsia="Arial" w:hAnsi="Arial"/>
          <w:sz w:val="17"/>
          <w:szCs w:val="17"/>
          <w:color w:val="auto"/>
        </w:rPr>
        <w:t>The shares are not intended to be offered, sold or otherwise made available to and should not be offered, sold or otherwise made available to any retail investor in the European Economic Area (“EEA”) .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w:t>
      </w:r>
    </w:p>
    <w:p>
      <w:pPr>
        <w:spacing w:after="0" w:line="4" w:lineRule="exact"/>
        <w:rPr>
          <w:sz w:val="20"/>
          <w:szCs w:val="20"/>
          <w:color w:val="auto"/>
        </w:rPr>
      </w:pPr>
    </w:p>
    <w:p>
      <w:pPr>
        <w:ind w:left="1260" w:right="659"/>
        <w:spacing w:after="0" w:line="254" w:lineRule="auto"/>
        <w:tabs>
          <w:tab w:leader="none" w:pos="1596" w:val="left"/>
        </w:tabs>
        <w:numPr>
          <w:ilvl w:val="0"/>
          <w:numId w:val="198"/>
        </w:numPr>
        <w:rPr>
          <w:rFonts w:ascii="Arial" w:cs="Arial" w:eastAsia="Arial" w:hAnsi="Arial"/>
          <w:sz w:val="17"/>
          <w:szCs w:val="17"/>
          <w:color w:val="auto"/>
        </w:rPr>
      </w:pPr>
      <w:r>
        <w:rPr>
          <w:rFonts w:ascii="Arial" w:cs="Arial" w:eastAsia="Arial" w:hAnsi="Arial"/>
          <w:sz w:val="17"/>
          <w:szCs w:val="17"/>
          <w:color w:val="auto"/>
        </w:rPr>
        <w:t>not a qualified investor as defined in Regulation (EU) 2017/1129 (the “Prospectus Regulation”). Consequently no key information document required by Regulation (EU) No 1286/2014 (as amended, the “PRIIPs Regulation”) for offering or selling the shares or otherwise making them available to retail investors in the EEA has been prepared and therefore offering or selling the shares or otherwise making them available to any retail investor in the EEA may be unlawful under the PRIIPs Regulation.</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62" w:lineRule="exact"/>
        <w:rPr>
          <w:sz w:val="20"/>
          <w:szCs w:val="20"/>
          <w:color w:val="auto"/>
        </w:rPr>
      </w:pPr>
    </w:p>
    <w:p>
      <w:pPr>
        <w:jc w:val="both"/>
        <w:ind w:left="1260" w:right="699" w:firstLine="648"/>
        <w:spacing w:after="0" w:line="271" w:lineRule="auto"/>
        <w:rPr>
          <w:sz w:val="20"/>
          <w:szCs w:val="20"/>
          <w:color w:val="auto"/>
        </w:rPr>
      </w:pPr>
      <w:r>
        <w:rPr>
          <w:rFonts w:ascii="Arial" w:cs="Arial" w:eastAsia="Arial" w:hAnsi="Arial"/>
          <w:sz w:val="16"/>
          <w:szCs w:val="16"/>
          <w:color w:val="auto"/>
        </w:rPr>
        <w:t>The shares are not intended to be offered, sold or otherwise made available to and should not be offered, sold or otherwise made available to any retail investor in the United Kingdom (“UK”). For these purposes, a retail investor means a person who is one (or more) of: (i) a retail client, as defined in point</w:t>
      </w:r>
    </w:p>
    <w:p>
      <w:pPr>
        <w:ind w:left="1260" w:right="419"/>
        <w:spacing w:after="0" w:line="250" w:lineRule="auto"/>
        <w:tabs>
          <w:tab w:leader="none" w:pos="1529" w:val="left"/>
        </w:tabs>
        <w:numPr>
          <w:ilvl w:val="0"/>
          <w:numId w:val="199"/>
        </w:numPr>
        <w:rPr>
          <w:rFonts w:ascii="Arial" w:cs="Arial" w:eastAsia="Arial" w:hAnsi="Arial"/>
          <w:sz w:val="17"/>
          <w:szCs w:val="17"/>
          <w:color w:val="auto"/>
        </w:rPr>
      </w:pPr>
      <w:r>
        <w:rPr>
          <w:rFonts w:ascii="Arial" w:cs="Arial" w:eastAsia="Arial" w:hAnsi="Arial"/>
          <w:sz w:val="17"/>
          <w:szCs w:val="17"/>
          <w:color w:val="auto"/>
        </w:rPr>
        <w:t>of Article 2 of Regulation (EU) No 2017/565 as it forms part of domestic law by virtue of the European Union (Withdrawal) Act 2018 (“EUWA”); (ii) a customer within the meaning of the provisions of the Financial Services and Markets Act 2000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Consequently no key information document required by Regulation (EU) No 1286/2014 as it forms part of domestic law by virtue of the EUWA (the “UK PRIIPs Regulation”) for offering or selling the shares or otherwise making them available to retail investors in the UK has been prepared and therefore offering or selling the shares or otherwise making them available to any retail investor in the UK may be unlawful under the UK PRIIPs Regulation.</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48" w:lineRule="exact"/>
        <w:rPr>
          <w:sz w:val="20"/>
          <w:szCs w:val="20"/>
          <w:color w:val="auto"/>
        </w:rPr>
      </w:pPr>
    </w:p>
    <w:p>
      <w:pPr>
        <w:ind w:left="1260" w:right="439" w:firstLine="648"/>
        <w:spacing w:after="0" w:line="238" w:lineRule="auto"/>
        <w:rPr>
          <w:sz w:val="20"/>
          <w:szCs w:val="20"/>
          <w:color w:val="auto"/>
        </w:rPr>
      </w:pPr>
      <w:r>
        <w:rPr>
          <w:rFonts w:ascii="Arial" w:cs="Arial" w:eastAsia="Arial" w:hAnsi="Arial"/>
          <w:sz w:val="18"/>
          <w:szCs w:val="18"/>
          <w:color w:val="auto"/>
        </w:rPr>
        <w:t>This prospectus is not intended to constitute an offer or solicitation to purchase or invest in our Common Shares. The Common Shares may not be publicly offered, directly or indirectly, in Switzerland within the meaning of the Swiss Financial Services Act, or FinSA, and no application has or will be made to admit the Common Shares to trading on any trading venue (exchange or multilateral trading facility) in Switzerland. Neither this prospectus nor any other offering or marketing material relating to the Common Shares constitutes a prospectus pursuant to the FinSA, and neither this prospectus nor any other offering or marketing material relating to the Common Shares may be publicly distributed or otherwise made publicly available in Switzerland.</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62" w:lineRule="exact"/>
        <w:rPr>
          <w:sz w:val="20"/>
          <w:szCs w:val="20"/>
          <w:color w:val="auto"/>
        </w:rPr>
      </w:pPr>
    </w:p>
    <w:p>
      <w:pPr>
        <w:ind w:left="1260" w:right="419" w:firstLine="648"/>
        <w:spacing w:after="0" w:line="253" w:lineRule="auto"/>
        <w:rPr>
          <w:sz w:val="20"/>
          <w:szCs w:val="20"/>
          <w:color w:val="auto"/>
        </w:rPr>
      </w:pPr>
      <w:r>
        <w:rPr>
          <w:rFonts w:ascii="Arial" w:cs="Arial" w:eastAsia="Arial" w:hAnsi="Arial"/>
          <w:sz w:val="17"/>
          <w:szCs w:val="17"/>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62" w:lineRule="exact"/>
        <w:rPr>
          <w:sz w:val="20"/>
          <w:szCs w:val="20"/>
          <w:color w:val="auto"/>
        </w:rPr>
      </w:pPr>
    </w:p>
    <w:p>
      <w:pPr>
        <w:ind w:left="1260" w:right="439" w:firstLine="648"/>
        <w:spacing w:after="0" w:line="291"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or ASIC, in relation to the</w:t>
      </w: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304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09" w:name="page310"/>
    <w:bookmarkEnd w:id="30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539"/>
        <w:spacing w:after="0" w:line="243" w:lineRule="auto"/>
        <w:rPr>
          <w:sz w:val="20"/>
          <w:szCs w:val="20"/>
          <w:color w:val="auto"/>
        </w:rPr>
      </w:pPr>
      <w:r>
        <w:rPr>
          <w:rFonts w:ascii="Arial" w:cs="Arial" w:eastAsia="Arial" w:hAnsi="Arial"/>
          <w:sz w:val="18"/>
          <w:szCs w:val="18"/>
          <w:color w:val="auto"/>
        </w:rPr>
        <w:t>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20" w:lineRule="exact"/>
        <w:rPr>
          <w:sz w:val="20"/>
          <w:szCs w:val="20"/>
          <w:color w:val="auto"/>
        </w:rPr>
      </w:pPr>
    </w:p>
    <w:p>
      <w:pPr>
        <w:ind w:left="1260" w:right="459" w:firstLine="648"/>
        <w:spacing w:after="0" w:line="241"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22" w:lineRule="exact"/>
        <w:rPr>
          <w:sz w:val="20"/>
          <w:szCs w:val="20"/>
          <w:color w:val="auto"/>
        </w:rPr>
      </w:pPr>
    </w:p>
    <w:p>
      <w:pPr>
        <w:ind w:left="1260" w:right="459" w:firstLine="648"/>
        <w:spacing w:after="0"/>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08" w:lineRule="exact"/>
        <w:rPr>
          <w:sz w:val="20"/>
          <w:szCs w:val="20"/>
          <w:color w:val="auto"/>
        </w:rPr>
      </w:pPr>
    </w:p>
    <w:p>
      <w:pPr>
        <w:ind w:left="1260" w:right="519" w:firstLine="648"/>
        <w:spacing w:after="0" w:line="241"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62" w:lineRule="exact"/>
        <w:rPr>
          <w:sz w:val="20"/>
          <w:szCs w:val="20"/>
          <w:color w:val="auto"/>
        </w:rPr>
      </w:pPr>
    </w:p>
    <w:p>
      <w:pPr>
        <w:ind w:left="1260" w:right="439" w:firstLine="648"/>
        <w:spacing w:after="0" w:line="252" w:lineRule="auto"/>
        <w:rPr>
          <w:sz w:val="20"/>
          <w:szCs w:val="20"/>
          <w:color w:val="auto"/>
        </w:rPr>
      </w:pPr>
      <w:r>
        <w:rPr>
          <w:rFonts w:ascii="Arial" w:cs="Arial" w:eastAsia="Arial" w:hAnsi="Arial"/>
          <w:sz w:val="17"/>
          <w:szCs w:val="17"/>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62" w:lineRule="exact"/>
        <w:rPr>
          <w:sz w:val="20"/>
          <w:szCs w:val="20"/>
          <w:color w:val="auto"/>
        </w:rPr>
      </w:pPr>
    </w:p>
    <w:p>
      <w:pPr>
        <w:ind w:left="1260" w:right="419" w:firstLine="648"/>
        <w:spacing w:after="0" w:line="255" w:lineRule="auto"/>
        <w:rPr>
          <w:sz w:val="20"/>
          <w:szCs w:val="20"/>
          <w:color w:val="auto"/>
        </w:rPr>
      </w:pPr>
      <w:r>
        <w:rPr>
          <w:rFonts w:ascii="Arial" w:cs="Arial" w:eastAsia="Arial" w:hAnsi="Arial"/>
          <w:sz w:val="17"/>
          <w:szCs w:val="17"/>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 -offering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Singapore Securities and Futures Act Product Classification</w:t>
      </w:r>
    </w:p>
    <w:p>
      <w:pPr>
        <w:spacing w:after="0" w:line="148" w:lineRule="exact"/>
        <w:rPr>
          <w:sz w:val="20"/>
          <w:szCs w:val="20"/>
          <w:color w:val="auto"/>
        </w:rPr>
      </w:pPr>
    </w:p>
    <w:p>
      <w:pPr>
        <w:ind w:left="1260" w:right="479" w:firstLine="648"/>
        <w:spacing w:after="0" w:line="254"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w:t>
      </w:r>
    </w:p>
    <w:p>
      <w:pPr>
        <w:spacing w:after="0" w:line="37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10" w:name="page311"/>
    <w:bookmarkEnd w:id="3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spacing w:after="0" w:line="261" w:lineRule="auto"/>
        <w:rPr>
          <w:sz w:val="20"/>
          <w:szCs w:val="20"/>
          <w:color w:val="auto"/>
        </w:rPr>
      </w:pPr>
      <w:r>
        <w:rPr>
          <w:rFonts w:ascii="Arial" w:cs="Arial" w:eastAsia="Arial" w:hAnsi="Arial"/>
          <w:sz w:val="18"/>
          <w:szCs w:val="18"/>
          <w:color w:val="auto"/>
        </w:rPr>
        <w:t>accordance with the conditions specified in Section 275 of the SFA, or (iii) otherwise pursuant to, and in accordance with the conditions of, any other applicable provision of the SFA.</w:t>
      </w:r>
    </w:p>
    <w:p>
      <w:pPr>
        <w:spacing w:after="0" w:line="103" w:lineRule="exact"/>
        <w:rPr>
          <w:sz w:val="20"/>
          <w:szCs w:val="20"/>
          <w:color w:val="auto"/>
        </w:rPr>
      </w:pPr>
    </w:p>
    <w:p>
      <w:pPr>
        <w:ind w:left="1260" w:right="679" w:firstLine="648"/>
        <w:spacing w:after="0" w:line="261"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90" w:lineRule="exact"/>
        <w:rPr>
          <w:sz w:val="20"/>
          <w:szCs w:val="20"/>
          <w:color w:val="auto"/>
        </w:rPr>
      </w:pPr>
    </w:p>
    <w:p>
      <w:pPr>
        <w:jc w:val="both"/>
        <w:ind w:left="2560" w:right="619" w:hanging="652"/>
        <w:spacing w:after="0" w:line="286" w:lineRule="auto"/>
        <w:tabs>
          <w:tab w:leader="none" w:pos="256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97" w:lineRule="exact"/>
        <w:rPr>
          <w:rFonts w:ascii="Arial" w:cs="Arial" w:eastAsia="Arial" w:hAnsi="Arial"/>
          <w:sz w:val="17"/>
          <w:szCs w:val="17"/>
          <w:color w:val="auto"/>
        </w:rPr>
      </w:pPr>
    </w:p>
    <w:p>
      <w:pPr>
        <w:ind w:left="2560" w:right="439" w:hanging="652"/>
        <w:spacing w:after="0" w:line="308" w:lineRule="auto"/>
        <w:tabs>
          <w:tab w:leader="none" w:pos="256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w:t>
      </w:r>
    </w:p>
    <w:p>
      <w:pPr>
        <w:spacing w:after="0" w:line="65" w:lineRule="exact"/>
        <w:rPr>
          <w:sz w:val="20"/>
          <w:szCs w:val="20"/>
          <w:color w:val="auto"/>
        </w:rPr>
      </w:pPr>
    </w:p>
    <w:p>
      <w:pPr>
        <w:ind w:left="1260" w:right="499"/>
        <w:spacing w:after="0" w:line="243"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20" w:lineRule="exact"/>
        <w:rPr>
          <w:sz w:val="20"/>
          <w:szCs w:val="20"/>
          <w:color w:val="auto"/>
        </w:rPr>
      </w:pPr>
    </w:p>
    <w:p>
      <w:pPr>
        <w:ind w:left="2560" w:right="659" w:hanging="652"/>
        <w:spacing w:after="0" w:line="277" w:lineRule="auto"/>
        <w:tabs>
          <w:tab w:leader="none" w:pos="25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89" w:lineRule="exact"/>
        <w:rPr>
          <w:rFonts w:ascii="Arial" w:cs="Arial" w:eastAsia="Arial" w:hAnsi="Arial"/>
          <w:sz w:val="18"/>
          <w:szCs w:val="18"/>
          <w:color w:val="auto"/>
        </w:rPr>
      </w:pPr>
    </w:p>
    <w:p>
      <w:pPr>
        <w:ind w:left="2560" w:hanging="652"/>
        <w:spacing w:after="0"/>
        <w:tabs>
          <w:tab w:leader="none" w:pos="25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57" w:lineRule="exact"/>
        <w:rPr>
          <w:rFonts w:ascii="Arial" w:cs="Arial" w:eastAsia="Arial" w:hAnsi="Arial"/>
          <w:sz w:val="18"/>
          <w:szCs w:val="18"/>
          <w:color w:val="auto"/>
        </w:rPr>
      </w:pPr>
    </w:p>
    <w:p>
      <w:pPr>
        <w:ind w:left="2560" w:hanging="652"/>
        <w:spacing w:after="0"/>
        <w:tabs>
          <w:tab w:leader="none" w:pos="25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144" w:lineRule="exact"/>
        <w:rPr>
          <w:rFonts w:ascii="Arial" w:cs="Arial" w:eastAsia="Arial" w:hAnsi="Arial"/>
          <w:sz w:val="18"/>
          <w:szCs w:val="18"/>
          <w:color w:val="auto"/>
        </w:rPr>
      </w:pPr>
    </w:p>
    <w:p>
      <w:pPr>
        <w:ind w:left="2560" w:hanging="652"/>
        <w:spacing w:after="0"/>
        <w:tabs>
          <w:tab w:leader="none" w:pos="25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as specified in Section 276(7) of the SFA.</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62" w:lineRule="exact"/>
        <w:rPr>
          <w:sz w:val="20"/>
          <w:szCs w:val="20"/>
          <w:color w:val="auto"/>
        </w:rPr>
      </w:pPr>
    </w:p>
    <w:p>
      <w:pPr>
        <w:ind w:left="1260" w:right="439" w:firstLine="648"/>
        <w:spacing w:after="0"/>
        <w:rPr>
          <w:sz w:val="20"/>
          <w:szCs w:val="20"/>
          <w:color w:val="auto"/>
        </w:rPr>
      </w:pPr>
      <w:r>
        <w:rPr>
          <w:rFonts w:ascii="Arial" w:cs="Arial" w:eastAsia="Arial" w:hAnsi="Arial"/>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31 -103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08" w:lineRule="exact"/>
        <w:rPr>
          <w:sz w:val="20"/>
          <w:szCs w:val="20"/>
          <w:color w:val="auto"/>
        </w:rPr>
      </w:pPr>
    </w:p>
    <w:p>
      <w:pPr>
        <w:ind w:left="1260" w:right="559" w:firstLine="648"/>
        <w:spacing w:after="0"/>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2" w:lineRule="exact"/>
        <w:rPr>
          <w:sz w:val="20"/>
          <w:szCs w:val="20"/>
          <w:color w:val="auto"/>
        </w:rPr>
      </w:pPr>
    </w:p>
    <w:p>
      <w:pPr>
        <w:ind w:left="1260" w:right="599" w:firstLine="648"/>
        <w:spacing w:after="0" w:line="243"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Germany</w:t>
      </w:r>
    </w:p>
    <w:p>
      <w:pPr>
        <w:spacing w:after="0" w:line="162" w:lineRule="exact"/>
        <w:rPr>
          <w:sz w:val="20"/>
          <w:szCs w:val="20"/>
          <w:color w:val="auto"/>
        </w:rPr>
      </w:pPr>
    </w:p>
    <w:p>
      <w:pPr>
        <w:ind w:left="1260" w:right="419" w:firstLine="648"/>
        <w:spacing w:after="0" w:line="237" w:lineRule="auto"/>
        <w:rPr>
          <w:sz w:val="20"/>
          <w:szCs w:val="20"/>
          <w:color w:val="auto"/>
        </w:rPr>
      </w:pPr>
      <w:r>
        <w:rPr>
          <w:rFonts w:ascii="Arial" w:cs="Arial" w:eastAsia="Arial" w:hAnsi="Arial"/>
          <w:sz w:val="18"/>
          <w:szCs w:val="18"/>
          <w:color w:val="auto"/>
        </w:rPr>
        <w:t>Our common shares may be offered and sold in the Federal Republic of Germany only in compliance with the Prospectus Regulation, the Commission Delegated Regulations (EU) 2019/979 and (EU) 2019/980, each as of March 14, 2019 and the German Securities Prospectus Act (Wertpapierprospektgesetz), as amended, or any other laws applicable in Germany governing the issue, offering and sale of securities. This prospectus has not been approved under the Prospectus Regulation and, accordingly, our common shares may not be offered publicly in the Federal Republic of Germany. Our common shares will be offered in the Federal Republic of Germany in reliance on an exemption from the requirement to publish an approved securities prospectus under the Prospectus Regulation. Any resale of our common shares in Germany may only be made in accordance with the Prospectus Regulation and other applicable laws. We have not filed, and do not intend to file, a securities prospectus with the German Federal Financial Supervisory Authority</w:t>
      </w:r>
    </w:p>
    <w:p>
      <w:pPr>
        <w:sectPr>
          <w:pgSz w:w="11900" w:h="16838" w:orient="portrait"/>
          <w:cols w:equalWidth="0" w:num="1">
            <w:col w:w="9879"/>
          </w:cols>
          <w:pgMar w:left="580" w:top="131" w:right="1440" w:bottom="1440" w:gutter="0" w:footer="0" w:header="0"/>
        </w:sectPr>
      </w:pPr>
    </w:p>
    <w:p>
      <w:pPr>
        <w:spacing w:after="0" w:line="37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306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11" w:name="page312"/>
    <w:bookmarkEnd w:id="3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559"/>
        <w:spacing w:after="0" w:line="286" w:lineRule="auto"/>
        <w:rPr>
          <w:sz w:val="20"/>
          <w:szCs w:val="20"/>
          <w:color w:val="auto"/>
        </w:rPr>
      </w:pPr>
      <w:r>
        <w:rPr>
          <w:rFonts w:ascii="Arial" w:cs="Arial" w:eastAsia="Arial" w:hAnsi="Arial"/>
          <w:sz w:val="17"/>
          <w:szCs w:val="17"/>
          <w:color w:val="auto"/>
        </w:rPr>
        <w:t>(Bundesanstalt für Finanzdienstleistungsaufsicht,”BaFin”) or obtain a notification to BaFin from another competent authority of a member state of the European Economic Area, with which a securities prospectus may have been filed, pursuant to Article 24 Para. 1 of the Prospectus Regulation.</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the State of Israel</w:t>
      </w:r>
    </w:p>
    <w:p>
      <w:pPr>
        <w:spacing w:after="0" w:line="162" w:lineRule="exact"/>
        <w:rPr>
          <w:sz w:val="20"/>
          <w:szCs w:val="20"/>
          <w:color w:val="auto"/>
        </w:rPr>
      </w:pPr>
    </w:p>
    <w:p>
      <w:pPr>
        <w:ind w:left="1260" w:right="499" w:firstLine="648"/>
        <w:spacing w:after="0" w:line="268" w:lineRule="auto"/>
        <w:rPr>
          <w:sz w:val="20"/>
          <w:szCs w:val="20"/>
          <w:color w:val="auto"/>
        </w:rPr>
      </w:pPr>
      <w:r>
        <w:rPr>
          <w:rFonts w:ascii="Arial" w:cs="Arial" w:eastAsia="Arial" w:hAnsi="Arial"/>
          <w:sz w:val="17"/>
          <w:szCs w:val="17"/>
          <w:color w:val="auto"/>
        </w:rPr>
        <w:t>In the State of Israel this prospectus shall not be regarded as an offer to the public to purchase shares of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w:t>
      </w:r>
    </w:p>
    <w:p>
      <w:pPr>
        <w:spacing w:after="0" w:line="3" w:lineRule="exact"/>
        <w:rPr>
          <w:sz w:val="20"/>
          <w:szCs w:val="20"/>
          <w:color w:val="auto"/>
        </w:rPr>
      </w:pPr>
    </w:p>
    <w:p>
      <w:pPr>
        <w:ind w:left="1260" w:right="519"/>
        <w:spacing w:after="0" w:line="268" w:lineRule="auto"/>
        <w:tabs>
          <w:tab w:leader="none" w:pos="1543"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 offer is made, distributed or directed to certain qualified investors defined in the First Addendum of the Israeli Securities Law, 5728-1968,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5728-1968. We have not and will not distribute this prospectus or make, distribute or direct an offer to subscribe for our common stock to any person within the State of Israel, other than to Qualified Investors and up to 35 Addressed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307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12" w:name="page313"/>
    <w:bookmarkEnd w:id="3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EXPENSES OF THE OFFERING</w:t>
      </w:r>
    </w:p>
    <w:p>
      <w:pPr>
        <w:spacing w:after="0" w:line="16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We estimate that our expenses in connection with this offering, will be as follows:</w:t>
      </w:r>
    </w:p>
    <w:p>
      <w:pPr>
        <w:spacing w:after="0" w:line="163"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640" w:type="dxa"/>
            <w:vAlign w:val="bottom"/>
            <w:gridSpan w:val="2"/>
          </w:tcPr>
          <w:p>
            <w:pPr>
              <w:spacing w:after="0"/>
              <w:rPr>
                <w:sz w:val="20"/>
                <w:szCs w:val="20"/>
                <w:color w:val="auto"/>
              </w:rPr>
            </w:pPr>
            <w:r>
              <w:rPr>
                <w:rFonts w:ascii="Arial" w:cs="Arial" w:eastAsia="Arial" w:hAnsi="Arial"/>
                <w:sz w:val="14"/>
                <w:szCs w:val="14"/>
                <w:b w:val="1"/>
                <w:bCs w:val="1"/>
                <w:color w:val="auto"/>
              </w:rPr>
              <w:t>Expenses</w:t>
            </w:r>
          </w:p>
        </w:tc>
        <w:tc>
          <w:tcPr>
            <w:tcW w:w="120" w:type="dxa"/>
            <w:vAlign w:val="bottom"/>
          </w:tcPr>
          <w:p>
            <w:pPr>
              <w:spacing w:after="0"/>
              <w:rPr>
                <w:sz w:val="16"/>
                <w:szCs w:val="16"/>
                <w:color w:val="auto"/>
              </w:rPr>
            </w:pPr>
          </w:p>
        </w:tc>
        <w:tc>
          <w:tcPr>
            <w:tcW w:w="720" w:type="dxa"/>
            <w:vAlign w:val="bottom"/>
          </w:tcPr>
          <w:p>
            <w:pPr>
              <w:jc w:val="right"/>
              <w:ind w:right="92"/>
              <w:spacing w:after="0"/>
              <w:rPr>
                <w:sz w:val="20"/>
                <w:szCs w:val="20"/>
                <w:color w:val="auto"/>
              </w:rPr>
            </w:pPr>
            <w:r>
              <w:rPr>
                <w:rFonts w:ascii="Arial" w:cs="Arial" w:eastAsia="Arial" w:hAnsi="Arial"/>
                <w:sz w:val="14"/>
                <w:szCs w:val="14"/>
                <w:b w:val="1"/>
                <w:bCs w:val="1"/>
                <w:color w:val="auto"/>
                <w:w w:val="98"/>
              </w:rPr>
              <w:t>Amount</w:t>
            </w:r>
          </w:p>
        </w:tc>
      </w:tr>
      <w:tr>
        <w:trPr>
          <w:trHeight w:val="26"/>
        </w:trPr>
        <w:tc>
          <w:tcPr>
            <w:tcW w:w="64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Securities and Exchange Commission registration fee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64,999</w:t>
            </w:r>
          </w:p>
        </w:tc>
      </w:tr>
      <w:tr>
        <w:trPr>
          <w:trHeight w:val="257"/>
        </w:trPr>
        <w:tc>
          <w:tcPr>
            <w:tcW w:w="664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86,750</w:t>
            </w:r>
          </w:p>
        </w:tc>
      </w:tr>
      <w:tr>
        <w:trPr>
          <w:trHeight w:val="257"/>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r>
      <w:tr>
        <w:trPr>
          <w:trHeight w:val="270"/>
        </w:trPr>
        <w:tc>
          <w:tcPr>
            <w:tcW w:w="664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490,840</w:t>
            </w:r>
          </w:p>
        </w:tc>
      </w:tr>
      <w:tr>
        <w:trPr>
          <w:trHeight w:val="270"/>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r>
      <w:tr>
        <w:trPr>
          <w:trHeight w:val="270"/>
        </w:trPr>
        <w:tc>
          <w:tcPr>
            <w:tcW w:w="6640" w:type="dxa"/>
            <w:vAlign w:val="bottom"/>
            <w:gridSpan w:val="2"/>
          </w:tcPr>
          <w:p>
            <w:pPr>
              <w:spacing w:after="0"/>
              <w:rPr>
                <w:sz w:val="20"/>
                <w:szCs w:val="20"/>
                <w:color w:val="auto"/>
              </w:rPr>
            </w:pPr>
            <w:r>
              <w:rPr>
                <w:rFonts w:ascii="Arial" w:cs="Arial" w:eastAsia="Arial" w:hAnsi="Arial"/>
                <w:sz w:val="18"/>
                <w:szCs w:val="18"/>
                <w:color w:val="auto"/>
              </w:rPr>
              <w:t>Miscellaneous costs</w:t>
            </w:r>
          </w:p>
        </w:tc>
        <w:tc>
          <w:tcPr>
            <w:tcW w:w="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55,888</w:t>
            </w:r>
          </w:p>
        </w:tc>
      </w:tr>
      <w:tr>
        <w:trPr>
          <w:trHeight w:val="270"/>
        </w:trPr>
        <w:tc>
          <w:tcPr>
            <w:tcW w:w="66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1,048,477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5111750</wp:posOffset>
            </wp:positionH>
            <wp:positionV relativeFrom="paragraph">
              <wp:posOffset>-1182370</wp:posOffset>
            </wp:positionV>
            <wp:extent cx="13716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4" w:lineRule="exact"/>
        <w:rPr>
          <w:sz w:val="20"/>
          <w:szCs w:val="20"/>
          <w:color w:val="auto"/>
        </w:rPr>
      </w:pPr>
    </w:p>
    <w:p>
      <w:pPr>
        <w:ind w:left="1260" w:right="819" w:firstLine="648"/>
        <w:spacing w:after="0" w:line="263" w:lineRule="auto"/>
        <w:rPr>
          <w:sz w:val="20"/>
          <w:szCs w:val="20"/>
          <w:color w:val="auto"/>
        </w:rPr>
      </w:pPr>
      <w:r>
        <w:rPr>
          <w:rFonts w:ascii="Arial" w:cs="Arial" w:eastAsia="Arial" w:hAnsi="Arial"/>
          <w:sz w:val="18"/>
          <w:szCs w:val="18"/>
          <w:color w:val="auto"/>
        </w:rPr>
        <w:t>All amounts in the table are estimates except the U.S. Securities and Exchange Commission registration fee, the Nasdaq listing fee and the FINRA filing fee. We will pay all of the expenses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308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13" w:name="page314"/>
    <w:bookmarkEnd w:id="3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LEGAL MATTERS</w:t>
      </w:r>
    </w:p>
    <w:p>
      <w:pPr>
        <w:spacing w:after="0" w:line="162" w:lineRule="exact"/>
        <w:rPr>
          <w:sz w:val="20"/>
          <w:szCs w:val="20"/>
          <w:color w:val="auto"/>
        </w:rPr>
      </w:pPr>
    </w:p>
    <w:p>
      <w:pPr>
        <w:ind w:left="1260" w:right="579" w:firstLine="648"/>
        <w:spacing w:after="0" w:line="241" w:lineRule="auto"/>
        <w:rPr>
          <w:sz w:val="20"/>
          <w:szCs w:val="20"/>
          <w:color w:val="auto"/>
        </w:rPr>
      </w:pPr>
      <w:r>
        <w:rPr>
          <w:rFonts w:ascii="Arial" w:cs="Arial" w:eastAsia="Arial" w:hAnsi="Arial"/>
          <w:sz w:val="18"/>
          <w:szCs w:val="18"/>
          <w:color w:val="auto"/>
        </w:rPr>
        <w:t>The validity of the common shares and certain other matters of Dutch law will be passed upon for us by NautaDutilh N.V. Certain matters of U.S. federal law will be passed upon for us by Davis Polk &amp; Wardwell LLP. Certain matters will be passed upon for the underwriters by Latham &amp; Watkins LLP, New York, New York, with respect to U.S. federal law, and De Brauw Blackstone Westbroek N.V., with respect to Dutch law.</w:t>
      </w:r>
    </w:p>
    <w:p>
      <w:pPr>
        <w:spacing w:after="0" w:line="185"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1260" w:right="559" w:firstLine="648"/>
        <w:spacing w:after="0"/>
        <w:rPr>
          <w:sz w:val="20"/>
          <w:szCs w:val="20"/>
          <w:color w:val="auto"/>
        </w:rPr>
      </w:pPr>
      <w:r>
        <w:rPr>
          <w:rFonts w:ascii="Arial" w:cs="Arial" w:eastAsia="Arial" w:hAnsi="Arial"/>
          <w:sz w:val="18"/>
          <w:szCs w:val="18"/>
          <w:color w:val="auto"/>
        </w:rPr>
        <w:t>The consolidated financial statements of CureVac AG as of December 31, 2018 and 2019, and for each of the two years in the period ended December 31, 2019, appearing in this prospectus and registration statement, have been audited by Ernst &amp; Young GmbH Wirtschaftsprüfungsgesellschaft, an independent registered public accounting firm, as set forth in their report thereon appearing elsewhere herein, and are included in reliance upon such report given on the authority of such firm as experts in accounting and auditing.</w:t>
      </w:r>
    </w:p>
    <w:p>
      <w:pPr>
        <w:spacing w:after="0" w:line="108" w:lineRule="exact"/>
        <w:rPr>
          <w:sz w:val="20"/>
          <w:szCs w:val="20"/>
          <w:color w:val="auto"/>
        </w:rPr>
      </w:pPr>
    </w:p>
    <w:p>
      <w:pPr>
        <w:ind w:left="1260" w:right="619" w:firstLine="648"/>
        <w:spacing w:after="0" w:line="261" w:lineRule="auto"/>
        <w:rPr>
          <w:sz w:val="20"/>
          <w:szCs w:val="20"/>
          <w:color w:val="auto"/>
        </w:rPr>
      </w:pPr>
      <w:r>
        <w:rPr>
          <w:rFonts w:ascii="Arial" w:cs="Arial" w:eastAsia="Arial" w:hAnsi="Arial"/>
          <w:sz w:val="18"/>
          <w:szCs w:val="18"/>
          <w:color w:val="auto"/>
        </w:rPr>
        <w:t>The current address of Ernst &amp; Young GmbH Wirtschaftsprüfungsgesellschaft is Arnulfstraße 59, 80636 Munich, Germany.</w:t>
      </w:r>
    </w:p>
    <w:p>
      <w:pPr>
        <w:spacing w:after="0" w:line="16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ENFORCEMENT OF JUDGMENTS</w:t>
      </w:r>
    </w:p>
    <w:p>
      <w:pPr>
        <w:spacing w:after="0" w:line="162" w:lineRule="exact"/>
        <w:rPr>
          <w:sz w:val="20"/>
          <w:szCs w:val="20"/>
          <w:color w:val="auto"/>
        </w:rPr>
      </w:pPr>
    </w:p>
    <w:p>
      <w:pPr>
        <w:ind w:left="1260" w:right="459" w:firstLine="648"/>
        <w:spacing w:after="0"/>
        <w:rPr>
          <w:sz w:val="20"/>
          <w:szCs w:val="20"/>
          <w:color w:val="auto"/>
        </w:rPr>
      </w:pPr>
      <w:r>
        <w:rPr>
          <w:rFonts w:ascii="Arial" w:cs="Arial" w:eastAsia="Arial" w:hAnsi="Arial"/>
          <w:sz w:val="18"/>
          <w:szCs w:val="18"/>
          <w:color w:val="auto"/>
        </w:rPr>
        <w:t>We are incorporated under the laws of the Netherlands, and our headquarters are located in Germany. Substantially all of our assets are located outside the United States. The majority of our managing directors and supervisory directors reside outside the United States. As a result, it may not be possible for investors to effect service of process within the United States upon such persons or to enforce against them or us in U.S. courts, including judgments predicated upon the civil liability provisions of the federal securities laws of the United States.</w:t>
      </w:r>
    </w:p>
    <w:p>
      <w:pPr>
        <w:spacing w:after="0" w:line="122" w:lineRule="exact"/>
        <w:rPr>
          <w:sz w:val="20"/>
          <w:szCs w:val="20"/>
          <w:color w:val="auto"/>
        </w:rPr>
      </w:pPr>
    </w:p>
    <w:p>
      <w:pPr>
        <w:ind w:left="1260" w:right="439" w:firstLine="648"/>
        <w:spacing w:after="0" w:line="250" w:lineRule="auto"/>
        <w:rPr>
          <w:sz w:val="20"/>
          <w:szCs w:val="20"/>
          <w:color w:val="auto"/>
        </w:rPr>
      </w:pPr>
      <w:r>
        <w:rPr>
          <w:rFonts w:ascii="Arial" w:cs="Arial" w:eastAsia="Arial" w:hAnsi="Arial"/>
          <w:sz w:val="17"/>
          <w:szCs w:val="17"/>
          <w:color w:val="auto"/>
        </w:rPr>
        <w:t>There is currently no treaty between the United States and the Netherlands for the mutual recognition and enforcement of judgments (other than arbitration awards) in civil and commercial matters. Therefore, a final judgment for the payment of money rendered by any federal or state court in the United States based on civil liability, whether or not predicated solely upon the U.S. federal securities laws, would not be enforceable in the Netherlands unless the underlying claim is relitigated before a Dutch court of competent jurisdiction. Under current practice, however, a Dutch court will generally, subject to compliance with certain procedural requirements, grant the same judgment without a review of the merits of the underlying claim if such judgment (i) is a final judgment and has been rendered by a court, which has established its jurisdiction vis-à-vis the relevant Dutch companies or Dutch company, as the case may be, on the basis of internationally accepted grounds of jurisdiction, (ii) has not been rendered in violation of principles of proper procedure (</w:t>
      </w:r>
      <w:r>
        <w:rPr>
          <w:rFonts w:ascii="Arial" w:cs="Arial" w:eastAsia="Arial" w:hAnsi="Arial"/>
          <w:sz w:val="17"/>
          <w:szCs w:val="17"/>
          <w:i w:val="1"/>
          <w:iCs w:val="1"/>
          <w:color w:val="auto"/>
        </w:rPr>
        <w:t>behoorlijke rechtspleging</w:t>
      </w:r>
      <w:r>
        <w:rPr>
          <w:rFonts w:ascii="Arial" w:cs="Arial" w:eastAsia="Arial" w:hAnsi="Arial"/>
          <w:sz w:val="17"/>
          <w:szCs w:val="17"/>
          <w:color w:val="auto"/>
        </w:rPr>
        <w:t xml:space="preserve"> ), (iii) is not contrary to the public policy of the Netherlands, and (iv) is not incompatible with (a) a prior judgment of a Dutch court rendered in a dispute between the same parties, or (b) a prior judgment of a foreign court rendered in a dispute between the same parties, concerning the same subject matter and based on the same cause of action, provided that such prior judgment is capable of being recognized in the Netherlands and except to the extent that the foreign judgment contravenes Dutch public policy (</w:t>
      </w:r>
      <w:r>
        <w:rPr>
          <w:rFonts w:ascii="Arial" w:cs="Arial" w:eastAsia="Arial" w:hAnsi="Arial"/>
          <w:sz w:val="17"/>
          <w:szCs w:val="17"/>
          <w:i w:val="1"/>
          <w:iCs w:val="1"/>
          <w:color w:val="auto"/>
        </w:rPr>
        <w:t>openbare orde</w:t>
      </w:r>
      <w:r>
        <w:rPr>
          <w:rFonts w:ascii="Arial" w:cs="Arial" w:eastAsia="Arial" w:hAnsi="Arial"/>
          <w:sz w:val="17"/>
          <w:szCs w:val="17"/>
          <w:color w:val="auto"/>
        </w:rPr>
        <w:t>). Dutch courts may deny the recognition and enforcement of punitive damages or other awards. Moreover, a Dutch court may reduce the amount of damages granted by a U.S. court and recognize damages only to the extent that they are necessary to compensate actual losses or damages. Enforcement and recognition of judgments of U.S. courts in the Netherlands are solely governed by the provisions of the Dutch Code of Civil Procedure. Based on the foregoing, there can be no assurance that U.S. investors will be able to enforce any judgments obtained in U.S. courts in civil and commercial matters, including judgments under the U.S. federal securities.</w:t>
      </w:r>
    </w:p>
    <w:p>
      <w:pPr>
        <w:spacing w:after="0" w:line="110" w:lineRule="exact"/>
        <w:rPr>
          <w:sz w:val="20"/>
          <w:szCs w:val="20"/>
          <w:color w:val="auto"/>
        </w:rPr>
      </w:pPr>
    </w:p>
    <w:p>
      <w:pPr>
        <w:ind w:left="1260" w:right="439" w:firstLine="648"/>
        <w:spacing w:after="0" w:line="239" w:lineRule="auto"/>
        <w:rPr>
          <w:sz w:val="20"/>
          <w:szCs w:val="20"/>
          <w:color w:val="auto"/>
        </w:rPr>
      </w:pPr>
      <w:r>
        <w:rPr>
          <w:rFonts w:ascii="Arial" w:cs="Arial" w:eastAsia="Arial" w:hAnsi="Arial"/>
          <w:sz w:val="18"/>
          <w:szCs w:val="18"/>
          <w:color w:val="auto"/>
        </w:rPr>
        <w:t>The United States and Germany currently do not have a treaty providing for the reciprocal recognition and enforcement of judgments, in civil and commercial matters. Consequently, a final judgment for payment or declaratory judgments given by a court in the United States, whether or not predicated solely upon U.S. securities laws, would not automatically be recognized or enforceable in Germany. German courts may deny the recognition and enforcement of a judgment rendered by a U.S. court if they consider the U.S. court not to be competent or the decision to be in violation of German public policy principles. For example,</w:t>
      </w:r>
    </w:p>
    <w:p>
      <w:pPr>
        <w:spacing w:after="0" w:line="38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309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14" w:name="page315"/>
    <w:bookmarkEnd w:id="3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39"/>
        <w:spacing w:after="0" w:line="263" w:lineRule="auto"/>
        <w:rPr>
          <w:sz w:val="20"/>
          <w:szCs w:val="20"/>
          <w:color w:val="auto"/>
        </w:rPr>
      </w:pPr>
      <w:r>
        <w:rPr>
          <w:rFonts w:ascii="Arial" w:cs="Arial" w:eastAsia="Arial" w:hAnsi="Arial"/>
          <w:sz w:val="18"/>
          <w:szCs w:val="18"/>
          <w:color w:val="auto"/>
        </w:rPr>
        <w:t>judgments awarding punitive damages are generally not enforceable in Germany. A German court may reduce the amount of damages granted by a U.S. court and recognize damages only to the extent that they are necessary to compensate actual losses or damages.</w:t>
      </w:r>
    </w:p>
    <w:p>
      <w:pPr>
        <w:spacing w:after="0" w:line="116" w:lineRule="exact"/>
        <w:rPr>
          <w:sz w:val="20"/>
          <w:szCs w:val="20"/>
          <w:color w:val="auto"/>
        </w:rPr>
      </w:pPr>
    </w:p>
    <w:p>
      <w:pPr>
        <w:ind w:left="1260" w:right="479" w:firstLine="648"/>
        <w:spacing w:after="0" w:line="252" w:lineRule="auto"/>
        <w:rPr>
          <w:sz w:val="20"/>
          <w:szCs w:val="20"/>
          <w:color w:val="auto"/>
        </w:rPr>
      </w:pPr>
      <w:r>
        <w:rPr>
          <w:rFonts w:ascii="Arial" w:cs="Arial" w:eastAsia="Arial" w:hAnsi="Arial"/>
          <w:sz w:val="18"/>
          <w:szCs w:val="18"/>
          <w:color w:val="auto"/>
        </w:rPr>
        <w:t>In addition, actions brought in a German court against us, our management board and supervisory board and the experts named herein to enforce liabilities based on U.S. federal securities laws may be subject to certain restrictions. In particular, German courts generally do not award punitive damages. Litigation in Germany is also subject to rules of procedure that differ from the U.S. rules, including with respect to the taking and admissibility of evidence, the conduct of the proceedings and the allocation of costs. German procedural law does not provide for pre-trial discovery of documents, nor does Germany support pre-trial discovery of documents under the 1970 Hague Evidence Convention. Proceedings in Germany would have to be conducted in the German language and all documents submitted to the court would, in principle, have to be translated into German. For these reasons, it may be difficult for a U.S. investor to bring an original action in a German court predicated upon the civil liability provisions of the U.S. federal securities laws against us, our management board and supervisory board and the experts named in this prospectus.</w:t>
      </w:r>
    </w:p>
    <w:p>
      <w:pPr>
        <w:spacing w:after="0" w:line="19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2" w:lineRule="exact"/>
        <w:rPr>
          <w:sz w:val="20"/>
          <w:szCs w:val="20"/>
          <w:color w:val="auto"/>
        </w:rPr>
      </w:pPr>
    </w:p>
    <w:p>
      <w:pPr>
        <w:ind w:left="1260" w:right="519" w:firstLine="648"/>
        <w:spacing w:after="0" w:line="271" w:lineRule="auto"/>
        <w:rPr>
          <w:sz w:val="20"/>
          <w:szCs w:val="20"/>
          <w:color w:val="auto"/>
        </w:rPr>
      </w:pPr>
      <w:r>
        <w:rPr>
          <w:rFonts w:ascii="Arial" w:cs="Arial" w:eastAsia="Arial" w:hAnsi="Arial"/>
          <w:sz w:val="17"/>
          <w:szCs w:val="17"/>
          <w:color w:val="auto"/>
        </w:rPr>
        <w:t>We have filed with the U.S. Securities and Exchange Commission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97" w:lineRule="exact"/>
        <w:rPr>
          <w:sz w:val="20"/>
          <w:szCs w:val="20"/>
          <w:color w:val="auto"/>
        </w:rPr>
      </w:pPr>
    </w:p>
    <w:p>
      <w:pPr>
        <w:ind w:left="1260" w:right="439" w:firstLine="648"/>
        <w:spacing w:after="0" w:line="279" w:lineRule="auto"/>
        <w:rPr>
          <w:sz w:val="20"/>
          <w:szCs w:val="20"/>
          <w:color w:val="auto"/>
        </w:rPr>
      </w:pPr>
      <w:r>
        <w:rPr>
          <w:rFonts w:ascii="Arial" w:cs="Arial" w:eastAsia="Arial" w:hAnsi="Arial"/>
          <w:sz w:val="17"/>
          <w:szCs w:val="17"/>
          <w:color w:val="auto"/>
        </w:rPr>
        <w:t>We are subject to the informational requirements of the Exchange Act. Accordingly, are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www.sec.gov.</w:t>
      </w:r>
    </w:p>
    <w:p>
      <w:pPr>
        <w:spacing w:after="0" w:line="104" w:lineRule="exact"/>
        <w:rPr>
          <w:sz w:val="20"/>
          <w:szCs w:val="20"/>
          <w:color w:val="auto"/>
        </w:rPr>
      </w:pPr>
    </w:p>
    <w:p>
      <w:pPr>
        <w:ind w:left="1260" w:right="539" w:firstLine="648"/>
        <w:spacing w:after="0" w:line="273" w:lineRule="auto"/>
        <w:rPr>
          <w:sz w:val="20"/>
          <w:szCs w:val="20"/>
          <w:color w:val="auto"/>
        </w:rPr>
      </w:pPr>
      <w:r>
        <w:rPr>
          <w:rFonts w:ascii="Arial" w:cs="Arial" w:eastAsia="Arial" w:hAnsi="Arial"/>
          <w:sz w:val="17"/>
          <w:szCs w:val="17"/>
          <w:color w:val="auto"/>
        </w:rPr>
        <w:t>As a foreign private issuer, we are exempt under the Exchange Act from, among other things, the rules prescribing the furnishing and content of proxy statements, and our executive officers, managing directors, supervisory directors and principal shareholders are exempt from the reporting and short-swing profit recovery provisions contained in Section 16 of the Exchange Act. In addition, we are not be required under the Exchange Act to file periodic reports and financial statements with the SEC as frequently or as promptly as U.S. companies whose securities are registered under the Exchange Act.</w:t>
      </w:r>
    </w:p>
    <w:p>
      <w:pPr>
        <w:spacing w:after="0" w:line="110" w:lineRule="exact"/>
        <w:rPr>
          <w:sz w:val="20"/>
          <w:szCs w:val="20"/>
          <w:color w:val="auto"/>
        </w:rPr>
      </w:pPr>
    </w:p>
    <w:p>
      <w:pPr>
        <w:ind w:left="1260" w:right="619" w:firstLine="648"/>
        <w:spacing w:after="0" w:line="255" w:lineRule="auto"/>
        <w:rPr>
          <w:sz w:val="20"/>
          <w:szCs w:val="20"/>
          <w:color w:val="auto"/>
        </w:rPr>
      </w:pPr>
      <w:r>
        <w:rPr>
          <w:rFonts w:ascii="Arial" w:cs="Arial" w:eastAsia="Arial" w:hAnsi="Arial"/>
          <w:sz w:val="18"/>
          <w:szCs w:val="18"/>
          <w:color w:val="auto"/>
        </w:rPr>
        <w:t>We will send the transfer agent a copy of all notices of shareholders’ meetings and other reports, communications and information that are made generally available to shareholders. The transfer agent has agreed to mail to all shareholders a notice containing the information (or a summary of the information) contained in any notice of a meeting of our shareholders received by the transfer agent and will make available to all shareholders such notices and all such other reports and communications received by the transfer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310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15" w:name="page316"/>
    <w:bookmarkEnd w:id="3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160" w:type="dxa"/>
            <w:vAlign w:val="bottom"/>
            <w:gridSpan w:val="9"/>
          </w:tcPr>
          <w:p>
            <w:pPr>
              <w:ind w:left="160"/>
              <w:spacing w:after="0"/>
              <w:rPr>
                <w:sz w:val="20"/>
                <w:szCs w:val="20"/>
                <w:color w:val="auto"/>
              </w:rPr>
            </w:pPr>
            <w:r>
              <w:rPr>
                <w:rFonts w:ascii="Arial" w:cs="Arial" w:eastAsia="Arial" w:hAnsi="Arial"/>
                <w:sz w:val="18"/>
                <w:szCs w:val="18"/>
                <w:b w:val="1"/>
                <w:bCs w:val="1"/>
                <w:color w:val="auto"/>
              </w:rPr>
              <w:t>INDEX TO FINANCIAL STATEMENTS</w:t>
            </w:r>
          </w:p>
        </w:tc>
        <w:tc>
          <w:tcPr>
            <w:tcW w:w="640" w:type="dxa"/>
            <w:vAlign w:val="bottom"/>
          </w:tcPr>
          <w:p>
            <w:pPr>
              <w:spacing w:after="0"/>
              <w:rPr>
                <w:sz w:val="20"/>
                <w:szCs w:val="20"/>
                <w:color w:val="auto"/>
              </w:rPr>
            </w:pPr>
          </w:p>
        </w:tc>
      </w:tr>
      <w:tr>
        <w:trPr>
          <w:trHeight w:val="189"/>
        </w:trPr>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89"/>
        </w:trPr>
        <w:tc>
          <w:tcPr>
            <w:tcW w:w="7560" w:type="dxa"/>
            <w:vAlign w:val="bottom"/>
            <w:gridSpan w:val="14"/>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Unaudited Interim Condensed Consolidated Financial Statements — CureVac N.V.</w:t>
            </w:r>
          </w:p>
        </w:tc>
        <w:tc>
          <w:tcPr>
            <w:tcW w:w="640" w:type="dxa"/>
            <w:vAlign w:val="bottom"/>
            <w:shd w:val="clear" w:color="auto" w:fill="CCEEFF"/>
          </w:tcPr>
          <w:p>
            <w:pPr>
              <w:spacing w:after="0"/>
              <w:rPr>
                <w:sz w:val="16"/>
                <w:szCs w:val="16"/>
                <w:color w:val="auto"/>
              </w:rPr>
            </w:pPr>
          </w:p>
        </w:tc>
      </w:tr>
      <w:tr>
        <w:trPr>
          <w:trHeight w:val="203"/>
        </w:trPr>
        <w:tc>
          <w:tcPr>
            <w:tcW w:w="7560" w:type="dxa"/>
            <w:vAlign w:val="bottom"/>
            <w:tcBorders>
              <w:bottom w:val="single" w:sz="8" w:color="0000EE"/>
            </w:tcBorders>
            <w:gridSpan w:val="14"/>
          </w:tcPr>
          <w:p>
            <w:pPr>
              <w:spacing w:after="0" w:line="202" w:lineRule="exact"/>
              <w:rPr>
                <w:rFonts w:ascii="Arial" w:cs="Arial" w:eastAsia="Arial" w:hAnsi="Arial"/>
                <w:sz w:val="18"/>
                <w:szCs w:val="18"/>
                <w:color w:val="0000EE"/>
                <w:w w:val="93"/>
              </w:rPr>
            </w:pPr>
            <w:hyperlink w:anchor="page316">
              <w:r>
                <w:rPr>
                  <w:rFonts w:ascii="Arial" w:cs="Arial" w:eastAsia="Arial" w:hAnsi="Arial"/>
                  <w:sz w:val="18"/>
                  <w:szCs w:val="18"/>
                  <w:color w:val="0000EE"/>
                  <w:w w:val="93"/>
                </w:rPr>
                <w:t>Interim condensed consolidated statements of operations and other comprehensive income (loss) for</w:t>
              </w:r>
            </w:hyperlink>
          </w:p>
        </w:tc>
        <w:tc>
          <w:tcPr>
            <w:tcW w:w="64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7380" w:type="dxa"/>
            <w:vAlign w:val="bottom"/>
            <w:gridSpan w:val="13"/>
          </w:tcPr>
          <w:p>
            <w:pPr>
              <w:spacing w:after="0" w:line="196" w:lineRule="exact"/>
              <w:rPr>
                <w:rFonts w:ascii="Arial" w:cs="Arial" w:eastAsia="Arial" w:hAnsi="Arial"/>
                <w:sz w:val="18"/>
                <w:szCs w:val="18"/>
                <w:color w:val="0000EE"/>
              </w:rPr>
            </w:pPr>
            <w:hyperlink w:anchor="page316">
              <w:r>
                <w:rPr>
                  <w:rFonts w:ascii="Arial" w:cs="Arial" w:eastAsia="Arial" w:hAnsi="Arial"/>
                  <w:sz w:val="18"/>
                  <w:szCs w:val="18"/>
                  <w:color w:val="0000EE"/>
                </w:rPr>
                <w:t>the nine months ended September 30, 2019 and 2020</w:t>
              </w:r>
            </w:hyperlink>
          </w:p>
        </w:tc>
        <w:tc>
          <w:tcPr>
            <w:tcW w:w="640" w:type="dxa"/>
            <w:vAlign w:val="bottom"/>
          </w:tcPr>
          <w:p>
            <w:pPr>
              <w:jc w:val="right"/>
              <w:spacing w:after="0" w:line="196" w:lineRule="exact"/>
              <w:rPr>
                <w:rFonts w:ascii="Arial" w:cs="Arial" w:eastAsia="Arial" w:hAnsi="Arial"/>
                <w:sz w:val="18"/>
                <w:szCs w:val="18"/>
                <w:u w:val="single" w:color="auto"/>
                <w:color w:val="0000EE"/>
              </w:rPr>
            </w:pPr>
            <w:hyperlink w:anchor="page316">
              <w:r>
                <w:rPr>
                  <w:rFonts w:ascii="Arial" w:cs="Arial" w:eastAsia="Arial" w:hAnsi="Arial"/>
                  <w:sz w:val="18"/>
                  <w:szCs w:val="18"/>
                  <w:u w:val="single" w:color="auto"/>
                  <w:color w:val="0000EE"/>
                </w:rPr>
                <w:t>F-2</w:t>
              </w:r>
            </w:hyperlink>
          </w:p>
        </w:tc>
      </w:tr>
      <w:tr>
        <w:trPr>
          <w:trHeight w:val="34"/>
        </w:trPr>
        <w:tc>
          <w:tcPr>
            <w:tcW w:w="180" w:type="dxa"/>
            <w:vAlign w:val="bottom"/>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260" w:type="dxa"/>
            <w:vAlign w:val="bottom"/>
            <w:tcBorders>
              <w:top w:val="single" w:sz="8" w:color="0000EE"/>
            </w:tcBorders>
          </w:tcPr>
          <w:p>
            <w:pPr>
              <w:spacing w:after="0"/>
              <w:rPr>
                <w:sz w:val="2"/>
                <w:szCs w:val="2"/>
                <w:color w:val="auto"/>
              </w:rPr>
            </w:pPr>
          </w:p>
        </w:tc>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16"/>
        </w:trPr>
        <w:tc>
          <w:tcPr>
            <w:tcW w:w="7560" w:type="dxa"/>
            <w:vAlign w:val="bottom"/>
            <w:gridSpan w:val="14"/>
            <w:shd w:val="clear" w:color="auto" w:fill="CCEEFF"/>
          </w:tcPr>
          <w:p>
            <w:pPr>
              <w:spacing w:after="0"/>
              <w:rPr>
                <w:rFonts w:ascii="Arial" w:cs="Arial" w:eastAsia="Arial" w:hAnsi="Arial"/>
                <w:sz w:val="18"/>
                <w:szCs w:val="18"/>
                <w:color w:val="0000EE"/>
              </w:rPr>
            </w:pPr>
            <w:hyperlink w:anchor="page317">
              <w:r>
                <w:rPr>
                  <w:rFonts w:ascii="Arial" w:cs="Arial" w:eastAsia="Arial" w:hAnsi="Arial"/>
                  <w:sz w:val="18"/>
                  <w:szCs w:val="18"/>
                  <w:color w:val="0000EE"/>
                </w:rPr>
                <w:t>Interim condensed consolidated statements of financial position as at December 31, 2019 and</w:t>
              </w:r>
            </w:hyperlink>
          </w:p>
        </w:tc>
        <w:tc>
          <w:tcPr>
            <w:tcW w:w="640" w:type="dxa"/>
            <w:vAlign w:val="bottom"/>
            <w:shd w:val="clear" w:color="auto" w:fill="CCEEFF"/>
          </w:tcPr>
          <w:p>
            <w:pPr>
              <w:spacing w:after="0"/>
              <w:rPr>
                <w:sz w:val="18"/>
                <w:szCs w:val="18"/>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860" w:type="dxa"/>
            <w:vAlign w:val="bottom"/>
            <w:tcBorders>
              <w:top w:val="single" w:sz="8" w:color="0000EE"/>
            </w:tcBorders>
            <w:gridSpan w:val="7"/>
            <w:shd w:val="clear" w:color="auto" w:fill="CCEEFF"/>
          </w:tcPr>
          <w:p>
            <w:pPr>
              <w:spacing w:after="0" w:line="196" w:lineRule="exact"/>
              <w:rPr>
                <w:rFonts w:ascii="Arial" w:cs="Arial" w:eastAsia="Arial" w:hAnsi="Arial"/>
                <w:sz w:val="18"/>
                <w:szCs w:val="18"/>
                <w:color w:val="0000EE"/>
              </w:rPr>
            </w:pPr>
            <w:hyperlink w:anchor="page317">
              <w:r>
                <w:rPr>
                  <w:rFonts w:ascii="Arial" w:cs="Arial" w:eastAsia="Arial" w:hAnsi="Arial"/>
                  <w:sz w:val="18"/>
                  <w:szCs w:val="18"/>
                  <w:color w:val="0000EE"/>
                </w:rPr>
                <w:t>September 30, 2020</w:t>
              </w:r>
            </w:hyperlink>
          </w:p>
        </w:tc>
        <w:tc>
          <w:tcPr>
            <w:tcW w:w="520" w:type="dxa"/>
            <w:vAlign w:val="bottom"/>
            <w:tcBorders>
              <w:top w:val="single" w:sz="8" w:color="CCEEFF"/>
            </w:tcBorders>
            <w:gridSpan w:val="6"/>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jc w:val="right"/>
              <w:spacing w:after="0" w:line="196" w:lineRule="exact"/>
              <w:rPr>
                <w:rFonts w:ascii="Arial" w:cs="Arial" w:eastAsia="Arial" w:hAnsi="Arial"/>
                <w:sz w:val="18"/>
                <w:szCs w:val="18"/>
                <w:u w:val="single" w:color="auto"/>
                <w:color w:val="0000EE"/>
              </w:rPr>
            </w:pPr>
            <w:hyperlink w:anchor="page317">
              <w:r>
                <w:rPr>
                  <w:rFonts w:ascii="Arial" w:cs="Arial" w:eastAsia="Arial" w:hAnsi="Arial"/>
                  <w:sz w:val="18"/>
                  <w:szCs w:val="18"/>
                  <w:u w:val="single" w:color="auto"/>
                  <w:color w:val="0000EE"/>
                </w:rPr>
                <w:t>F-3</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28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r>
      <w:tr>
        <w:trPr>
          <w:trHeight w:val="216"/>
        </w:trPr>
        <w:tc>
          <w:tcPr>
            <w:tcW w:w="7400" w:type="dxa"/>
            <w:vAlign w:val="bottom"/>
            <w:tcBorders>
              <w:bottom w:val="single" w:sz="8" w:color="0000EE"/>
            </w:tcBorders>
            <w:gridSpan w:val="11"/>
          </w:tcPr>
          <w:p>
            <w:pPr>
              <w:spacing w:after="0"/>
              <w:rPr>
                <w:rFonts w:ascii="Arial" w:cs="Arial" w:eastAsia="Arial" w:hAnsi="Arial"/>
                <w:sz w:val="18"/>
                <w:szCs w:val="18"/>
                <w:color w:val="0000EE"/>
                <w:w w:val="94"/>
              </w:rPr>
            </w:pPr>
            <w:hyperlink w:anchor="page318">
              <w:r>
                <w:rPr>
                  <w:rFonts w:ascii="Arial" w:cs="Arial" w:eastAsia="Arial" w:hAnsi="Arial"/>
                  <w:sz w:val="18"/>
                  <w:szCs w:val="18"/>
                  <w:color w:val="0000EE"/>
                  <w:w w:val="94"/>
                </w:rPr>
                <w:t>Interim condensed consolidated statements of changes in shareholders’ equity for the nine months</w:t>
              </w:r>
            </w:hyperlink>
          </w:p>
        </w:tc>
        <w:tc>
          <w:tcPr>
            <w:tcW w:w="160" w:type="dxa"/>
            <w:vAlign w:val="bottom"/>
            <w:gridSpan w:val="3"/>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7380" w:type="dxa"/>
            <w:vAlign w:val="bottom"/>
            <w:gridSpan w:val="13"/>
          </w:tcPr>
          <w:p>
            <w:pPr>
              <w:spacing w:after="0" w:line="196" w:lineRule="exact"/>
              <w:rPr>
                <w:rFonts w:ascii="Arial" w:cs="Arial" w:eastAsia="Arial" w:hAnsi="Arial"/>
                <w:sz w:val="18"/>
                <w:szCs w:val="18"/>
                <w:color w:val="0000EE"/>
              </w:rPr>
            </w:pPr>
            <w:hyperlink w:anchor="page318">
              <w:r>
                <w:rPr>
                  <w:rFonts w:ascii="Arial" w:cs="Arial" w:eastAsia="Arial" w:hAnsi="Arial"/>
                  <w:sz w:val="18"/>
                  <w:szCs w:val="18"/>
                  <w:color w:val="0000EE"/>
                </w:rPr>
                <w:t>ended September 30, 2019 and 2020</w:t>
              </w:r>
            </w:hyperlink>
          </w:p>
        </w:tc>
        <w:tc>
          <w:tcPr>
            <w:tcW w:w="640" w:type="dxa"/>
            <w:vAlign w:val="bottom"/>
          </w:tcPr>
          <w:p>
            <w:pPr>
              <w:jc w:val="right"/>
              <w:spacing w:after="0" w:line="196" w:lineRule="exact"/>
              <w:rPr>
                <w:rFonts w:ascii="Arial" w:cs="Arial" w:eastAsia="Arial" w:hAnsi="Arial"/>
                <w:sz w:val="18"/>
                <w:szCs w:val="18"/>
                <w:u w:val="single" w:color="auto"/>
                <w:color w:val="0000EE"/>
              </w:rPr>
            </w:pPr>
            <w:hyperlink w:anchor="page318">
              <w:r>
                <w:rPr>
                  <w:rFonts w:ascii="Arial" w:cs="Arial" w:eastAsia="Arial" w:hAnsi="Arial"/>
                  <w:sz w:val="18"/>
                  <w:szCs w:val="18"/>
                  <w:u w:val="single" w:color="auto"/>
                  <w:color w:val="0000EE"/>
                </w:rPr>
                <w:t>F-4</w:t>
              </w:r>
            </w:hyperlink>
          </w:p>
        </w:tc>
      </w:tr>
      <w:tr>
        <w:trPr>
          <w:trHeight w:val="34"/>
        </w:trPr>
        <w:tc>
          <w:tcPr>
            <w:tcW w:w="180" w:type="dxa"/>
            <w:vAlign w:val="bottom"/>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16"/>
        </w:trPr>
        <w:tc>
          <w:tcPr>
            <w:tcW w:w="7560" w:type="dxa"/>
            <w:vAlign w:val="bottom"/>
            <w:gridSpan w:val="14"/>
            <w:shd w:val="clear" w:color="auto" w:fill="CCEEFF"/>
          </w:tcPr>
          <w:p>
            <w:pPr>
              <w:spacing w:after="0"/>
              <w:rPr>
                <w:rFonts w:ascii="Arial" w:cs="Arial" w:eastAsia="Arial" w:hAnsi="Arial"/>
                <w:sz w:val="18"/>
                <w:szCs w:val="18"/>
                <w:color w:val="0000EE"/>
                <w:w w:val="95"/>
              </w:rPr>
            </w:pPr>
            <w:hyperlink w:anchor="page319">
              <w:r>
                <w:rPr>
                  <w:rFonts w:ascii="Arial" w:cs="Arial" w:eastAsia="Arial" w:hAnsi="Arial"/>
                  <w:sz w:val="18"/>
                  <w:szCs w:val="18"/>
                  <w:color w:val="0000EE"/>
                  <w:w w:val="95"/>
                </w:rPr>
                <w:t>Interim condensed consolidated statements of cash flows for the nine months ended September 30,</w:t>
              </w:r>
            </w:hyperlink>
          </w:p>
        </w:tc>
        <w:tc>
          <w:tcPr>
            <w:tcW w:w="640" w:type="dxa"/>
            <w:vAlign w:val="bottom"/>
            <w:shd w:val="clear" w:color="auto" w:fill="CCEEFF"/>
          </w:tcPr>
          <w:p>
            <w:pPr>
              <w:spacing w:after="0"/>
              <w:rPr>
                <w:sz w:val="18"/>
                <w:szCs w:val="18"/>
                <w:color w:val="auto"/>
              </w:rPr>
            </w:pPr>
          </w:p>
        </w:tc>
      </w:tr>
      <w:tr>
        <w:trPr>
          <w:trHeight w:val="230"/>
        </w:trPr>
        <w:tc>
          <w:tcPr>
            <w:tcW w:w="180" w:type="dxa"/>
            <w:vAlign w:val="bottom"/>
            <w:tcBorders>
              <w:top w:val="single" w:sz="8" w:color="0000EE"/>
              <w:bottom w:val="single" w:sz="8" w:color="CCEEFF"/>
            </w:tcBorders>
            <w:shd w:val="clear" w:color="auto" w:fill="CCEEFF"/>
          </w:tcPr>
          <w:p>
            <w:pPr>
              <w:spacing w:after="0"/>
              <w:rPr>
                <w:sz w:val="20"/>
                <w:szCs w:val="20"/>
                <w:color w:val="auto"/>
              </w:rPr>
            </w:pPr>
          </w:p>
        </w:tc>
        <w:tc>
          <w:tcPr>
            <w:tcW w:w="1120" w:type="dxa"/>
            <w:vAlign w:val="bottom"/>
            <w:tcBorders>
              <w:top w:val="single" w:sz="8" w:color="0000EE"/>
              <w:bottom w:val="single" w:sz="8" w:color="0000EE"/>
            </w:tcBorders>
            <w:gridSpan w:val="2"/>
            <w:shd w:val="clear" w:color="auto" w:fill="CCEEFF"/>
          </w:tcPr>
          <w:p>
            <w:pPr>
              <w:spacing w:after="0" w:line="196" w:lineRule="exact"/>
              <w:rPr>
                <w:rFonts w:ascii="Arial" w:cs="Arial" w:eastAsia="Arial" w:hAnsi="Arial"/>
                <w:sz w:val="18"/>
                <w:szCs w:val="18"/>
                <w:color w:val="0000EE"/>
                <w:w w:val="91"/>
              </w:rPr>
            </w:pPr>
            <w:hyperlink w:anchor="page319">
              <w:r>
                <w:rPr>
                  <w:rFonts w:ascii="Arial" w:cs="Arial" w:eastAsia="Arial" w:hAnsi="Arial"/>
                  <w:sz w:val="18"/>
                  <w:szCs w:val="18"/>
                  <w:color w:val="0000EE"/>
                  <w:w w:val="91"/>
                </w:rPr>
                <w:t>2019 and 2020</w:t>
              </w:r>
            </w:hyperlink>
          </w:p>
        </w:tc>
        <w:tc>
          <w:tcPr>
            <w:tcW w:w="6140" w:type="dxa"/>
            <w:vAlign w:val="bottom"/>
            <w:tcBorders>
              <w:top w:val="single" w:sz="8" w:color="0000EE"/>
              <w:bottom w:val="single" w:sz="8" w:color="CCEEFF"/>
            </w:tcBorders>
            <w:gridSpan w:val="9"/>
            <w:shd w:val="clear" w:color="auto" w:fill="CCEEFF"/>
          </w:tcPr>
          <w:p>
            <w:pPr>
              <w:spacing w:after="0"/>
              <w:rPr>
                <w:sz w:val="20"/>
                <w:szCs w:val="20"/>
                <w:color w:val="auto"/>
              </w:rPr>
            </w:pPr>
          </w:p>
        </w:tc>
        <w:tc>
          <w:tcPr>
            <w:tcW w:w="12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640" w:type="dxa"/>
            <w:vAlign w:val="bottom"/>
            <w:tcBorders>
              <w:top w:val="single" w:sz="8" w:color="CCEEFF"/>
              <w:bottom w:val="single" w:sz="8" w:color="CCEEFF"/>
            </w:tcBorders>
            <w:shd w:val="clear" w:color="auto" w:fill="CCEEFF"/>
          </w:tcPr>
          <w:p>
            <w:pPr>
              <w:jc w:val="right"/>
              <w:spacing w:after="0" w:line="196" w:lineRule="exact"/>
              <w:rPr>
                <w:rFonts w:ascii="Arial" w:cs="Arial" w:eastAsia="Arial" w:hAnsi="Arial"/>
                <w:sz w:val="18"/>
                <w:szCs w:val="18"/>
                <w:u w:val="single" w:color="auto"/>
                <w:color w:val="0000EE"/>
              </w:rPr>
            </w:pPr>
            <w:hyperlink w:anchor="page319">
              <w:r>
                <w:rPr>
                  <w:rFonts w:ascii="Arial" w:cs="Arial" w:eastAsia="Arial" w:hAnsi="Arial"/>
                  <w:sz w:val="18"/>
                  <w:szCs w:val="18"/>
                  <w:u w:val="single" w:color="auto"/>
                  <w:color w:val="0000EE"/>
                </w:rPr>
                <w:t>F-5</w:t>
              </w:r>
            </w:hyperlink>
          </w:p>
        </w:tc>
      </w:tr>
      <w:tr>
        <w:trPr>
          <w:trHeight w:val="216"/>
        </w:trPr>
        <w:tc>
          <w:tcPr>
            <w:tcW w:w="7220" w:type="dxa"/>
            <w:vAlign w:val="bottom"/>
            <w:tcBorders>
              <w:bottom w:val="single" w:sz="8" w:color="0000EE"/>
            </w:tcBorders>
            <w:gridSpan w:val="9"/>
          </w:tcPr>
          <w:p>
            <w:pPr>
              <w:spacing w:after="0"/>
              <w:rPr>
                <w:rFonts w:ascii="Arial" w:cs="Arial" w:eastAsia="Arial" w:hAnsi="Arial"/>
                <w:sz w:val="18"/>
                <w:szCs w:val="18"/>
                <w:color w:val="0000EE"/>
                <w:w w:val="94"/>
              </w:rPr>
            </w:pPr>
            <w:hyperlink w:anchor="page320">
              <w:r>
                <w:rPr>
                  <w:rFonts w:ascii="Arial" w:cs="Arial" w:eastAsia="Arial" w:hAnsi="Arial"/>
                  <w:sz w:val="18"/>
                  <w:szCs w:val="18"/>
                  <w:color w:val="0000EE"/>
                  <w:w w:val="94"/>
                </w:rPr>
                <w:t>Notes to the unaudited interim condensed consolidated financial statements for the nine months</w:t>
              </w:r>
            </w:hyperlink>
          </w:p>
        </w:tc>
        <w:tc>
          <w:tcPr>
            <w:tcW w:w="340" w:type="dxa"/>
            <w:vAlign w:val="bottom"/>
            <w:gridSpan w:val="5"/>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7380" w:type="dxa"/>
            <w:vAlign w:val="bottom"/>
            <w:gridSpan w:val="13"/>
          </w:tcPr>
          <w:p>
            <w:pPr>
              <w:spacing w:after="0" w:line="196" w:lineRule="exact"/>
              <w:rPr>
                <w:rFonts w:ascii="Arial" w:cs="Arial" w:eastAsia="Arial" w:hAnsi="Arial"/>
                <w:sz w:val="18"/>
                <w:szCs w:val="18"/>
                <w:color w:val="0000EE"/>
              </w:rPr>
            </w:pPr>
            <w:hyperlink w:anchor="page320">
              <w:r>
                <w:rPr>
                  <w:rFonts w:ascii="Arial" w:cs="Arial" w:eastAsia="Arial" w:hAnsi="Arial"/>
                  <w:sz w:val="18"/>
                  <w:szCs w:val="18"/>
                  <w:color w:val="0000EE"/>
                </w:rPr>
                <w:t>ended September 30, 2019 and 2020</w:t>
              </w:r>
            </w:hyperlink>
          </w:p>
        </w:tc>
        <w:tc>
          <w:tcPr>
            <w:tcW w:w="640" w:type="dxa"/>
            <w:vAlign w:val="bottom"/>
          </w:tcPr>
          <w:p>
            <w:pPr>
              <w:jc w:val="right"/>
              <w:spacing w:after="0" w:line="196" w:lineRule="exact"/>
              <w:rPr>
                <w:rFonts w:ascii="Arial" w:cs="Arial" w:eastAsia="Arial" w:hAnsi="Arial"/>
                <w:sz w:val="18"/>
                <w:szCs w:val="18"/>
                <w:u w:val="single" w:color="auto"/>
                <w:color w:val="0000EE"/>
              </w:rPr>
            </w:pPr>
            <w:hyperlink w:anchor="page320">
              <w:r>
                <w:rPr>
                  <w:rFonts w:ascii="Arial" w:cs="Arial" w:eastAsia="Arial" w:hAnsi="Arial"/>
                  <w:sz w:val="18"/>
                  <w:szCs w:val="18"/>
                  <w:u w:val="single" w:color="auto"/>
                  <w:color w:val="0000EE"/>
                </w:rPr>
                <w:t>F-6</w:t>
              </w:r>
            </w:hyperlink>
          </w:p>
        </w:tc>
      </w:tr>
      <w:tr>
        <w:trPr>
          <w:trHeight w:val="34"/>
        </w:trPr>
        <w:tc>
          <w:tcPr>
            <w:tcW w:w="180" w:type="dxa"/>
            <w:vAlign w:val="bottom"/>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378"/>
        </w:trPr>
        <w:tc>
          <w:tcPr>
            <w:tcW w:w="7560" w:type="dxa"/>
            <w:vAlign w:val="bottom"/>
            <w:gridSpan w:val="14"/>
            <w:shd w:val="clear" w:color="auto" w:fill="CCEEFF"/>
          </w:tcPr>
          <w:p>
            <w:pPr>
              <w:spacing w:after="0"/>
              <w:rPr>
                <w:sz w:val="20"/>
                <w:szCs w:val="20"/>
                <w:color w:val="auto"/>
              </w:rPr>
            </w:pPr>
            <w:r>
              <w:rPr>
                <w:rFonts w:ascii="Arial" w:cs="Arial" w:eastAsia="Arial" w:hAnsi="Arial"/>
                <w:sz w:val="18"/>
                <w:szCs w:val="18"/>
                <w:b w:val="1"/>
                <w:bCs w:val="1"/>
                <w:color w:val="auto"/>
              </w:rPr>
              <w:t>Consolidated Financial Statements — CureVac AG</w:t>
            </w:r>
          </w:p>
        </w:tc>
        <w:tc>
          <w:tcPr>
            <w:tcW w:w="640" w:type="dxa"/>
            <w:vAlign w:val="bottom"/>
            <w:shd w:val="clear" w:color="auto" w:fill="CCEEFF"/>
          </w:tcPr>
          <w:p>
            <w:pPr>
              <w:spacing w:after="0"/>
              <w:rPr>
                <w:sz w:val="24"/>
                <w:szCs w:val="24"/>
                <w:color w:val="auto"/>
              </w:rPr>
            </w:pPr>
          </w:p>
        </w:tc>
      </w:tr>
      <w:tr>
        <w:trPr>
          <w:trHeight w:val="270"/>
        </w:trPr>
        <w:tc>
          <w:tcPr>
            <w:tcW w:w="7560" w:type="dxa"/>
            <w:vAlign w:val="bottom"/>
            <w:gridSpan w:val="14"/>
          </w:tcPr>
          <w:p>
            <w:pPr>
              <w:spacing w:after="0"/>
              <w:rPr>
                <w:rFonts w:ascii="Arial" w:cs="Arial" w:eastAsia="Arial" w:hAnsi="Arial"/>
                <w:sz w:val="18"/>
                <w:szCs w:val="18"/>
                <w:u w:val="single" w:color="auto"/>
                <w:color w:val="0000EE"/>
              </w:rPr>
            </w:pPr>
            <w:hyperlink w:anchor="page331">
              <w:r>
                <w:rPr>
                  <w:rFonts w:ascii="Arial" w:cs="Arial" w:eastAsia="Arial" w:hAnsi="Arial"/>
                  <w:sz w:val="18"/>
                  <w:szCs w:val="18"/>
                  <w:u w:val="single" w:color="auto"/>
                  <w:color w:val="0000EE"/>
                </w:rPr>
                <w:t>Report of independent registered public accounting firm</w:t>
              </w:r>
            </w:hyperlink>
          </w:p>
        </w:tc>
        <w:tc>
          <w:tcPr>
            <w:tcW w:w="640" w:type="dxa"/>
            <w:vAlign w:val="bottom"/>
          </w:tcPr>
          <w:p>
            <w:pPr>
              <w:jc w:val="right"/>
              <w:spacing w:after="0"/>
              <w:rPr>
                <w:rFonts w:ascii="Arial" w:cs="Arial" w:eastAsia="Arial" w:hAnsi="Arial"/>
                <w:sz w:val="18"/>
                <w:szCs w:val="18"/>
                <w:u w:val="single" w:color="auto"/>
                <w:color w:val="0000EE"/>
              </w:rPr>
            </w:pPr>
            <w:hyperlink w:anchor="page331">
              <w:r>
                <w:rPr>
                  <w:rFonts w:ascii="Arial" w:cs="Arial" w:eastAsia="Arial" w:hAnsi="Arial"/>
                  <w:sz w:val="18"/>
                  <w:szCs w:val="18"/>
                  <w:u w:val="single" w:color="auto"/>
                  <w:color w:val="0000EE"/>
                </w:rPr>
                <w:t>F-17</w:t>
              </w:r>
            </w:hyperlink>
          </w:p>
        </w:tc>
      </w:tr>
      <w:tr>
        <w:trPr>
          <w:trHeight w:val="216"/>
        </w:trPr>
        <w:tc>
          <w:tcPr>
            <w:tcW w:w="7380" w:type="dxa"/>
            <w:vAlign w:val="bottom"/>
            <w:tcBorders>
              <w:bottom w:val="single" w:sz="8" w:color="0000EE"/>
            </w:tcBorders>
            <w:gridSpan w:val="10"/>
            <w:shd w:val="clear" w:color="auto" w:fill="CCEEFF"/>
          </w:tcPr>
          <w:p>
            <w:pPr>
              <w:spacing w:after="0"/>
              <w:rPr>
                <w:rFonts w:ascii="Arial" w:cs="Arial" w:eastAsia="Arial" w:hAnsi="Arial"/>
                <w:sz w:val="18"/>
                <w:szCs w:val="18"/>
                <w:color w:val="0000EE"/>
                <w:w w:val="93"/>
              </w:rPr>
            </w:pPr>
            <w:hyperlink w:anchor="page332">
              <w:r>
                <w:rPr>
                  <w:rFonts w:ascii="Arial" w:cs="Arial" w:eastAsia="Arial" w:hAnsi="Arial"/>
                  <w:sz w:val="18"/>
                  <w:szCs w:val="18"/>
                  <w:color w:val="0000EE"/>
                  <w:w w:val="93"/>
                </w:rPr>
                <w:t>Consolidated statements of operations and other comprehensive income (loss) for the years ended</w:t>
              </w:r>
            </w:hyperlink>
          </w:p>
        </w:tc>
        <w:tc>
          <w:tcPr>
            <w:tcW w:w="180" w:type="dxa"/>
            <w:vAlign w:val="bottom"/>
            <w:tcBorders>
              <w:bottom w:val="single" w:sz="8" w:color="CCEEFF"/>
            </w:tcBorders>
            <w:gridSpan w:val="4"/>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230"/>
        </w:trPr>
        <w:tc>
          <w:tcPr>
            <w:tcW w:w="18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0000EE"/>
            </w:tcBorders>
            <w:gridSpan w:val="4"/>
            <w:shd w:val="clear" w:color="auto" w:fill="CCEEFF"/>
          </w:tcPr>
          <w:p>
            <w:pPr>
              <w:spacing w:after="0" w:line="196" w:lineRule="exact"/>
              <w:rPr>
                <w:rFonts w:ascii="Arial" w:cs="Arial" w:eastAsia="Arial" w:hAnsi="Arial"/>
                <w:sz w:val="18"/>
                <w:szCs w:val="18"/>
                <w:color w:val="0000EE"/>
                <w:w w:val="92"/>
              </w:rPr>
            </w:pPr>
            <w:hyperlink w:anchor="page332">
              <w:r>
                <w:rPr>
                  <w:rFonts w:ascii="Arial" w:cs="Arial" w:eastAsia="Arial" w:hAnsi="Arial"/>
                  <w:sz w:val="18"/>
                  <w:szCs w:val="18"/>
                  <w:color w:val="0000EE"/>
                  <w:w w:val="92"/>
                </w:rPr>
                <w:t>December 31, 2018 and 2019</w:t>
              </w:r>
            </w:hyperlink>
          </w:p>
        </w:tc>
        <w:tc>
          <w:tcPr>
            <w:tcW w:w="5160" w:type="dxa"/>
            <w:vAlign w:val="bottom"/>
            <w:tcBorders>
              <w:bottom w:val="single" w:sz="8" w:color="CCEEFF"/>
            </w:tcBorders>
            <w:gridSpan w:val="9"/>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line="196" w:lineRule="exact"/>
              <w:rPr>
                <w:rFonts w:ascii="Arial" w:cs="Arial" w:eastAsia="Arial" w:hAnsi="Arial"/>
                <w:sz w:val="18"/>
                <w:szCs w:val="18"/>
                <w:u w:val="single" w:color="auto"/>
                <w:color w:val="0000EE"/>
              </w:rPr>
            </w:pPr>
            <w:hyperlink w:anchor="page332">
              <w:r>
                <w:rPr>
                  <w:rFonts w:ascii="Arial" w:cs="Arial" w:eastAsia="Arial" w:hAnsi="Arial"/>
                  <w:sz w:val="18"/>
                  <w:szCs w:val="18"/>
                  <w:u w:val="single" w:color="auto"/>
                  <w:color w:val="0000EE"/>
                </w:rPr>
                <w:t>F-18</w:t>
              </w:r>
            </w:hyperlink>
          </w:p>
        </w:tc>
      </w:tr>
      <w:tr>
        <w:trPr>
          <w:trHeight w:val="270"/>
        </w:trPr>
        <w:tc>
          <w:tcPr>
            <w:tcW w:w="7560" w:type="dxa"/>
            <w:vAlign w:val="bottom"/>
            <w:gridSpan w:val="14"/>
          </w:tcPr>
          <w:p>
            <w:pPr>
              <w:spacing w:after="0"/>
              <w:rPr>
                <w:rFonts w:ascii="Arial" w:cs="Arial" w:eastAsia="Arial" w:hAnsi="Arial"/>
                <w:sz w:val="18"/>
                <w:szCs w:val="18"/>
                <w:u w:val="single" w:color="auto"/>
                <w:color w:val="0000EE"/>
              </w:rPr>
            </w:pPr>
            <w:hyperlink w:anchor="page333">
              <w:r>
                <w:rPr>
                  <w:rFonts w:ascii="Arial" w:cs="Arial" w:eastAsia="Arial" w:hAnsi="Arial"/>
                  <w:sz w:val="18"/>
                  <w:szCs w:val="18"/>
                  <w:u w:val="single" w:color="auto"/>
                  <w:color w:val="0000EE"/>
                </w:rPr>
                <w:t>Consolidated statements of financial position as at December 31, 2018 and 2019</w:t>
              </w:r>
            </w:hyperlink>
          </w:p>
        </w:tc>
        <w:tc>
          <w:tcPr>
            <w:tcW w:w="640" w:type="dxa"/>
            <w:vAlign w:val="bottom"/>
          </w:tcPr>
          <w:p>
            <w:pPr>
              <w:jc w:val="right"/>
              <w:spacing w:after="0"/>
              <w:rPr>
                <w:rFonts w:ascii="Arial" w:cs="Arial" w:eastAsia="Arial" w:hAnsi="Arial"/>
                <w:sz w:val="18"/>
                <w:szCs w:val="18"/>
                <w:u w:val="single" w:color="auto"/>
                <w:color w:val="0000EE"/>
              </w:rPr>
            </w:pPr>
            <w:hyperlink w:anchor="page333">
              <w:r>
                <w:rPr>
                  <w:rFonts w:ascii="Arial" w:cs="Arial" w:eastAsia="Arial" w:hAnsi="Arial"/>
                  <w:sz w:val="18"/>
                  <w:szCs w:val="18"/>
                  <w:u w:val="single" w:color="auto"/>
                  <w:color w:val="0000EE"/>
                </w:rPr>
                <w:t>F-19</w:t>
              </w:r>
            </w:hyperlink>
          </w:p>
        </w:tc>
      </w:tr>
      <w:tr>
        <w:trPr>
          <w:trHeight w:val="216"/>
        </w:trPr>
        <w:tc>
          <w:tcPr>
            <w:tcW w:w="7500" w:type="dxa"/>
            <w:vAlign w:val="bottom"/>
            <w:tcBorders>
              <w:bottom w:val="single" w:sz="8" w:color="0000EE"/>
            </w:tcBorders>
            <w:gridSpan w:val="13"/>
            <w:shd w:val="clear" w:color="auto" w:fill="CCEEFF"/>
          </w:tcPr>
          <w:p>
            <w:pPr>
              <w:spacing w:after="0"/>
              <w:rPr>
                <w:rFonts w:ascii="Arial" w:cs="Arial" w:eastAsia="Arial" w:hAnsi="Arial"/>
                <w:sz w:val="18"/>
                <w:szCs w:val="18"/>
                <w:color w:val="0000EE"/>
                <w:w w:val="93"/>
              </w:rPr>
            </w:pPr>
            <w:hyperlink w:anchor="page334">
              <w:r>
                <w:rPr>
                  <w:rFonts w:ascii="Arial" w:cs="Arial" w:eastAsia="Arial" w:hAnsi="Arial"/>
                  <w:sz w:val="18"/>
                  <w:szCs w:val="18"/>
                  <w:color w:val="0000EE"/>
                  <w:w w:val="93"/>
                </w:rPr>
                <w:t>Consolidated statements of changes in shareholders’ equity for the years ended December 31, 2018</w:t>
              </w:r>
            </w:hyperlink>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230"/>
        </w:trPr>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90"/>
              </w:rPr>
            </w:pPr>
            <w:hyperlink w:anchor="page334">
              <w:r>
                <w:rPr>
                  <w:rFonts w:ascii="Arial" w:cs="Arial" w:eastAsia="Arial" w:hAnsi="Arial"/>
                  <w:sz w:val="18"/>
                  <w:szCs w:val="18"/>
                  <w:color w:val="0000EE"/>
                  <w:w w:val="90"/>
                </w:rPr>
                <w:t>and 2019</w:t>
              </w:r>
            </w:hyperlink>
          </w:p>
        </w:tc>
        <w:tc>
          <w:tcPr>
            <w:tcW w:w="6680" w:type="dxa"/>
            <w:vAlign w:val="bottom"/>
            <w:tcBorders>
              <w:bottom w:val="single" w:sz="8" w:color="CCEEFF"/>
            </w:tcBorders>
            <w:gridSpan w:val="12"/>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line="196" w:lineRule="exact"/>
              <w:rPr>
                <w:rFonts w:ascii="Arial" w:cs="Arial" w:eastAsia="Arial" w:hAnsi="Arial"/>
                <w:sz w:val="18"/>
                <w:szCs w:val="18"/>
                <w:u w:val="single" w:color="auto"/>
                <w:color w:val="0000EE"/>
              </w:rPr>
            </w:pPr>
            <w:hyperlink w:anchor="page334">
              <w:r>
                <w:rPr>
                  <w:rFonts w:ascii="Arial" w:cs="Arial" w:eastAsia="Arial" w:hAnsi="Arial"/>
                  <w:sz w:val="18"/>
                  <w:szCs w:val="18"/>
                  <w:u w:val="single" w:color="auto"/>
                  <w:color w:val="0000EE"/>
                </w:rPr>
                <w:t>F-20</w:t>
              </w:r>
            </w:hyperlink>
          </w:p>
        </w:tc>
      </w:tr>
      <w:tr>
        <w:trPr>
          <w:trHeight w:val="270"/>
        </w:trPr>
        <w:tc>
          <w:tcPr>
            <w:tcW w:w="7560" w:type="dxa"/>
            <w:vAlign w:val="bottom"/>
            <w:gridSpan w:val="14"/>
          </w:tcPr>
          <w:p>
            <w:pPr>
              <w:spacing w:after="0"/>
              <w:rPr>
                <w:rFonts w:ascii="Arial" w:cs="Arial" w:eastAsia="Arial" w:hAnsi="Arial"/>
                <w:sz w:val="18"/>
                <w:szCs w:val="18"/>
                <w:u w:val="single" w:color="auto"/>
                <w:color w:val="0000EE"/>
              </w:rPr>
            </w:pPr>
            <w:hyperlink w:anchor="page335">
              <w:r>
                <w:rPr>
                  <w:rFonts w:ascii="Arial" w:cs="Arial" w:eastAsia="Arial" w:hAnsi="Arial"/>
                  <w:sz w:val="18"/>
                  <w:szCs w:val="18"/>
                  <w:u w:val="single" w:color="auto"/>
                  <w:color w:val="0000EE"/>
                </w:rPr>
                <w:t>Consolidated statements of cash flows for the years ended December 31, 2018 and 2019</w:t>
              </w:r>
            </w:hyperlink>
          </w:p>
        </w:tc>
        <w:tc>
          <w:tcPr>
            <w:tcW w:w="640" w:type="dxa"/>
            <w:vAlign w:val="bottom"/>
          </w:tcPr>
          <w:p>
            <w:pPr>
              <w:jc w:val="right"/>
              <w:spacing w:after="0"/>
              <w:rPr>
                <w:rFonts w:ascii="Arial" w:cs="Arial" w:eastAsia="Arial" w:hAnsi="Arial"/>
                <w:sz w:val="18"/>
                <w:szCs w:val="18"/>
                <w:u w:val="single" w:color="auto"/>
                <w:color w:val="0000EE"/>
              </w:rPr>
            </w:pPr>
            <w:hyperlink w:anchor="page335">
              <w:r>
                <w:rPr>
                  <w:rFonts w:ascii="Arial" w:cs="Arial" w:eastAsia="Arial" w:hAnsi="Arial"/>
                  <w:sz w:val="18"/>
                  <w:szCs w:val="18"/>
                  <w:u w:val="single" w:color="auto"/>
                  <w:color w:val="0000EE"/>
                </w:rPr>
                <w:t>F-21</w:t>
              </w:r>
            </w:hyperlink>
          </w:p>
        </w:tc>
      </w:tr>
      <w:tr>
        <w:trPr>
          <w:trHeight w:val="270"/>
        </w:trPr>
        <w:tc>
          <w:tcPr>
            <w:tcW w:w="7560" w:type="dxa"/>
            <w:vAlign w:val="bottom"/>
            <w:gridSpan w:val="14"/>
            <w:shd w:val="clear" w:color="auto" w:fill="CCEEFF"/>
          </w:tcPr>
          <w:p>
            <w:pPr>
              <w:spacing w:after="0"/>
              <w:rPr>
                <w:rFonts w:ascii="Arial" w:cs="Arial" w:eastAsia="Arial" w:hAnsi="Arial"/>
                <w:sz w:val="18"/>
                <w:szCs w:val="18"/>
                <w:u w:val="single" w:color="auto"/>
                <w:color w:val="0000EE"/>
                <w:w w:val="97"/>
              </w:rPr>
            </w:pPr>
            <w:hyperlink w:anchor="page336">
              <w:r>
                <w:rPr>
                  <w:rFonts w:ascii="Arial" w:cs="Arial" w:eastAsia="Arial" w:hAnsi="Arial"/>
                  <w:sz w:val="18"/>
                  <w:szCs w:val="18"/>
                  <w:u w:val="single" w:color="auto"/>
                  <w:color w:val="0000EE"/>
                  <w:w w:val="97"/>
                </w:rPr>
                <w:t>Notes to the consolidated financial statements for the years ended December 31, 2018 and 2019</w:t>
              </w:r>
            </w:hyperlink>
          </w:p>
        </w:tc>
        <w:tc>
          <w:tcPr>
            <w:tcW w:w="640" w:type="dxa"/>
            <w:vAlign w:val="bottom"/>
            <w:shd w:val="clear" w:color="auto" w:fill="CCEEFF"/>
          </w:tcPr>
          <w:p>
            <w:pPr>
              <w:jc w:val="right"/>
              <w:spacing w:after="0"/>
              <w:rPr>
                <w:rFonts w:ascii="Arial" w:cs="Arial" w:eastAsia="Arial" w:hAnsi="Arial"/>
                <w:sz w:val="18"/>
                <w:szCs w:val="18"/>
                <w:u w:val="single" w:color="auto"/>
                <w:color w:val="0000EE"/>
              </w:rPr>
            </w:pPr>
            <w:hyperlink w:anchor="page336">
              <w:r>
                <w:rPr>
                  <w:rFonts w:ascii="Arial" w:cs="Arial" w:eastAsia="Arial" w:hAnsi="Arial"/>
                  <w:sz w:val="18"/>
                  <w:szCs w:val="18"/>
                  <w:u w:val="single" w:color="auto"/>
                  <w:color w:val="0000EE"/>
                </w:rPr>
                <w:t>F-22</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16" w:name="page317"/>
    <w:bookmarkEnd w:id="316"/>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CureVac N.V.</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Interim Condensed Consolidated Statements of Operations and</w:t>
      </w:r>
    </w:p>
    <w:p>
      <w:pPr>
        <w:spacing w:after="0" w:line="2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Other Comprehensive Income (Loss)</w:t>
      </w:r>
    </w:p>
    <w:p>
      <w:pPr>
        <w:spacing w:after="0" w:line="17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Nine Months ended</w:t>
            </w:r>
          </w:p>
        </w:tc>
      </w:tr>
      <w:tr>
        <w:trPr>
          <w:trHeight w:val="186"/>
        </w:trPr>
        <w:tc>
          <w:tcPr>
            <w:tcW w:w="26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7"/>
              </w:rPr>
              <w:t>September 30,</w:t>
            </w:r>
          </w:p>
        </w:tc>
      </w:tr>
      <w:tr>
        <w:trPr>
          <w:trHeight w:val="26"/>
        </w:trPr>
        <w:tc>
          <w:tcPr>
            <w:tcW w:w="26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7"/>
        </w:trPr>
        <w:tc>
          <w:tcPr>
            <w:tcW w:w="26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Note</w:t>
            </w:r>
          </w:p>
        </w:tc>
        <w:tc>
          <w:tcPr>
            <w:tcW w:w="580" w:type="dxa"/>
            <w:vAlign w:val="bottom"/>
          </w:tcPr>
          <w:p>
            <w:pPr>
              <w:jc w:val="right"/>
              <w:ind w:right="74"/>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7"/>
                <w:szCs w:val="17"/>
                <w:color w:val="auto"/>
              </w:rPr>
            </w:pPr>
          </w:p>
        </w:tc>
        <w:tc>
          <w:tcPr>
            <w:tcW w:w="560" w:type="dxa"/>
            <w:vAlign w:val="bottom"/>
          </w:tcPr>
          <w:p>
            <w:pPr>
              <w:jc w:val="right"/>
              <w:ind w:right="51"/>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7"/>
                <w:szCs w:val="17"/>
                <w:color w:val="auto"/>
              </w:rPr>
            </w:pPr>
          </w:p>
        </w:tc>
      </w:tr>
      <w:tr>
        <w:trPr>
          <w:trHeight w:val="26"/>
        </w:trPr>
        <w:tc>
          <w:tcPr>
            <w:tcW w:w="26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6080" w:type="dxa"/>
            <w:vAlign w:val="bottom"/>
            <w:gridSpan w:val="2"/>
          </w:tcPr>
          <w:p>
            <w:pPr>
              <w:spacing w:after="0"/>
              <w:rPr>
                <w:sz w:val="20"/>
                <w:szCs w:val="20"/>
                <w:color w:val="auto"/>
              </w:rPr>
            </w:pPr>
            <w:r>
              <w:rPr>
                <w:rFonts w:ascii="Arial" w:cs="Arial" w:eastAsia="Arial" w:hAnsi="Arial"/>
                <w:sz w:val="14"/>
                <w:szCs w:val="14"/>
                <w:b w:val="1"/>
                <w:bCs w:val="1"/>
                <w:color w:val="auto"/>
              </w:rPr>
              <w:t>(in thousands of EUR, except per share amounts)</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9"/>
              </w:rPr>
              <w:t>(unaudited)</w:t>
            </w:r>
          </w:p>
        </w:tc>
      </w:tr>
      <w:tr>
        <w:trPr>
          <w:trHeight w:val="26"/>
        </w:trPr>
        <w:tc>
          <w:tcPr>
            <w:tcW w:w="26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r>
      <w:tr>
        <w:trPr>
          <w:trHeight w:val="257"/>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54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5"/>
              </w:rPr>
              <w:t>3.1</w:t>
            </w:r>
          </w:p>
        </w:tc>
        <w:tc>
          <w:tcPr>
            <w:tcW w:w="2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10,600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42,830</w:t>
            </w:r>
          </w:p>
        </w:tc>
        <w:tc>
          <w:tcPr>
            <w:tcW w:w="60" w:type="dxa"/>
            <w:vAlign w:val="bottom"/>
          </w:tcPr>
          <w:p>
            <w:pPr>
              <w:spacing w:after="0"/>
              <w:rPr>
                <w:sz w:val="22"/>
                <w:szCs w:val="22"/>
                <w:color w:val="auto"/>
              </w:rPr>
            </w:pPr>
          </w:p>
        </w:tc>
      </w:tr>
      <w:tr>
        <w:trPr>
          <w:trHeight w:val="256"/>
        </w:trPr>
        <w:tc>
          <w:tcPr>
            <w:tcW w:w="60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540" w:type="dxa"/>
            <w:vAlign w:val="bottom"/>
            <w:gridSpan w:val="2"/>
          </w:tcPr>
          <w:p>
            <w:pPr>
              <w:jc w:val="center"/>
              <w:ind w:left="130"/>
              <w:spacing w:after="0"/>
              <w:rPr>
                <w:sz w:val="20"/>
                <w:szCs w:val="20"/>
                <w:color w:val="auto"/>
              </w:rPr>
            </w:pPr>
            <w:r>
              <w:rPr>
                <w:rFonts w:ascii="Arial" w:cs="Arial" w:eastAsia="Arial" w:hAnsi="Arial"/>
                <w:sz w:val="18"/>
                <w:szCs w:val="18"/>
                <w:color w:val="auto"/>
                <w:w w:val="95"/>
              </w:rPr>
              <w:t>3.2</w:t>
            </w:r>
          </w:p>
        </w:tc>
        <w:tc>
          <w:tcPr>
            <w:tcW w:w="22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(18,872)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(7,049)</w:t>
            </w:r>
          </w:p>
        </w:tc>
      </w:tr>
      <w:tr>
        <w:trPr>
          <w:trHeight w:val="257"/>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and distribution expenses</w:t>
            </w:r>
          </w:p>
        </w:tc>
        <w:tc>
          <w:tcPr>
            <w:tcW w:w="54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5"/>
              </w:rPr>
              <w:t>3.3</w:t>
            </w:r>
          </w:p>
        </w:tc>
        <w:tc>
          <w:tcPr>
            <w:tcW w:w="2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60" w:type="dxa"/>
            <w:vAlign w:val="bottom"/>
          </w:tcPr>
          <w:p>
            <w:pPr>
              <w:spacing w:after="0"/>
              <w:rPr>
                <w:sz w:val="22"/>
                <w:szCs w:val="22"/>
                <w:color w:val="auto"/>
              </w:rPr>
            </w:pPr>
          </w:p>
        </w:tc>
      </w:tr>
      <w:tr>
        <w:trPr>
          <w:trHeight w:val="257"/>
        </w:trPr>
        <w:tc>
          <w:tcPr>
            <w:tcW w:w="608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540" w:type="dxa"/>
            <w:vAlign w:val="bottom"/>
            <w:gridSpan w:val="2"/>
          </w:tcPr>
          <w:p>
            <w:pPr>
              <w:jc w:val="center"/>
              <w:ind w:left="130"/>
              <w:spacing w:after="0"/>
              <w:rPr>
                <w:sz w:val="20"/>
                <w:szCs w:val="20"/>
                <w:color w:val="auto"/>
              </w:rPr>
            </w:pPr>
            <w:r>
              <w:rPr>
                <w:rFonts w:ascii="Arial" w:cs="Arial" w:eastAsia="Arial" w:hAnsi="Arial"/>
                <w:sz w:val="18"/>
                <w:szCs w:val="18"/>
                <w:color w:val="auto"/>
                <w:w w:val="95"/>
              </w:rPr>
              <w:t>3.4</w:t>
            </w:r>
          </w:p>
        </w:tc>
        <w:tc>
          <w:tcPr>
            <w:tcW w:w="22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(30,665)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(76,337)</w:t>
            </w:r>
          </w:p>
        </w:tc>
      </w:tr>
      <w:tr>
        <w:trPr>
          <w:trHeight w:val="257"/>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54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5"/>
              </w:rPr>
              <w:t>3.5</w:t>
            </w:r>
          </w:p>
        </w:tc>
        <w:tc>
          <w:tcPr>
            <w:tcW w:w="2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(28,504)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(33,147)</w:t>
            </w:r>
          </w:p>
        </w:tc>
        <w:tc>
          <w:tcPr>
            <w:tcW w:w="60" w:type="dxa"/>
            <w:vAlign w:val="bottom"/>
          </w:tcPr>
          <w:p>
            <w:pPr>
              <w:spacing w:after="0"/>
              <w:rPr>
                <w:sz w:val="22"/>
                <w:szCs w:val="22"/>
                <w:color w:val="auto"/>
              </w:rPr>
            </w:pPr>
          </w:p>
        </w:tc>
      </w:tr>
      <w:tr>
        <w:trPr>
          <w:trHeight w:val="257"/>
        </w:trPr>
        <w:tc>
          <w:tcPr>
            <w:tcW w:w="6080" w:type="dxa"/>
            <w:vAlign w:val="bottom"/>
            <w:gridSpan w:val="2"/>
          </w:tcPr>
          <w:p>
            <w:pPr>
              <w:spacing w:after="0"/>
              <w:rPr>
                <w:sz w:val="20"/>
                <w:szCs w:val="20"/>
                <w:color w:val="auto"/>
              </w:rPr>
            </w:pPr>
            <w:r>
              <w:rPr>
                <w:rFonts w:ascii="Arial" w:cs="Arial" w:eastAsia="Arial" w:hAnsi="Arial"/>
                <w:sz w:val="18"/>
                <w:szCs w:val="18"/>
                <w:color w:val="auto"/>
              </w:rPr>
              <w:t>Other operating income</w:t>
            </w:r>
          </w:p>
        </w:tc>
        <w:tc>
          <w:tcPr>
            <w:tcW w:w="540" w:type="dxa"/>
            <w:vAlign w:val="bottom"/>
            <w:gridSpan w:val="2"/>
          </w:tcPr>
          <w:p>
            <w:pPr>
              <w:jc w:val="center"/>
              <w:ind w:left="130"/>
              <w:spacing w:after="0"/>
              <w:rPr>
                <w:sz w:val="20"/>
                <w:szCs w:val="20"/>
                <w:color w:val="auto"/>
              </w:rPr>
            </w:pPr>
            <w:r>
              <w:rPr>
                <w:rFonts w:ascii="Arial" w:cs="Arial" w:eastAsia="Arial" w:hAnsi="Arial"/>
                <w:sz w:val="18"/>
                <w:szCs w:val="18"/>
                <w:color w:val="auto"/>
                <w:w w:val="95"/>
              </w:rPr>
              <w:t>3.6</w:t>
            </w:r>
          </w:p>
        </w:tc>
        <w:tc>
          <w:tcPr>
            <w:tcW w:w="2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3,838</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11,695</w:t>
            </w:r>
          </w:p>
        </w:tc>
      </w:tr>
      <w:tr>
        <w:trPr>
          <w:trHeight w:val="263"/>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60" w:type="dxa"/>
            <w:vAlign w:val="bottom"/>
          </w:tcPr>
          <w:p>
            <w:pPr>
              <w:spacing w:after="0"/>
              <w:rPr>
                <w:sz w:val="22"/>
                <w:szCs w:val="22"/>
                <w:color w:val="auto"/>
              </w:rPr>
            </w:pPr>
          </w:p>
        </w:tc>
      </w:tr>
      <w:tr>
        <w:trPr>
          <w:trHeight w:val="20"/>
        </w:trPr>
        <w:tc>
          <w:tcPr>
            <w:tcW w:w="2600" w:type="dxa"/>
            <w:vAlign w:val="bottom"/>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Operating loss</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2"/>
              </w:rPr>
              <w:t>(64,427)</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(63,174)</w:t>
            </w:r>
          </w:p>
        </w:tc>
      </w:tr>
      <w:tr>
        <w:trPr>
          <w:trHeight w:val="257"/>
        </w:trPr>
        <w:tc>
          <w:tcPr>
            <w:tcW w:w="6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2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3,133</w:t>
            </w:r>
          </w:p>
        </w:tc>
        <w:tc>
          <w:tcPr>
            <w:tcW w:w="22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5,103</w:t>
            </w:r>
          </w:p>
        </w:tc>
        <w:tc>
          <w:tcPr>
            <w:tcW w:w="60" w:type="dxa"/>
            <w:vAlign w:val="bottom"/>
          </w:tcPr>
          <w:p>
            <w:pPr>
              <w:spacing w:after="0"/>
              <w:rPr>
                <w:sz w:val="22"/>
                <w:szCs w:val="22"/>
                <w:color w:val="auto"/>
              </w:rPr>
            </w:pPr>
          </w:p>
        </w:tc>
      </w:tr>
      <w:tr>
        <w:trPr>
          <w:trHeight w:val="263"/>
        </w:trPr>
        <w:tc>
          <w:tcPr>
            <w:tcW w:w="6080" w:type="dxa"/>
            <w:vAlign w:val="bottom"/>
            <w:gridSpan w:val="2"/>
          </w:tcPr>
          <w:p>
            <w:pPr>
              <w:spacing w:after="0"/>
              <w:rPr>
                <w:sz w:val="20"/>
                <w:szCs w:val="20"/>
                <w:color w:val="auto"/>
              </w:rPr>
            </w:pPr>
            <w:r>
              <w:rPr>
                <w:rFonts w:ascii="Arial" w:cs="Arial" w:eastAsia="Arial" w:hAnsi="Arial"/>
                <w:sz w:val="18"/>
                <w:szCs w:val="18"/>
                <w:color w:val="auto"/>
              </w:rPr>
              <w:t>Finance expenses</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(2,924)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(14,519)</w:t>
            </w:r>
          </w:p>
        </w:tc>
      </w:tr>
      <w:tr>
        <w:trPr>
          <w:trHeight w:val="20"/>
        </w:trPr>
        <w:tc>
          <w:tcPr>
            <w:tcW w:w="2600" w:type="dxa"/>
            <w:vAlign w:val="bottom"/>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before income tax</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2"/>
              </w:rPr>
              <w:t>(64,218)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0"/>
              </w:rPr>
              <w:t>(72,590)</w:t>
            </w:r>
          </w:p>
        </w:tc>
        <w:tc>
          <w:tcPr>
            <w:tcW w:w="60" w:type="dxa"/>
            <w:vAlign w:val="bottom"/>
          </w:tcPr>
          <w:p>
            <w:pPr>
              <w:spacing w:after="0"/>
              <w:rPr>
                <w:sz w:val="22"/>
                <w:szCs w:val="22"/>
                <w:color w:val="auto"/>
              </w:rPr>
            </w:pPr>
          </w:p>
        </w:tc>
      </w:tr>
      <w:tr>
        <w:trPr>
          <w:trHeight w:val="20"/>
        </w:trPr>
        <w:tc>
          <w:tcPr>
            <w:tcW w:w="2600" w:type="dxa"/>
            <w:vAlign w:val="bottom"/>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080" w:type="dxa"/>
            <w:vAlign w:val="bottom"/>
            <w:gridSpan w:val="2"/>
          </w:tcPr>
          <w:p>
            <w:pPr>
              <w:spacing w:after="0"/>
              <w:rPr>
                <w:sz w:val="20"/>
                <w:szCs w:val="20"/>
                <w:color w:val="auto"/>
              </w:rPr>
            </w:pPr>
            <w:r>
              <w:rPr>
                <w:rFonts w:ascii="Arial" w:cs="Arial" w:eastAsia="Arial" w:hAnsi="Arial"/>
                <w:sz w:val="18"/>
                <w:szCs w:val="18"/>
                <w:color w:val="auto"/>
              </w:rPr>
              <w:t>Income tax benefit/(expense)</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335</w:t>
            </w:r>
          </w:p>
        </w:tc>
        <w:tc>
          <w:tcPr>
            <w:tcW w:w="220" w:type="dxa"/>
            <w:vAlign w:val="bottom"/>
          </w:tcPr>
          <w:p>
            <w:pPr>
              <w:spacing w:after="0"/>
              <w:rPr>
                <w:sz w:val="22"/>
                <w:szCs w:val="2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1,615</w:t>
            </w:r>
          </w:p>
        </w:tc>
      </w:tr>
      <w:tr>
        <w:trPr>
          <w:trHeight w:val="20"/>
        </w:trPr>
        <w:tc>
          <w:tcPr>
            <w:tcW w:w="2600" w:type="dxa"/>
            <w:vAlign w:val="bottom"/>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for the period</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2"/>
              </w:rPr>
              <w:t>(63,883)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0"/>
              </w:rPr>
              <w:t>(70,975)</w:t>
            </w:r>
          </w:p>
        </w:tc>
        <w:tc>
          <w:tcPr>
            <w:tcW w:w="60" w:type="dxa"/>
            <w:vAlign w:val="bottom"/>
          </w:tcPr>
          <w:p>
            <w:pPr>
              <w:spacing w:after="0"/>
              <w:rPr>
                <w:sz w:val="22"/>
                <w:szCs w:val="22"/>
                <w:color w:val="auto"/>
              </w:rPr>
            </w:pPr>
          </w:p>
        </w:tc>
      </w:tr>
      <w:tr>
        <w:trPr>
          <w:trHeight w:val="257"/>
        </w:trPr>
        <w:tc>
          <w:tcPr>
            <w:tcW w:w="608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Other comprehensive income:</w:t>
            </w:r>
          </w:p>
        </w:tc>
        <w:tc>
          <w:tcPr>
            <w:tcW w:w="22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Items that may be subsequently reclassified to profit or loss</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63"/>
        </w:trPr>
        <w:tc>
          <w:tcPr>
            <w:tcW w:w="6080" w:type="dxa"/>
            <w:vAlign w:val="bottom"/>
            <w:gridSpan w:val="2"/>
          </w:tcPr>
          <w:p>
            <w:pPr>
              <w:spacing w:after="0"/>
              <w:rPr>
                <w:sz w:val="20"/>
                <w:szCs w:val="20"/>
                <w:color w:val="auto"/>
              </w:rPr>
            </w:pPr>
            <w:r>
              <w:rPr>
                <w:rFonts w:ascii="Arial" w:cs="Arial" w:eastAsia="Arial" w:hAnsi="Arial"/>
                <w:sz w:val="18"/>
                <w:szCs w:val="18"/>
                <w:color w:val="auto"/>
              </w:rPr>
              <w:t>Foreign currency adjustments</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r>
      <w:tr>
        <w:trPr>
          <w:trHeight w:val="20"/>
        </w:trPr>
        <w:tc>
          <w:tcPr>
            <w:tcW w:w="2600" w:type="dxa"/>
            <w:vAlign w:val="bottom"/>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for the period</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2"/>
              </w:rPr>
              <w:t>(63,903)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0"/>
              </w:rPr>
              <w:t>(70,899)</w:t>
            </w:r>
          </w:p>
        </w:tc>
        <w:tc>
          <w:tcPr>
            <w:tcW w:w="60" w:type="dxa"/>
            <w:vAlign w:val="bottom"/>
          </w:tcPr>
          <w:p>
            <w:pPr>
              <w:spacing w:after="0"/>
              <w:rPr>
                <w:sz w:val="22"/>
                <w:szCs w:val="22"/>
                <w:color w:val="auto"/>
              </w:rPr>
            </w:pPr>
          </w:p>
        </w:tc>
      </w:tr>
      <w:tr>
        <w:trPr>
          <w:trHeight w:val="20"/>
        </w:trPr>
        <w:tc>
          <w:tcPr>
            <w:tcW w:w="2600" w:type="dxa"/>
            <w:vAlign w:val="bottom"/>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(0.66)</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(0.61)</w:t>
            </w:r>
          </w:p>
        </w:tc>
      </w:tr>
      <w:tr>
        <w:trPr>
          <w:trHeight w:val="20"/>
        </w:trPr>
        <w:tc>
          <w:tcPr>
            <w:tcW w:w="26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1"/>
        </w:trPr>
        <w:tc>
          <w:tcPr>
            <w:tcW w:w="2600" w:type="dxa"/>
            <w:vAlign w:val="bottom"/>
            <w:tcBorders>
              <w:bottom w:val="single" w:sz="8" w:color="auto"/>
            </w:tcBorders>
          </w:tcPr>
          <w:p>
            <w:pPr>
              <w:spacing w:after="0"/>
              <w:rPr>
                <w:sz w:val="7"/>
                <w:szCs w:val="7"/>
                <w:color w:val="auto"/>
              </w:rPr>
            </w:pPr>
          </w:p>
        </w:tc>
        <w:tc>
          <w:tcPr>
            <w:tcW w:w="3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-453390</wp:posOffset>
            </wp:positionV>
            <wp:extent cx="485203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48520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-1139190</wp:posOffset>
            </wp:positionV>
            <wp:extent cx="485203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48520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-1499235</wp:posOffset>
            </wp:positionV>
            <wp:extent cx="485203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48520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-1842135</wp:posOffset>
            </wp:positionV>
            <wp:extent cx="485203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4852035" cy="8255"/>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-3325495</wp:posOffset>
            </wp:positionV>
            <wp:extent cx="13716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23" w:lineRule="exact"/>
        <w:rPr>
          <w:sz w:val="20"/>
          <w:szCs w:val="20"/>
          <w:color w:val="auto"/>
        </w:rPr>
      </w:pPr>
    </w:p>
    <w:p>
      <w:pPr>
        <w:ind w:left="1440" w:right="839" w:hanging="180"/>
        <w:spacing w:after="0" w:line="293" w:lineRule="auto"/>
        <w:tabs>
          <w:tab w:leader="none" w:pos="1440" w:val="left"/>
        </w:tabs>
        <w:numPr>
          <w:ilvl w:val="0"/>
          <w:numId w:val="203"/>
        </w:numPr>
        <w:rPr>
          <w:rFonts w:ascii="Arial" w:cs="Arial" w:eastAsia="Arial" w:hAnsi="Arial"/>
          <w:sz w:val="14"/>
          <w:szCs w:val="14"/>
          <w:color w:val="auto"/>
        </w:rPr>
      </w:pPr>
      <w:r>
        <w:rPr>
          <w:rFonts w:ascii="Arial" w:cs="Arial" w:eastAsia="Arial" w:hAnsi="Arial"/>
          <w:sz w:val="14"/>
          <w:szCs w:val="14"/>
          <w:color w:val="auto"/>
        </w:rPr>
        <w:t>Amounts have been retrospectively adjusted to reflect the impact of the share split resulting from the corporate reorganization described in Note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9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17" w:name="page318"/>
    <w:bookmarkEnd w:id="317"/>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CureVac N.V.</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Interim Condensed Consolidated Statements of Financial Position</w:t>
      </w:r>
    </w:p>
    <w:p>
      <w:pPr>
        <w:spacing w:after="0" w:line="19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7"/>
              </w:rPr>
              <w:t>December 31,</w:t>
            </w:r>
          </w:p>
        </w:tc>
        <w:tc>
          <w:tcPr>
            <w:tcW w:w="8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1"/>
              </w:rPr>
              <w:t>September 30,</w:t>
            </w:r>
          </w:p>
        </w:tc>
        <w:tc>
          <w:tcPr>
            <w:tcW w:w="0" w:type="dxa"/>
            <w:vAlign w:val="bottom"/>
          </w:tcPr>
          <w:p>
            <w:pPr>
              <w:spacing w:after="0"/>
              <w:rPr>
                <w:sz w:val="1"/>
                <w:szCs w:val="1"/>
                <w:color w:val="auto"/>
              </w:rPr>
            </w:pPr>
          </w:p>
        </w:tc>
      </w:tr>
      <w:tr>
        <w:trPr>
          <w:trHeight w:val="192"/>
        </w:trPr>
        <w:tc>
          <w:tcPr>
            <w:tcW w:w="26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rPr>
              <w:t>Note</w:t>
            </w:r>
          </w:p>
        </w:tc>
        <w:tc>
          <w:tcPr>
            <w:tcW w:w="7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20" w:type="dxa"/>
            <w:vAlign w:val="bottom"/>
            <w:gridSpan w:val="2"/>
          </w:tcPr>
          <w:p>
            <w:pPr>
              <w:spacing w:after="0"/>
              <w:rPr>
                <w:sz w:val="20"/>
                <w:szCs w:val="20"/>
                <w:color w:val="auto"/>
              </w:rPr>
            </w:pPr>
            <w:r>
              <w:rPr>
                <w:rFonts w:ascii="Arial" w:cs="Arial" w:eastAsia="Arial" w:hAnsi="Arial"/>
                <w:sz w:val="14"/>
                <w:szCs w:val="14"/>
                <w:b w:val="1"/>
                <w:bCs w:val="1"/>
                <w:color w:val="auto"/>
              </w:rPr>
              <w:t>(in thousands of EUR)</w:t>
            </w:r>
          </w:p>
        </w:tc>
        <w:tc>
          <w:tcPr>
            <w:tcW w:w="2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Borders>
              <w:top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1"/>
              </w:rPr>
              <w:t>(unaudited)</w:t>
            </w:r>
          </w:p>
        </w:tc>
        <w:tc>
          <w:tcPr>
            <w:tcW w:w="0" w:type="dxa"/>
            <w:vAlign w:val="bottom"/>
          </w:tcPr>
          <w:p>
            <w:pPr>
              <w:spacing w:after="0"/>
              <w:rPr>
                <w:sz w:val="1"/>
                <w:szCs w:val="1"/>
                <w:color w:val="auto"/>
              </w:rPr>
            </w:pPr>
          </w:p>
        </w:tc>
      </w:tr>
      <w:tr>
        <w:trPr>
          <w:trHeight w:val="222"/>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5,698</w:t>
            </w:r>
          </w:p>
        </w:tc>
        <w:tc>
          <w:tcPr>
            <w:tcW w:w="28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10,138</w:t>
            </w:r>
          </w:p>
        </w:tc>
        <w:tc>
          <w:tcPr>
            <w:tcW w:w="0" w:type="dxa"/>
            <w:vAlign w:val="bottom"/>
          </w:tcPr>
          <w:p>
            <w:pPr>
              <w:spacing w:after="0"/>
              <w:rPr>
                <w:sz w:val="1"/>
                <w:szCs w:val="1"/>
                <w:color w:val="auto"/>
              </w:rPr>
            </w:pPr>
          </w:p>
        </w:tc>
      </w:tr>
      <w:tr>
        <w:trPr>
          <w:trHeight w:val="216"/>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Property, plant and equipment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48,075</w:t>
            </w:r>
          </w:p>
        </w:tc>
        <w:tc>
          <w:tcPr>
            <w:tcW w:w="2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59,364</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Right-of-use assets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13,611</w:t>
            </w:r>
          </w:p>
        </w:tc>
        <w:tc>
          <w:tcPr>
            <w:tcW w:w="28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34,693</w:t>
            </w:r>
          </w:p>
        </w:tc>
        <w:tc>
          <w:tcPr>
            <w:tcW w:w="0" w:type="dxa"/>
            <w:vAlign w:val="bottom"/>
          </w:tcPr>
          <w:p>
            <w:pPr>
              <w:spacing w:after="0"/>
              <w:rPr>
                <w:sz w:val="1"/>
                <w:szCs w:val="1"/>
                <w:color w:val="auto"/>
              </w:rPr>
            </w:pPr>
          </w:p>
        </w:tc>
      </w:tr>
      <w:tr>
        <w:trPr>
          <w:trHeight w:val="216"/>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6,061</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0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73,445</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106,407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Inventories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6,197</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Trade receivables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15,690</w:t>
            </w:r>
          </w:p>
        </w:tc>
        <w:tc>
          <w:tcPr>
            <w:tcW w:w="28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Contract assets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1,463</w:t>
            </w:r>
          </w:p>
        </w:tc>
        <w:tc>
          <w:tcPr>
            <w:tcW w:w="2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financial assets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1,458</w:t>
            </w:r>
          </w:p>
        </w:tc>
        <w:tc>
          <w:tcPr>
            <w:tcW w:w="28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assets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1,683</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30,684</w:t>
            </w:r>
          </w:p>
        </w:tc>
        <w:tc>
          <w:tcPr>
            <w:tcW w:w="280" w:type="dxa"/>
            <w:vAlign w:val="bottom"/>
            <w:tcBorders>
              <w:right w:val="single" w:sz="8" w:color="CCEEFF"/>
            </w:tcBorders>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892,399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0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57,175</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915,500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130,620</w:t>
            </w:r>
          </w:p>
        </w:tc>
        <w:tc>
          <w:tcPr>
            <w:tcW w:w="280" w:type="dxa"/>
            <w:vAlign w:val="bottom"/>
            <w:tcBorders>
              <w:right w:val="single" w:sz="8" w:color="CCEEFF"/>
            </w:tcBorders>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1,021,907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5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Issued capital*</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11,603</w:t>
            </w:r>
          </w:p>
        </w:tc>
        <w:tc>
          <w:tcPr>
            <w:tcW w:w="2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21,560</w:t>
            </w: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Capital reserve*</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461,520</w:t>
            </w:r>
          </w:p>
        </w:tc>
        <w:tc>
          <w:tcPr>
            <w:tcW w:w="280" w:type="dxa"/>
            <w:vAlign w:val="bottom"/>
            <w:tcBorders>
              <w:right w:val="single" w:sz="8" w:color="CCEEFF"/>
            </w:tcBorders>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1,326,766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(515,947)</w:t>
            </w:r>
          </w:p>
        </w:tc>
        <w:tc>
          <w:tcPr>
            <w:tcW w:w="2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(586,922)</w:t>
            </w:r>
          </w:p>
        </w:tc>
        <w:tc>
          <w:tcPr>
            <w:tcW w:w="0" w:type="dxa"/>
            <w:vAlign w:val="bottom"/>
          </w:tcPr>
          <w:p>
            <w:pPr>
              <w:spacing w:after="0"/>
              <w:rPr>
                <w:sz w:val="1"/>
                <w:szCs w:val="1"/>
                <w:color w:val="auto"/>
              </w:rPr>
            </w:pPr>
          </w:p>
        </w:tc>
      </w:tr>
      <w:tr>
        <w:trPr>
          <w:trHeight w:val="256"/>
        </w:trPr>
        <w:tc>
          <w:tcPr>
            <w:tcW w:w="5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280" w:type="dxa"/>
            <w:vAlign w:val="bottom"/>
            <w:tcBorders>
              <w:right w:val="single" w:sz="8" w:color="CCEEFF"/>
            </w:tcBorders>
            <w:shd w:val="clear" w:color="auto" w:fill="CCEEFF"/>
          </w:tcPr>
          <w:p>
            <w:pPr>
              <w:spacing w:after="0"/>
              <w:rPr>
                <w:sz w:val="22"/>
                <w:szCs w:val="22"/>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260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Total equity</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(42,802)</w:t>
            </w: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761,350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2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right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Convertible loans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65,018</w:t>
            </w:r>
          </w:p>
        </w:tc>
        <w:tc>
          <w:tcPr>
            <w:tcW w:w="2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Lease liabilities</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12,126</w:t>
            </w:r>
          </w:p>
        </w:tc>
        <w:tc>
          <w:tcPr>
            <w:tcW w:w="280" w:type="dxa"/>
            <w:vAlign w:val="bottom"/>
            <w:tcBorders>
              <w:right w:val="single" w:sz="8" w:color="CCEEFF"/>
            </w:tcBorders>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27,724</w:t>
            </w:r>
          </w:p>
        </w:tc>
        <w:tc>
          <w:tcPr>
            <w:tcW w:w="0" w:type="dxa"/>
            <w:vAlign w:val="bottom"/>
          </w:tcPr>
          <w:p>
            <w:pPr>
              <w:spacing w:after="0"/>
              <w:rPr>
                <w:sz w:val="1"/>
                <w:szCs w:val="1"/>
                <w:color w:val="auto"/>
              </w:rPr>
            </w:pPr>
          </w:p>
        </w:tc>
      </w:tr>
      <w:tr>
        <w:trPr>
          <w:trHeight w:val="230"/>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Contract liabilities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9"/>
                <w:szCs w:val="19"/>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66,040</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121,778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1,623</w:t>
            </w:r>
          </w:p>
        </w:tc>
        <w:tc>
          <w:tcPr>
            <w:tcW w:w="280" w:type="dxa"/>
            <w:vAlign w:val="bottom"/>
            <w:tcBorders>
              <w:right w:val="single" w:sz="8" w:color="CCEEFF"/>
            </w:tcBorders>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530</w:t>
            </w:r>
          </w:p>
        </w:tc>
        <w:tc>
          <w:tcPr>
            <w:tcW w:w="28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0"/>
        </w:trPr>
        <w:tc>
          <w:tcPr>
            <w:tcW w:w="260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145,336</w:t>
            </w:r>
          </w:p>
        </w:tc>
        <w:tc>
          <w:tcPr>
            <w:tcW w:w="280" w:type="dxa"/>
            <w:vAlign w:val="bottom"/>
            <w:tcBorders>
              <w:right w:val="single" w:sz="8" w:color="CCEEFF"/>
            </w:tcBorders>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150,032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Lease liabilities</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2,004</w:t>
            </w:r>
          </w:p>
        </w:tc>
        <w:tc>
          <w:tcPr>
            <w:tcW w:w="280" w:type="dxa"/>
            <w:vAlign w:val="bottom"/>
            <w:tcBorders>
              <w:right w:val="single" w:sz="8" w:color="CCEEFF"/>
            </w:tcBorders>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Trade and other payables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6,475</w:t>
            </w:r>
          </w:p>
        </w:tc>
        <w:tc>
          <w:tcPr>
            <w:tcW w:w="2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50,225</w:t>
            </w: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12,015</w:t>
            </w:r>
          </w:p>
        </w:tc>
        <w:tc>
          <w:tcPr>
            <w:tcW w:w="280" w:type="dxa"/>
            <w:vAlign w:val="bottom"/>
            <w:tcBorders>
              <w:right w:val="single" w:sz="8" w:color="CCEEFF"/>
            </w:tcBorders>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27,052</w:t>
            </w:r>
          </w:p>
        </w:tc>
        <w:tc>
          <w:tcPr>
            <w:tcW w:w="0" w:type="dxa"/>
            <w:vAlign w:val="bottom"/>
          </w:tcPr>
          <w:p>
            <w:pPr>
              <w:spacing w:after="0"/>
              <w:rPr>
                <w:sz w:val="1"/>
                <w:szCs w:val="1"/>
                <w:color w:val="auto"/>
              </w:rPr>
            </w:pPr>
          </w:p>
        </w:tc>
      </w:tr>
      <w:tr>
        <w:trPr>
          <w:trHeight w:val="230"/>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111</w:t>
            </w:r>
          </w:p>
        </w:tc>
        <w:tc>
          <w:tcPr>
            <w:tcW w:w="2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Contract liabilities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7,481</w:t>
            </w:r>
          </w:p>
        </w:tc>
        <w:tc>
          <w:tcPr>
            <w:tcW w:w="280" w:type="dxa"/>
            <w:vAlign w:val="bottom"/>
            <w:tcBorders>
              <w:right w:val="single" w:sz="8" w:color="CCEEFF"/>
            </w:tcBorders>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30,197</w:t>
            </w:r>
          </w:p>
        </w:tc>
        <w:tc>
          <w:tcPr>
            <w:tcW w:w="0" w:type="dxa"/>
            <w:vAlign w:val="bottom"/>
          </w:tcPr>
          <w:p>
            <w:pPr>
              <w:spacing w:after="0"/>
              <w:rPr>
                <w:sz w:val="1"/>
                <w:szCs w:val="1"/>
                <w:color w:val="auto"/>
              </w:rPr>
            </w:pPr>
          </w:p>
        </w:tc>
      </w:tr>
      <w:tr>
        <w:trPr>
          <w:trHeight w:val="256"/>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28,086</w:t>
            </w:r>
          </w:p>
        </w:tc>
        <w:tc>
          <w:tcPr>
            <w:tcW w:w="28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110,525</w:t>
            </w:r>
          </w:p>
        </w:tc>
        <w:tc>
          <w:tcPr>
            <w:tcW w:w="0" w:type="dxa"/>
            <w:vAlign w:val="bottom"/>
          </w:tcPr>
          <w:p>
            <w:pPr>
              <w:spacing w:after="0"/>
              <w:rPr>
                <w:sz w:val="1"/>
                <w:szCs w:val="1"/>
                <w:color w:val="auto"/>
              </w:rPr>
            </w:pPr>
          </w:p>
        </w:tc>
      </w:tr>
      <w:tr>
        <w:trPr>
          <w:trHeight w:val="20"/>
        </w:trPr>
        <w:tc>
          <w:tcPr>
            <w:tcW w:w="260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173,422</w:t>
            </w:r>
          </w:p>
        </w:tc>
        <w:tc>
          <w:tcPr>
            <w:tcW w:w="280" w:type="dxa"/>
            <w:vAlign w:val="bottom"/>
            <w:tcBorders>
              <w:right w:val="single" w:sz="8" w:color="CCEEFF"/>
            </w:tcBorders>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260,557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0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Total equity and liabilities</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5"/>
              </w:rPr>
              <w:t>130,620</w:t>
            </w: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1,021,907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600" w:type="dxa"/>
            <w:vAlign w:val="bottom"/>
            <w:tcBorders>
              <w:bottom w:val="single" w:sz="8" w:color="auto"/>
            </w:tcBorders>
          </w:tcPr>
          <w:p>
            <w:pPr>
              <w:spacing w:after="0"/>
              <w:rPr>
                <w:sz w:val="6"/>
                <w:szCs w:val="6"/>
                <w:color w:val="auto"/>
              </w:rPr>
            </w:pPr>
          </w:p>
        </w:tc>
        <w:tc>
          <w:tcPr>
            <w:tcW w:w="2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-436880</wp:posOffset>
            </wp:positionV>
            <wp:extent cx="521208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-1653540</wp:posOffset>
            </wp:positionV>
            <wp:extent cx="521208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-2553970</wp:posOffset>
            </wp:positionV>
            <wp:extent cx="521208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-3779520</wp:posOffset>
            </wp:positionV>
            <wp:extent cx="521208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-4928235</wp:posOffset>
            </wp:positionV>
            <wp:extent cx="521208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23" w:lineRule="exact"/>
        <w:rPr>
          <w:sz w:val="20"/>
          <w:szCs w:val="20"/>
          <w:color w:val="auto"/>
        </w:rPr>
      </w:pPr>
    </w:p>
    <w:p>
      <w:pPr>
        <w:ind w:left="1440" w:right="839" w:hanging="180"/>
        <w:spacing w:after="0" w:line="293" w:lineRule="auto"/>
        <w:tabs>
          <w:tab w:leader="none" w:pos="1440" w:val="left"/>
        </w:tabs>
        <w:numPr>
          <w:ilvl w:val="0"/>
          <w:numId w:val="204"/>
        </w:numPr>
        <w:rPr>
          <w:rFonts w:ascii="Arial" w:cs="Arial" w:eastAsia="Arial" w:hAnsi="Arial"/>
          <w:sz w:val="14"/>
          <w:szCs w:val="14"/>
          <w:color w:val="auto"/>
        </w:rPr>
      </w:pPr>
      <w:r>
        <w:rPr>
          <w:rFonts w:ascii="Arial" w:cs="Arial" w:eastAsia="Arial" w:hAnsi="Arial"/>
          <w:sz w:val="14"/>
          <w:szCs w:val="14"/>
          <w:color w:val="auto"/>
        </w:rPr>
        <w:t>Amounts have been retrospectively adjusted to reflect the impact of the share split resulting from the corporate reorganization described in Note 1.</w:t>
      </w: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18" w:name="page319"/>
    <w:bookmarkEnd w:id="318"/>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CureVac N.V.</w:t>
      </w:r>
    </w:p>
    <w:p>
      <w:pPr>
        <w:spacing w:after="0" w:line="11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Interim Condensed Consolidated Statements of Changes in Shareholders’ Equity</w:t>
      </w:r>
    </w:p>
    <w:p>
      <w:pPr>
        <w:spacing w:after="0" w:line="2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For the nine months ended September 30, 2020 and 2019</w:t>
      </w:r>
    </w:p>
    <w:p>
      <w:pPr>
        <w:spacing w:after="0" w:line="17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4"/>
              </w:rPr>
              <w:t>Currency</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1"/>
              </w:rPr>
              <w:t>Issued</w:t>
            </w: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Capital</w:t>
            </w: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1"/>
              </w:rPr>
              <w:t>Accumulated</w:t>
            </w:r>
          </w:p>
        </w:tc>
        <w:tc>
          <w:tcPr>
            <w:tcW w:w="8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translation</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r>
      <w:tr>
        <w:trPr>
          <w:trHeight w:val="186"/>
        </w:trPr>
        <w:tc>
          <w:tcPr>
            <w:tcW w:w="4260" w:type="dxa"/>
            <w:vAlign w:val="bottom"/>
            <w:gridSpan w:val="2"/>
          </w:tcPr>
          <w:p>
            <w:pPr>
              <w:spacing w:after="0"/>
              <w:rPr>
                <w:sz w:val="20"/>
                <w:szCs w:val="20"/>
                <w:color w:val="auto"/>
              </w:rPr>
            </w:pPr>
            <w:r>
              <w:rPr>
                <w:rFonts w:ascii="Arial" w:cs="Arial" w:eastAsia="Arial" w:hAnsi="Arial"/>
                <w:sz w:val="14"/>
                <w:szCs w:val="14"/>
                <w:b w:val="1"/>
                <w:bCs w:val="1"/>
                <w:color w:val="auto"/>
              </w:rPr>
              <w:t>(in thousands of EUR)</w:t>
            </w: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capital*</w:t>
            </w: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reserve*</w:t>
            </w:r>
          </w:p>
        </w:tc>
        <w:tc>
          <w:tcPr>
            <w:tcW w:w="9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deficit</w:t>
            </w:r>
          </w:p>
        </w:tc>
        <w:tc>
          <w:tcPr>
            <w:tcW w:w="8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8"/>
              </w:rPr>
              <w:t>reserve</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equity</w:t>
            </w:r>
          </w:p>
        </w:tc>
      </w:tr>
      <w:tr>
        <w:trPr>
          <w:trHeight w:val="26"/>
        </w:trPr>
        <w:tc>
          <w:tcPr>
            <w:tcW w:w="26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7"/>
        </w:trPr>
        <w:tc>
          <w:tcPr>
            <w:tcW w:w="42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2020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11,603</w:t>
            </w:r>
          </w:p>
        </w:tc>
        <w:tc>
          <w:tcPr>
            <w:tcW w:w="140" w:type="dxa"/>
            <w:vAlign w:val="bottom"/>
            <w:tcBorders>
              <w:right w:val="single" w:sz="8" w:color="CCEEFF"/>
            </w:tcBorders>
            <w:shd w:val="clear" w:color="auto" w:fill="CCEEFF"/>
          </w:tcPr>
          <w:p>
            <w:pPr>
              <w:spacing w:after="0"/>
              <w:rPr>
                <w:sz w:val="22"/>
                <w:szCs w:val="22"/>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461,520</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3"/>
              </w:rPr>
              <w:t>(515,947)</w:t>
            </w:r>
          </w:p>
        </w:tc>
        <w:tc>
          <w:tcPr>
            <w:tcW w:w="16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w:t>
            </w:r>
          </w:p>
        </w:tc>
        <w:tc>
          <w:tcPr>
            <w:tcW w:w="180" w:type="dxa"/>
            <w:vAlign w:val="bottom"/>
            <w:tcBorders>
              <w:right w:val="single" w:sz="8" w:color="CCEEFF"/>
            </w:tcBorders>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(42,802)</w:t>
            </w:r>
          </w:p>
        </w:tc>
        <w:tc>
          <w:tcPr>
            <w:tcW w:w="60" w:type="dxa"/>
            <w:vAlign w:val="bottom"/>
          </w:tcPr>
          <w:p>
            <w:pPr>
              <w:spacing w:after="0"/>
              <w:rPr>
                <w:sz w:val="22"/>
                <w:szCs w:val="22"/>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(70,975)</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(70,975)</w:t>
            </w:r>
          </w:p>
        </w:tc>
      </w:tr>
      <w:tr>
        <w:trPr>
          <w:trHeight w:val="263"/>
        </w:trPr>
        <w:tc>
          <w:tcPr>
            <w:tcW w:w="42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22"/>
                <w:szCs w:val="22"/>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c>
          <w:tcPr>
            <w:tcW w:w="180" w:type="dxa"/>
            <w:vAlign w:val="bottom"/>
            <w:tcBorders>
              <w:right w:val="single" w:sz="8" w:color="CCEEFF"/>
            </w:tcBorders>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22"/>
                <w:szCs w:val="22"/>
                <w:color w:val="auto"/>
              </w:rPr>
            </w:pPr>
          </w:p>
        </w:tc>
      </w:tr>
      <w:tr>
        <w:trPr>
          <w:trHeight w:val="20"/>
        </w:trPr>
        <w:tc>
          <w:tcPr>
            <w:tcW w:w="2600" w:type="dxa"/>
            <w:vAlign w:val="bottom"/>
            <w:shd w:val="clear" w:color="auto" w:fill="CCEEFF"/>
          </w:tcPr>
          <w:p>
            <w:pPr>
              <w:spacing w:after="0" w:line="20" w:lineRule="exact"/>
              <w:rPr>
                <w:sz w:val="1"/>
                <w:szCs w:val="1"/>
                <w:color w:val="auto"/>
              </w:rPr>
            </w:pPr>
          </w:p>
        </w:tc>
        <w:tc>
          <w:tcPr>
            <w:tcW w:w="16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260" w:type="dxa"/>
            <w:vAlign w:val="bottom"/>
            <w:gridSpan w:val="2"/>
          </w:tcPr>
          <w:p>
            <w:pPr>
              <w:spacing w:after="0"/>
              <w:rPr>
                <w:sz w:val="20"/>
                <w:szCs w:val="20"/>
                <w:color w:val="auto"/>
              </w:rPr>
            </w:pPr>
            <w:r>
              <w:rPr>
                <w:rFonts w:ascii="Arial" w:cs="Arial" w:eastAsia="Arial" w:hAnsi="Arial"/>
                <w:sz w:val="18"/>
                <w:szCs w:val="18"/>
                <w:color w:val="auto"/>
              </w:rPr>
              <w:t>Total comprehensive income (loss)</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(70,975)</w:t>
            </w:r>
          </w:p>
        </w:tc>
        <w:tc>
          <w:tcPr>
            <w:tcW w:w="160" w:type="dxa"/>
            <w:vAlign w:val="bottom"/>
          </w:tcPr>
          <w:p>
            <w:pPr>
              <w:spacing w:after="0"/>
              <w:rPr>
                <w:sz w:val="22"/>
                <w:szCs w:val="22"/>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(71,051)</w:t>
            </w:r>
          </w:p>
        </w:tc>
      </w:tr>
      <w:tr>
        <w:trPr>
          <w:trHeight w:val="20"/>
        </w:trPr>
        <w:tc>
          <w:tcPr>
            <w:tcW w:w="2600" w:type="dxa"/>
            <w:vAlign w:val="bottom"/>
            <w:shd w:val="clear" w:color="auto" w:fill="CCEEFF"/>
          </w:tcPr>
          <w:p>
            <w:pPr>
              <w:spacing w:after="0" w:line="20" w:lineRule="exact"/>
              <w:rPr>
                <w:sz w:val="1"/>
                <w:szCs w:val="1"/>
                <w:color w:val="auto"/>
              </w:rPr>
            </w:pPr>
          </w:p>
        </w:tc>
        <w:tc>
          <w:tcPr>
            <w:tcW w:w="16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42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Share-based payment expense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22"/>
                <w:szCs w:val="22"/>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7,399</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66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7,399</w:t>
            </w:r>
          </w:p>
        </w:tc>
        <w:tc>
          <w:tcPr>
            <w:tcW w:w="60" w:type="dxa"/>
            <w:vAlign w:val="bottom"/>
          </w:tcPr>
          <w:p>
            <w:pPr>
              <w:spacing w:after="0"/>
              <w:rPr>
                <w:sz w:val="22"/>
                <w:szCs w:val="22"/>
                <w:color w:val="auto"/>
              </w:rPr>
            </w:pPr>
          </w:p>
        </w:tc>
      </w:tr>
      <w:tr>
        <w:trPr>
          <w:trHeight w:val="256"/>
        </w:trPr>
        <w:tc>
          <w:tcPr>
            <w:tcW w:w="4260" w:type="dxa"/>
            <w:vAlign w:val="bottom"/>
            <w:gridSpan w:val="2"/>
          </w:tcPr>
          <w:p>
            <w:pPr>
              <w:spacing w:after="0"/>
              <w:rPr>
                <w:sz w:val="20"/>
                <w:szCs w:val="20"/>
                <w:color w:val="auto"/>
              </w:rPr>
            </w:pPr>
            <w:r>
              <w:rPr>
                <w:rFonts w:ascii="Arial" w:cs="Arial" w:eastAsia="Arial" w:hAnsi="Arial"/>
                <w:sz w:val="18"/>
                <w:szCs w:val="18"/>
                <w:color w:val="auto"/>
              </w:rPr>
              <w:t>Equity component of convertible loans (net of tax)</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87</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6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r>
      <w:tr>
        <w:trPr>
          <w:trHeight w:val="257"/>
        </w:trPr>
        <w:tc>
          <w:tcPr>
            <w:tcW w:w="42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Exercise of options</w:t>
            </w:r>
          </w:p>
        </w:tc>
        <w:tc>
          <w:tcPr>
            <w:tcW w:w="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w:t>
            </w: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66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r>
      <w:tr>
        <w:trPr>
          <w:trHeight w:val="263"/>
        </w:trPr>
        <w:tc>
          <w:tcPr>
            <w:tcW w:w="4260" w:type="dxa"/>
            <w:vAlign w:val="bottom"/>
            <w:gridSpan w:val="2"/>
          </w:tcPr>
          <w:p>
            <w:pPr>
              <w:spacing w:after="0"/>
              <w:rPr>
                <w:sz w:val="20"/>
                <w:szCs w:val="20"/>
                <w:color w:val="auto"/>
              </w:rPr>
            </w:pPr>
            <w:r>
              <w:rPr>
                <w:rFonts w:ascii="Arial" w:cs="Arial" w:eastAsia="Arial" w:hAnsi="Arial"/>
                <w:sz w:val="18"/>
                <w:szCs w:val="18"/>
                <w:color w:val="auto"/>
              </w:rPr>
              <w:t>Issuance of share capital (net of transaction costs)</w:t>
            </w:r>
          </w:p>
        </w:tc>
        <w:tc>
          <w:tcPr>
            <w:tcW w:w="500" w:type="dxa"/>
            <w:vAlign w:val="bottom"/>
          </w:tcPr>
          <w:p>
            <w:pPr>
              <w:jc w:val="right"/>
              <w:spacing w:after="0"/>
              <w:rPr>
                <w:sz w:val="20"/>
                <w:szCs w:val="20"/>
                <w:color w:val="auto"/>
              </w:rPr>
            </w:pPr>
            <w:r>
              <w:rPr>
                <w:rFonts w:ascii="Arial" w:cs="Arial" w:eastAsia="Arial" w:hAnsi="Arial"/>
                <w:sz w:val="18"/>
                <w:szCs w:val="18"/>
                <w:color w:val="auto"/>
              </w:rPr>
              <w:t>9,669</w:t>
            </w:r>
          </w:p>
        </w:tc>
        <w:tc>
          <w:tcPr>
            <w:tcW w:w="14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858,048</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6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867,717</w:t>
            </w:r>
          </w:p>
        </w:tc>
      </w:tr>
      <w:tr>
        <w:trPr>
          <w:trHeight w:val="20"/>
        </w:trPr>
        <w:tc>
          <w:tcPr>
            <w:tcW w:w="2600" w:type="dxa"/>
            <w:vAlign w:val="bottom"/>
            <w:shd w:val="clear" w:color="auto" w:fill="CCEEFF"/>
          </w:tcPr>
          <w:p>
            <w:pPr>
              <w:spacing w:after="0" w:line="20" w:lineRule="exact"/>
              <w:rPr>
                <w:sz w:val="1"/>
                <w:szCs w:val="1"/>
                <w:color w:val="auto"/>
              </w:rPr>
            </w:pPr>
          </w:p>
        </w:tc>
        <w:tc>
          <w:tcPr>
            <w:tcW w:w="16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42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2020 (unaudited)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21,560</w:t>
            </w:r>
          </w:p>
        </w:tc>
        <w:tc>
          <w:tcPr>
            <w:tcW w:w="140" w:type="dxa"/>
            <w:vAlign w:val="bottom"/>
            <w:tcBorders>
              <w:right w:val="single" w:sz="8" w:color="CCEEFF"/>
            </w:tcBorders>
            <w:shd w:val="clear" w:color="auto" w:fill="CCEEFF"/>
          </w:tcPr>
          <w:p>
            <w:pPr>
              <w:spacing w:after="0"/>
              <w:rPr>
                <w:sz w:val="22"/>
                <w:szCs w:val="22"/>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7"/>
              </w:rPr>
              <w:t>1,326,766</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3"/>
              </w:rPr>
              <w:t>(586,922)</w:t>
            </w:r>
          </w:p>
        </w:tc>
        <w:tc>
          <w:tcPr>
            <w:tcW w:w="16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(54)</w:t>
            </w:r>
          </w:p>
        </w:tc>
        <w:tc>
          <w:tcPr>
            <w:tcW w:w="180" w:type="dxa"/>
            <w:vAlign w:val="bottom"/>
            <w:tcBorders>
              <w:right w:val="single" w:sz="8" w:color="CCEEFF"/>
            </w:tcBorders>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761,350</w:t>
            </w:r>
          </w:p>
        </w:tc>
        <w:tc>
          <w:tcPr>
            <w:tcW w:w="60" w:type="dxa"/>
            <w:vAlign w:val="bottom"/>
          </w:tcPr>
          <w:p>
            <w:pPr>
              <w:spacing w:after="0"/>
              <w:rPr>
                <w:sz w:val="22"/>
                <w:szCs w:val="22"/>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1"/>
        </w:trPr>
        <w:tc>
          <w:tcPr>
            <w:tcW w:w="2600" w:type="dxa"/>
            <w:vAlign w:val="bottom"/>
            <w:tcBorders>
              <w:bottom w:val="single" w:sz="8" w:color="auto"/>
            </w:tcBorders>
          </w:tcPr>
          <w:p>
            <w:pPr>
              <w:spacing w:after="0"/>
              <w:rPr>
                <w:sz w:val="7"/>
                <w:szCs w:val="7"/>
                <w:color w:val="auto"/>
              </w:rPr>
            </w:pPr>
          </w:p>
        </w:tc>
        <w:tc>
          <w:tcPr>
            <w:tcW w:w="1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4940300</wp:posOffset>
            </wp:positionH>
            <wp:positionV relativeFrom="paragraph">
              <wp:posOffset>-273685</wp:posOffset>
            </wp:positionV>
            <wp:extent cx="69405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9405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-273685</wp:posOffset>
            </wp:positionV>
            <wp:extent cx="371157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711575" cy="8255"/>
                    </a:xfrm>
                    <a:prstGeom prst="rect">
                      <a:avLst/>
                    </a:prstGeom>
                    <a:noFill/>
                  </pic:spPr>
                </pic:pic>
              </a:graphicData>
            </a:graphic>
          </wp:anchor>
        </w:drawing>
        <w:drawing>
          <wp:anchor simplePos="0" relativeHeight="251657728" behindDoc="1" locked="0" layoutInCell="0" allowOverlap="1">
            <wp:simplePos x="0" y="0"/>
            <wp:positionH relativeFrom="column">
              <wp:posOffset>4940300</wp:posOffset>
            </wp:positionH>
            <wp:positionV relativeFrom="paragraph">
              <wp:posOffset>-942340</wp:posOffset>
            </wp:positionV>
            <wp:extent cx="69405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9405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-942340</wp:posOffset>
            </wp:positionV>
            <wp:extent cx="371157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3711575" cy="8255"/>
                    </a:xfrm>
                    <a:prstGeom prst="rect">
                      <a:avLst/>
                    </a:prstGeom>
                    <a:noFill/>
                  </pic:spPr>
                </pic:pic>
              </a:graphicData>
            </a:graphic>
          </wp:anchor>
        </w:drawing>
        <w:drawing>
          <wp:anchor simplePos="0" relativeHeight="251657728" behindDoc="1" locked="0" layoutInCell="0" allowOverlap="1">
            <wp:simplePos x="0" y="0"/>
            <wp:positionH relativeFrom="column">
              <wp:posOffset>5523230</wp:posOffset>
            </wp:positionH>
            <wp:positionV relativeFrom="paragraph">
              <wp:posOffset>-1654175</wp:posOffset>
            </wp:positionV>
            <wp:extent cx="10287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4991735</wp:posOffset>
            </wp:positionH>
            <wp:positionV relativeFrom="paragraph">
              <wp:posOffset>-1654175</wp:posOffset>
            </wp:positionV>
            <wp:extent cx="10287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-1654175</wp:posOffset>
            </wp:positionV>
            <wp:extent cx="366903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123" w:lineRule="exact"/>
        <w:rPr>
          <w:sz w:val="20"/>
          <w:szCs w:val="20"/>
          <w:color w:val="auto"/>
        </w:rPr>
      </w:pPr>
    </w:p>
    <w:p>
      <w:pPr>
        <w:ind w:left="1440" w:right="839" w:hanging="180"/>
        <w:spacing w:after="0" w:line="293" w:lineRule="auto"/>
        <w:tabs>
          <w:tab w:leader="none" w:pos="1440" w:val="left"/>
        </w:tabs>
        <w:numPr>
          <w:ilvl w:val="0"/>
          <w:numId w:val="205"/>
        </w:numPr>
        <w:rPr>
          <w:rFonts w:ascii="Arial" w:cs="Arial" w:eastAsia="Arial" w:hAnsi="Arial"/>
          <w:sz w:val="14"/>
          <w:szCs w:val="14"/>
          <w:color w:val="auto"/>
        </w:rPr>
      </w:pPr>
      <w:r>
        <w:rPr>
          <w:rFonts w:ascii="Arial" w:cs="Arial" w:eastAsia="Arial" w:hAnsi="Arial"/>
          <w:sz w:val="14"/>
          <w:szCs w:val="14"/>
          <w:color w:val="auto"/>
        </w:rPr>
        <w:t>Amounts have been retrospectively adjusted to reflect the impact of the share split resulting from the corporate reorganization described in Note 1.</w:t>
      </w:r>
    </w:p>
    <w:p>
      <w:pPr>
        <w:spacing w:after="0" w:line="11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4"/>
              </w:rPr>
              <w:t>Currency</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6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Issued</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Capital</w:t>
            </w:r>
          </w:p>
        </w:tc>
        <w:tc>
          <w:tcPr>
            <w:tcW w:w="10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8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translation</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r>
      <w:tr>
        <w:trPr>
          <w:trHeight w:val="186"/>
        </w:trPr>
        <w:tc>
          <w:tcPr>
            <w:tcW w:w="4380" w:type="dxa"/>
            <w:vAlign w:val="bottom"/>
            <w:gridSpan w:val="2"/>
          </w:tcPr>
          <w:p>
            <w:pPr>
              <w:spacing w:after="0"/>
              <w:rPr>
                <w:sz w:val="20"/>
                <w:szCs w:val="20"/>
                <w:color w:val="auto"/>
              </w:rPr>
            </w:pPr>
            <w:r>
              <w:rPr>
                <w:rFonts w:ascii="Arial" w:cs="Arial" w:eastAsia="Arial" w:hAnsi="Arial"/>
                <w:sz w:val="14"/>
                <w:szCs w:val="14"/>
                <w:b w:val="1"/>
                <w:bCs w:val="1"/>
                <w:color w:val="auto"/>
              </w:rPr>
              <w:t>(in thousands of EUR)</w:t>
            </w: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capital*</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reserve*</w:t>
            </w:r>
          </w:p>
        </w:tc>
        <w:tc>
          <w:tcPr>
            <w:tcW w:w="80" w:type="dxa"/>
            <w:vAlign w:val="bottom"/>
          </w:tcPr>
          <w:p>
            <w:pPr>
              <w:spacing w:after="0"/>
              <w:rPr>
                <w:sz w:val="16"/>
                <w:szCs w:val="16"/>
                <w:color w:val="auto"/>
              </w:rPr>
            </w:pPr>
          </w:p>
        </w:tc>
        <w:tc>
          <w:tcPr>
            <w:tcW w:w="9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deficit</w:t>
            </w:r>
          </w:p>
        </w:tc>
        <w:tc>
          <w:tcPr>
            <w:tcW w:w="8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4"/>
              </w:rPr>
              <w:t>reserve</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equity</w:t>
            </w:r>
          </w:p>
        </w:tc>
      </w:tr>
      <w:tr>
        <w:trPr>
          <w:trHeight w:val="26"/>
        </w:trPr>
        <w:tc>
          <w:tcPr>
            <w:tcW w:w="26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7"/>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11,603</w:t>
            </w:r>
          </w:p>
        </w:tc>
        <w:tc>
          <w:tcPr>
            <w:tcW w:w="1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9"/>
              </w:rPr>
              <w:t>436,564</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(416,074)</w:t>
            </w:r>
          </w:p>
        </w:tc>
        <w:tc>
          <w:tcPr>
            <w:tcW w:w="18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w:t>
            </w:r>
          </w:p>
        </w:tc>
        <w:tc>
          <w:tcPr>
            <w:tcW w:w="180" w:type="dxa"/>
            <w:vAlign w:val="bottom"/>
            <w:tcBorders>
              <w:right w:val="single" w:sz="8" w:color="CCEEFF"/>
            </w:tcBorders>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32,083</w:t>
            </w:r>
          </w:p>
        </w:tc>
        <w:tc>
          <w:tcPr>
            <w:tcW w:w="60" w:type="dxa"/>
            <w:vAlign w:val="bottom"/>
          </w:tcPr>
          <w:p>
            <w:pPr>
              <w:spacing w:after="0"/>
              <w:rPr>
                <w:sz w:val="22"/>
                <w:szCs w:val="22"/>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(64,671)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(64,671)</w:t>
            </w:r>
          </w:p>
        </w:tc>
      </w:tr>
      <w:tr>
        <w:trPr>
          <w:trHeight w:val="263"/>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80" w:type="dxa"/>
            <w:vAlign w:val="bottom"/>
            <w:tcBorders>
              <w:right w:val="single" w:sz="8" w:color="CCEEFF"/>
            </w:tcBorders>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2"/>
                <w:szCs w:val="22"/>
                <w:color w:val="auto"/>
              </w:rPr>
            </w:pPr>
          </w:p>
        </w:tc>
      </w:tr>
      <w:tr>
        <w:trPr>
          <w:trHeight w:val="20"/>
        </w:trPr>
        <w:tc>
          <w:tcPr>
            <w:tcW w:w="260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380" w:type="dxa"/>
            <w:vAlign w:val="bottom"/>
            <w:gridSpan w:val="2"/>
          </w:tcPr>
          <w:p>
            <w:pPr>
              <w:spacing w:after="0"/>
              <w:rPr>
                <w:sz w:val="20"/>
                <w:szCs w:val="20"/>
                <w:color w:val="auto"/>
              </w:rPr>
            </w:pPr>
            <w:r>
              <w:rPr>
                <w:rFonts w:ascii="Arial" w:cs="Arial" w:eastAsia="Arial" w:hAnsi="Arial"/>
                <w:sz w:val="18"/>
                <w:szCs w:val="18"/>
                <w:color w:val="auto"/>
              </w:rPr>
              <w:t>Total comprehensive income (loss)</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2"/>
                <w:szCs w:val="2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(64,671)</w:t>
            </w:r>
          </w:p>
        </w:tc>
        <w:tc>
          <w:tcPr>
            <w:tcW w:w="180" w:type="dxa"/>
            <w:vAlign w:val="bottom"/>
          </w:tcPr>
          <w:p>
            <w:pPr>
              <w:spacing w:after="0"/>
              <w:rPr>
                <w:sz w:val="22"/>
                <w:szCs w:val="22"/>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(64,650)</w:t>
            </w:r>
          </w:p>
        </w:tc>
      </w:tr>
      <w:tr>
        <w:trPr>
          <w:trHeight w:val="20"/>
        </w:trPr>
        <w:tc>
          <w:tcPr>
            <w:tcW w:w="260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payment expense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6,073</w:t>
            </w:r>
          </w:p>
        </w:tc>
        <w:tc>
          <w:tcPr>
            <w:tcW w:w="8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6,073</w:t>
            </w:r>
          </w:p>
        </w:tc>
        <w:tc>
          <w:tcPr>
            <w:tcW w:w="60" w:type="dxa"/>
            <w:vAlign w:val="bottom"/>
          </w:tcPr>
          <w:p>
            <w:pPr>
              <w:spacing w:after="0"/>
              <w:rPr>
                <w:sz w:val="22"/>
                <w:szCs w:val="22"/>
                <w:color w:val="auto"/>
              </w:rPr>
            </w:pPr>
          </w:p>
        </w:tc>
      </w:tr>
      <w:tr>
        <w:trPr>
          <w:trHeight w:val="263"/>
        </w:trPr>
        <w:tc>
          <w:tcPr>
            <w:tcW w:w="4380" w:type="dxa"/>
            <w:vAlign w:val="bottom"/>
            <w:gridSpan w:val="2"/>
          </w:tcPr>
          <w:p>
            <w:pPr>
              <w:spacing w:after="0"/>
              <w:rPr>
                <w:sz w:val="20"/>
                <w:szCs w:val="20"/>
                <w:color w:val="auto"/>
              </w:rPr>
            </w:pPr>
            <w:r>
              <w:rPr>
                <w:rFonts w:ascii="Arial" w:cs="Arial" w:eastAsia="Arial" w:hAnsi="Arial"/>
                <w:sz w:val="18"/>
                <w:szCs w:val="18"/>
                <w:color w:val="auto"/>
              </w:rPr>
              <w:t>Equity component of convertible loans (net of tax)</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5,744</w:t>
            </w:r>
          </w:p>
        </w:tc>
        <w:tc>
          <w:tcPr>
            <w:tcW w:w="80" w:type="dxa"/>
            <w:vAlign w:val="bottom"/>
          </w:tcPr>
          <w:p>
            <w:pPr>
              <w:spacing w:after="0"/>
              <w:rPr>
                <w:sz w:val="22"/>
                <w:szCs w:val="22"/>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6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5,744</w:t>
            </w:r>
          </w:p>
        </w:tc>
      </w:tr>
      <w:tr>
        <w:trPr>
          <w:trHeight w:val="20"/>
        </w:trPr>
        <w:tc>
          <w:tcPr>
            <w:tcW w:w="260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2019 (unaudited)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11,603</w:t>
            </w:r>
          </w:p>
        </w:tc>
        <w:tc>
          <w:tcPr>
            <w:tcW w:w="1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9"/>
              </w:rPr>
              <w:t>448,381</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(480,745)</w:t>
            </w:r>
          </w:p>
        </w:tc>
        <w:tc>
          <w:tcPr>
            <w:tcW w:w="18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w:t>
            </w:r>
          </w:p>
        </w:tc>
        <w:tc>
          <w:tcPr>
            <w:tcW w:w="180" w:type="dxa"/>
            <w:vAlign w:val="bottom"/>
            <w:tcBorders>
              <w:right w:val="single" w:sz="8" w:color="CCEEFF"/>
            </w:tcBorders>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0"/>
              </w:rPr>
              <w:t>(20,750)</w:t>
            </w:r>
          </w:p>
        </w:tc>
        <w:tc>
          <w:tcPr>
            <w:tcW w:w="60" w:type="dxa"/>
            <w:vAlign w:val="bottom"/>
          </w:tcPr>
          <w:p>
            <w:pPr>
              <w:spacing w:after="0"/>
              <w:rPr>
                <w:sz w:val="22"/>
                <w:szCs w:val="22"/>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5"/>
        </w:trPr>
        <w:tc>
          <w:tcPr>
            <w:tcW w:w="2600" w:type="dxa"/>
            <w:vAlign w:val="bottom"/>
            <w:tcBorders>
              <w:bottom w:val="single" w:sz="8" w:color="auto"/>
            </w:tcBorders>
          </w:tcPr>
          <w:p>
            <w:pPr>
              <w:spacing w:after="0"/>
              <w:rPr>
                <w:sz w:val="8"/>
                <w:szCs w:val="8"/>
                <w:color w:val="auto"/>
              </w:rPr>
            </w:pPr>
          </w:p>
        </w:tc>
        <w:tc>
          <w:tcPr>
            <w:tcW w:w="1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4957445</wp:posOffset>
            </wp:positionH>
            <wp:positionV relativeFrom="paragraph">
              <wp:posOffset>-281940</wp:posOffset>
            </wp:positionV>
            <wp:extent cx="69469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946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-281940</wp:posOffset>
            </wp:positionV>
            <wp:extent cx="372872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3728720" cy="8255"/>
                    </a:xfrm>
                    <a:prstGeom prst="rect">
                      <a:avLst/>
                    </a:prstGeom>
                    <a:noFill/>
                  </pic:spPr>
                </pic:pic>
              </a:graphicData>
            </a:graphic>
          </wp:anchor>
        </w:drawing>
        <w:drawing>
          <wp:anchor simplePos="0" relativeHeight="251657728" behindDoc="1" locked="0" layoutInCell="0" allowOverlap="1">
            <wp:simplePos x="0" y="0"/>
            <wp:positionH relativeFrom="column">
              <wp:posOffset>4957445</wp:posOffset>
            </wp:positionH>
            <wp:positionV relativeFrom="paragraph">
              <wp:posOffset>-624840</wp:posOffset>
            </wp:positionV>
            <wp:extent cx="69469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946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-624840</wp:posOffset>
            </wp:positionV>
            <wp:extent cx="372872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3728720" cy="8255"/>
                    </a:xfrm>
                    <a:prstGeom prst="rect">
                      <a:avLst/>
                    </a:prstGeom>
                    <a:noFill/>
                  </pic:spPr>
                </pic:pic>
              </a:graphicData>
            </a:graphic>
          </wp:anchor>
        </w:drawing>
        <w:drawing>
          <wp:anchor simplePos="0" relativeHeight="251657728" behindDoc="1" locked="0" layoutInCell="0" allowOverlap="1">
            <wp:simplePos x="0" y="0"/>
            <wp:positionH relativeFrom="column">
              <wp:posOffset>5540375</wp:posOffset>
            </wp:positionH>
            <wp:positionV relativeFrom="paragraph">
              <wp:posOffset>-1336675</wp:posOffset>
            </wp:positionV>
            <wp:extent cx="10287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5008880</wp:posOffset>
            </wp:positionH>
            <wp:positionV relativeFrom="paragraph">
              <wp:posOffset>-1336675</wp:posOffset>
            </wp:positionV>
            <wp:extent cx="10287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-1336675</wp:posOffset>
            </wp:positionV>
            <wp:extent cx="368617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123" w:lineRule="exact"/>
        <w:rPr>
          <w:sz w:val="20"/>
          <w:szCs w:val="20"/>
          <w:color w:val="auto"/>
        </w:rPr>
      </w:pPr>
    </w:p>
    <w:p>
      <w:pPr>
        <w:ind w:left="1440" w:right="839" w:hanging="180"/>
        <w:spacing w:after="0" w:line="293" w:lineRule="auto"/>
        <w:tabs>
          <w:tab w:leader="none" w:pos="1440" w:val="left"/>
        </w:tabs>
        <w:numPr>
          <w:ilvl w:val="0"/>
          <w:numId w:val="206"/>
        </w:numPr>
        <w:rPr>
          <w:rFonts w:ascii="Arial" w:cs="Arial" w:eastAsia="Arial" w:hAnsi="Arial"/>
          <w:sz w:val="14"/>
          <w:szCs w:val="14"/>
          <w:color w:val="auto"/>
        </w:rPr>
      </w:pPr>
      <w:r>
        <w:rPr>
          <w:rFonts w:ascii="Arial" w:cs="Arial" w:eastAsia="Arial" w:hAnsi="Arial"/>
          <w:sz w:val="14"/>
          <w:szCs w:val="14"/>
          <w:color w:val="auto"/>
        </w:rPr>
        <w:t>Amounts have been retrospectively adjusted to reflect the impact of the share split resulting from the corporate reorganization described in Note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19" w:name="page320"/>
    <w:bookmarkEnd w:id="319"/>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CureVac N.V.</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Interim Condensed Consolidated Statements of Cash Flows</w:t>
      </w:r>
    </w:p>
    <w:p>
      <w:pPr>
        <w:spacing w:after="0" w:line="194"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Nine months ended</w:t>
      </w:r>
    </w:p>
    <w:p>
      <w:pPr>
        <w:spacing w:after="0" w:line="17"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5120640</wp:posOffset>
            </wp:positionH>
            <wp:positionV relativeFrom="paragraph">
              <wp:posOffset>22225</wp:posOffset>
            </wp:positionV>
            <wp:extent cx="89154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4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560" w:type="dxa"/>
            <w:vAlign w:val="bottom"/>
          </w:tcPr>
          <w:p>
            <w:pPr>
              <w:jc w:val="right"/>
              <w:ind w:right="51"/>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6"/>
                <w:szCs w:val="16"/>
                <w:color w:val="auto"/>
              </w:rPr>
            </w:pPr>
          </w:p>
        </w:tc>
        <w:tc>
          <w:tcPr>
            <w:tcW w:w="580" w:type="dxa"/>
            <w:vAlign w:val="bottom"/>
          </w:tcPr>
          <w:p>
            <w:pPr>
              <w:jc w:val="right"/>
              <w:ind w:right="71"/>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820" w:type="dxa"/>
            <w:vAlign w:val="bottom"/>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6820" w:type="dxa"/>
            <w:vAlign w:val="bottom"/>
          </w:tcPr>
          <w:p>
            <w:pPr>
              <w:spacing w:after="0"/>
              <w:rPr>
                <w:sz w:val="20"/>
                <w:szCs w:val="20"/>
                <w:color w:val="auto"/>
              </w:rPr>
            </w:pPr>
            <w:r>
              <w:rPr>
                <w:rFonts w:ascii="Arial" w:cs="Arial" w:eastAsia="Arial" w:hAnsi="Arial"/>
                <w:sz w:val="14"/>
                <w:szCs w:val="14"/>
                <w:b w:val="1"/>
                <w:bCs w:val="1"/>
                <w:color w:val="auto"/>
              </w:rPr>
              <w:t>(in thousands of EUR)</w:t>
            </w:r>
          </w:p>
        </w:tc>
        <w:tc>
          <w:tcPr>
            <w:tcW w:w="14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6"/>
        </w:trPr>
        <w:tc>
          <w:tcPr>
            <w:tcW w:w="6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5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820" w:type="dxa"/>
            <w:vAlign w:val="bottom"/>
          </w:tcPr>
          <w:p>
            <w:pPr>
              <w:spacing w:after="0"/>
              <w:rPr>
                <w:sz w:val="20"/>
                <w:szCs w:val="20"/>
                <w:color w:val="auto"/>
              </w:rPr>
            </w:pPr>
            <w:r>
              <w:rPr>
                <w:rFonts w:ascii="Arial" w:cs="Arial" w:eastAsia="Arial" w:hAnsi="Arial"/>
                <w:sz w:val="18"/>
                <w:szCs w:val="18"/>
                <w:color w:val="auto"/>
              </w:rPr>
              <w:t>Loss before income tax</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9"/>
              </w:rPr>
              <w:t>(64,218)</w:t>
            </w: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(72,590)</w:t>
            </w:r>
          </w:p>
        </w:tc>
        <w:tc>
          <w:tcPr>
            <w:tcW w:w="0" w:type="dxa"/>
            <w:vAlign w:val="bottom"/>
          </w:tcPr>
          <w:p>
            <w:pPr>
              <w:spacing w:after="0"/>
              <w:rPr>
                <w:sz w:val="1"/>
                <w:szCs w:val="1"/>
                <w:color w:val="auto"/>
              </w:rPr>
            </w:pPr>
          </w:p>
        </w:tc>
      </w:tr>
      <w:tr>
        <w:trPr>
          <w:trHeight w:val="257"/>
        </w:trPr>
        <w:tc>
          <w:tcPr>
            <w:tcW w:w="682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 to reconcile loss before tax to net cash flows</w:t>
            </w:r>
          </w:p>
        </w:tc>
        <w:tc>
          <w:tcPr>
            <w:tcW w:w="560" w:type="dxa"/>
            <w:vAlign w:val="bottom"/>
            <w:tcBorders>
              <w:top w:val="single" w:sz="8" w:color="auto"/>
            </w:tcBorders>
            <w:shd w:val="clear" w:color="auto" w:fill="CCEEFF"/>
          </w:tcPr>
          <w:p>
            <w:pPr>
              <w:spacing w:after="0"/>
              <w:rPr>
                <w:sz w:val="22"/>
                <w:szCs w:val="22"/>
                <w:color w:val="auto"/>
              </w:rPr>
            </w:pPr>
          </w:p>
        </w:tc>
        <w:tc>
          <w:tcPr>
            <w:tcW w:w="24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820" w:type="dxa"/>
            <w:vAlign w:val="bottom"/>
          </w:tcPr>
          <w:p>
            <w:pPr>
              <w:ind w:left="180"/>
              <w:spacing w:after="0"/>
              <w:rPr>
                <w:sz w:val="20"/>
                <w:szCs w:val="20"/>
                <w:color w:val="auto"/>
              </w:rPr>
            </w:pPr>
            <w:r>
              <w:rPr>
                <w:rFonts w:ascii="Arial" w:cs="Arial" w:eastAsia="Arial" w:hAnsi="Arial"/>
                <w:sz w:val="18"/>
                <w:szCs w:val="18"/>
                <w:color w:val="auto"/>
              </w:rPr>
              <w:t>Finance income</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(3,133)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(5,103)</w:t>
            </w:r>
          </w:p>
        </w:tc>
        <w:tc>
          <w:tcPr>
            <w:tcW w:w="0" w:type="dxa"/>
            <w:vAlign w:val="bottom"/>
          </w:tcPr>
          <w:p>
            <w:pPr>
              <w:spacing w:after="0"/>
              <w:rPr>
                <w:sz w:val="1"/>
                <w:szCs w:val="1"/>
                <w:color w:val="auto"/>
              </w:rPr>
            </w:pPr>
          </w:p>
        </w:tc>
      </w:tr>
      <w:tr>
        <w:trPr>
          <w:trHeight w:val="257"/>
        </w:trPr>
        <w:tc>
          <w:tcPr>
            <w:tcW w:w="68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Finance expense</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2,924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8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4,924</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7,244</w:t>
            </w:r>
          </w:p>
        </w:tc>
        <w:tc>
          <w:tcPr>
            <w:tcW w:w="0" w:type="dxa"/>
            <w:vAlign w:val="bottom"/>
          </w:tcPr>
          <w:p>
            <w:pPr>
              <w:spacing w:after="0"/>
              <w:rPr>
                <w:sz w:val="1"/>
                <w:szCs w:val="1"/>
                <w:color w:val="auto"/>
              </w:rPr>
            </w:pPr>
          </w:p>
        </w:tc>
      </w:tr>
      <w:tr>
        <w:trPr>
          <w:trHeight w:val="257"/>
        </w:trPr>
        <w:tc>
          <w:tcPr>
            <w:tcW w:w="68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disposal of fixed assets</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820" w:type="dxa"/>
            <w:vAlign w:val="bottom"/>
          </w:tcPr>
          <w:p>
            <w:pPr>
              <w:ind w:left="180"/>
              <w:spacing w:after="0"/>
              <w:rPr>
                <w:sz w:val="20"/>
                <w:szCs w:val="20"/>
                <w:color w:val="auto"/>
              </w:rPr>
            </w:pPr>
            <w:r>
              <w:rPr>
                <w:rFonts w:ascii="Arial" w:cs="Arial" w:eastAsia="Arial" w:hAnsi="Arial"/>
                <w:sz w:val="18"/>
                <w:szCs w:val="18"/>
                <w:color w:val="auto"/>
              </w:rPr>
              <w:t>Share-based payment expense</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6,074</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7,399</w:t>
            </w:r>
          </w:p>
        </w:tc>
        <w:tc>
          <w:tcPr>
            <w:tcW w:w="0" w:type="dxa"/>
            <w:vAlign w:val="bottom"/>
          </w:tcPr>
          <w:p>
            <w:pPr>
              <w:spacing w:after="0"/>
              <w:rPr>
                <w:sz w:val="1"/>
                <w:szCs w:val="1"/>
                <w:color w:val="auto"/>
              </w:rPr>
            </w:pPr>
          </w:p>
        </w:tc>
      </w:tr>
      <w:tr>
        <w:trPr>
          <w:trHeight w:val="270"/>
        </w:trPr>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Working capital changes</w:t>
            </w:r>
          </w:p>
        </w:tc>
        <w:tc>
          <w:tcPr>
            <w:tcW w:w="5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Decrease / (increase) in trade receivables and contract assets</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1,707</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16,662</w:t>
            </w:r>
          </w:p>
        </w:tc>
        <w:tc>
          <w:tcPr>
            <w:tcW w:w="0" w:type="dxa"/>
            <w:vAlign w:val="bottom"/>
          </w:tcPr>
          <w:p>
            <w:pPr>
              <w:spacing w:after="0"/>
              <w:rPr>
                <w:sz w:val="1"/>
                <w:szCs w:val="1"/>
                <w:color w:val="auto"/>
              </w:rPr>
            </w:pPr>
          </w:p>
        </w:tc>
      </w:tr>
      <w:tr>
        <w:trPr>
          <w:trHeight w:val="270"/>
        </w:trPr>
        <w:tc>
          <w:tcPr>
            <w:tcW w:w="68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Decrease / (increase) in inventory</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(4,442)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Decrease / (increase) in prepaid expenses and other assets</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(765)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(19,336)</w:t>
            </w:r>
          </w:p>
        </w:tc>
        <w:tc>
          <w:tcPr>
            <w:tcW w:w="0" w:type="dxa"/>
            <w:vAlign w:val="bottom"/>
          </w:tcPr>
          <w:p>
            <w:pPr>
              <w:spacing w:after="0"/>
              <w:rPr>
                <w:sz w:val="1"/>
                <w:szCs w:val="1"/>
                <w:color w:val="auto"/>
              </w:rPr>
            </w:pPr>
          </w:p>
        </w:tc>
      </w:tr>
      <w:tr>
        <w:trPr>
          <w:trHeight w:val="270"/>
        </w:trPr>
        <w:tc>
          <w:tcPr>
            <w:tcW w:w="68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Receipts from grants from government agencies and similar bodies</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2,178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(Decrease) / increase in trade and other payables and contract liabilities</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(11,912)</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116,457</w:t>
            </w:r>
          </w:p>
        </w:tc>
        <w:tc>
          <w:tcPr>
            <w:tcW w:w="0" w:type="dxa"/>
            <w:vAlign w:val="bottom"/>
          </w:tcPr>
          <w:p>
            <w:pPr>
              <w:spacing w:after="0"/>
              <w:rPr>
                <w:sz w:val="1"/>
                <w:szCs w:val="1"/>
                <w:color w:val="auto"/>
              </w:rPr>
            </w:pPr>
          </w:p>
        </w:tc>
      </w:tr>
      <w:tr>
        <w:trPr>
          <w:trHeight w:val="270"/>
        </w:trPr>
        <w:tc>
          <w:tcPr>
            <w:tcW w:w="68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Decrease / (increase) in deferred taxes</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20" w:type="dxa"/>
            <w:vAlign w:val="bottom"/>
          </w:tcPr>
          <w:p>
            <w:pPr>
              <w:ind w:left="180"/>
              <w:spacing w:after="0"/>
              <w:rPr>
                <w:sz w:val="20"/>
                <w:szCs w:val="20"/>
                <w:color w:val="auto"/>
              </w:rPr>
            </w:pPr>
            <w:r>
              <w:rPr>
                <w:rFonts w:ascii="Arial" w:cs="Arial" w:eastAsia="Arial" w:hAnsi="Arial"/>
                <w:sz w:val="18"/>
                <w:szCs w:val="18"/>
                <w:color w:val="auto"/>
              </w:rPr>
              <w:t>(Decrease) / Increase in other current financial and other liabilities</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(417)</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8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paid</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6820" w:type="dxa"/>
            <w:vAlign w:val="bottom"/>
          </w:tcPr>
          <w:p>
            <w:pPr>
              <w:ind w:left="180"/>
              <w:spacing w:after="0"/>
              <w:rPr>
                <w:sz w:val="20"/>
                <w:szCs w:val="20"/>
                <w:color w:val="auto"/>
              </w:rPr>
            </w:pPr>
            <w:r>
              <w:rPr>
                <w:rFonts w:ascii="Arial" w:cs="Arial" w:eastAsia="Arial" w:hAnsi="Arial"/>
                <w:sz w:val="18"/>
                <w:szCs w:val="18"/>
                <w:color w:val="auto"/>
              </w:rPr>
              <w:t>Interest paid</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(633)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(6,869)</w:t>
            </w:r>
          </w:p>
        </w:tc>
        <w:tc>
          <w:tcPr>
            <w:tcW w:w="0" w:type="dxa"/>
            <w:vAlign w:val="bottom"/>
          </w:tcPr>
          <w:p>
            <w:pPr>
              <w:spacing w:after="0"/>
              <w:rPr>
                <w:sz w:val="1"/>
                <w:szCs w:val="1"/>
                <w:color w:val="auto"/>
              </w:rPr>
            </w:pPr>
          </w:p>
        </w:tc>
      </w:tr>
      <w:tr>
        <w:trPr>
          <w:trHeight w:val="20"/>
        </w:trPr>
        <w:tc>
          <w:tcPr>
            <w:tcW w:w="68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flow provided by (used in) operating activities</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9"/>
              </w:rPr>
              <w:t>(67,979)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80,982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Investing activities</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 of property, plant and equipment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(6,629)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(15,149)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20" w:type="dxa"/>
            <w:vAlign w:val="bottom"/>
          </w:tcPr>
          <w:p>
            <w:pPr>
              <w:spacing w:after="0"/>
              <w:rPr>
                <w:sz w:val="20"/>
                <w:szCs w:val="20"/>
                <w:color w:val="auto"/>
              </w:rPr>
            </w:pPr>
            <w:r>
              <w:rPr>
                <w:rFonts w:ascii="Arial" w:cs="Arial" w:eastAsia="Arial" w:hAnsi="Arial"/>
                <w:sz w:val="18"/>
                <w:szCs w:val="18"/>
                <w:color w:val="auto"/>
              </w:rPr>
              <w:t>Purchase of intangible assets</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(681)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(5,883)</w:t>
            </w:r>
          </w:p>
        </w:tc>
        <w:tc>
          <w:tcPr>
            <w:tcW w:w="0" w:type="dxa"/>
            <w:vAlign w:val="bottom"/>
          </w:tcPr>
          <w:p>
            <w:pPr>
              <w:spacing w:after="0"/>
              <w:rPr>
                <w:sz w:val="1"/>
                <w:szCs w:val="1"/>
                <w:color w:val="auto"/>
              </w:rPr>
            </w:pPr>
          </w:p>
        </w:tc>
      </w:tr>
      <w:tr>
        <w:trPr>
          <w:trHeight w:val="270"/>
        </w:trPr>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asset-related grants</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6820" w:type="dxa"/>
            <w:vAlign w:val="bottom"/>
          </w:tcPr>
          <w:p>
            <w:pPr>
              <w:spacing w:after="0"/>
              <w:rPr>
                <w:sz w:val="20"/>
                <w:szCs w:val="20"/>
                <w:color w:val="auto"/>
              </w:rPr>
            </w:pPr>
            <w:r>
              <w:rPr>
                <w:rFonts w:ascii="Arial" w:cs="Arial" w:eastAsia="Arial" w:hAnsi="Arial"/>
                <w:sz w:val="18"/>
                <w:szCs w:val="18"/>
                <w:color w:val="auto"/>
              </w:rPr>
              <w:t>Proceeds from sale of other financial assets</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38,856</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0"/>
        </w:trPr>
        <w:tc>
          <w:tcPr>
            <w:tcW w:w="68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flow provided by (used in) investing activities</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8"/>
              </w:rPr>
              <w:t>33,047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(17,466)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Financing activities</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Payments on lease obligation</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(3,478)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20" w:type="dxa"/>
            <w:vAlign w:val="bottom"/>
          </w:tcPr>
          <w:p>
            <w:pPr>
              <w:spacing w:after="0"/>
              <w:rPr>
                <w:sz w:val="20"/>
                <w:szCs w:val="20"/>
                <w:color w:val="auto"/>
              </w:rPr>
            </w:pPr>
            <w:r>
              <w:rPr>
                <w:rFonts w:ascii="Arial" w:cs="Arial" w:eastAsia="Arial" w:hAnsi="Arial"/>
                <w:sz w:val="18"/>
                <w:szCs w:val="18"/>
                <w:color w:val="auto"/>
              </w:rPr>
              <w:t>Proceeds from the issuance of shares (net of transaction costs)</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867,717</w:t>
            </w:r>
          </w:p>
        </w:tc>
        <w:tc>
          <w:tcPr>
            <w:tcW w:w="0" w:type="dxa"/>
            <w:vAlign w:val="bottom"/>
          </w:tcPr>
          <w:p>
            <w:pPr>
              <w:spacing w:after="0"/>
              <w:rPr>
                <w:sz w:val="1"/>
                <w:szCs w:val="1"/>
                <w:color w:val="auto"/>
              </w:rPr>
            </w:pPr>
          </w:p>
        </w:tc>
      </w:tr>
      <w:tr>
        <w:trPr>
          <w:trHeight w:val="270"/>
        </w:trPr>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the convertible loans</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50,000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20" w:type="dxa"/>
            <w:vAlign w:val="bottom"/>
          </w:tcPr>
          <w:p>
            <w:pPr>
              <w:spacing w:after="0"/>
              <w:rPr>
                <w:sz w:val="20"/>
                <w:szCs w:val="20"/>
                <w:color w:val="auto"/>
              </w:rPr>
            </w:pPr>
            <w:r>
              <w:rPr>
                <w:rFonts w:ascii="Arial" w:cs="Arial" w:eastAsia="Arial" w:hAnsi="Arial"/>
                <w:sz w:val="18"/>
                <w:szCs w:val="18"/>
                <w:color w:val="auto"/>
              </w:rPr>
              <w:t>Repayments of convertible loans</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(94,749)</w:t>
            </w:r>
          </w:p>
        </w:tc>
        <w:tc>
          <w:tcPr>
            <w:tcW w:w="0" w:type="dxa"/>
            <w:vAlign w:val="bottom"/>
          </w:tcPr>
          <w:p>
            <w:pPr>
              <w:spacing w:after="0"/>
              <w:rPr>
                <w:sz w:val="1"/>
                <w:szCs w:val="1"/>
                <w:color w:val="auto"/>
              </w:rPr>
            </w:pPr>
          </w:p>
        </w:tc>
      </w:tr>
      <w:tr>
        <w:trPr>
          <w:trHeight w:val="277"/>
        </w:trPr>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flow provided by financing activities</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8"/>
              </w:rPr>
              <w:t>48,669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794,350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820" w:type="dxa"/>
            <w:vAlign w:val="bottom"/>
          </w:tcPr>
          <w:p>
            <w:pPr>
              <w:spacing w:after="0"/>
              <w:rPr>
                <w:sz w:val="20"/>
                <w:szCs w:val="20"/>
                <w:color w:val="auto"/>
              </w:rPr>
            </w:pPr>
            <w:r>
              <w:rPr>
                <w:rFonts w:ascii="Arial" w:cs="Arial" w:eastAsia="Arial" w:hAnsi="Arial"/>
                <w:sz w:val="18"/>
                <w:szCs w:val="18"/>
                <w:color w:val="auto"/>
              </w:rPr>
              <w:t>Currency translation gains (losses) on cash and cash equivalents</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(139)</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3,849</w:t>
            </w:r>
          </w:p>
        </w:tc>
        <w:tc>
          <w:tcPr>
            <w:tcW w:w="0" w:type="dxa"/>
            <w:vAlign w:val="bottom"/>
          </w:tcPr>
          <w:p>
            <w:pPr>
              <w:spacing w:after="0"/>
              <w:rPr>
                <w:sz w:val="1"/>
                <w:szCs w:val="1"/>
                <w:color w:val="auto"/>
              </w:rPr>
            </w:pPr>
          </w:p>
        </w:tc>
      </w:tr>
      <w:tr>
        <w:trPr>
          <w:trHeight w:val="270"/>
        </w:trPr>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13,737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857,867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21,750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30,684</w:t>
            </w:r>
          </w:p>
        </w:tc>
        <w:tc>
          <w:tcPr>
            <w:tcW w:w="0" w:type="dxa"/>
            <w:vAlign w:val="bottom"/>
          </w:tcPr>
          <w:p>
            <w:pPr>
              <w:spacing w:after="0"/>
              <w:rPr>
                <w:sz w:val="1"/>
                <w:szCs w:val="1"/>
                <w:color w:val="auto"/>
              </w:rPr>
            </w:pPr>
          </w:p>
        </w:tc>
      </w:tr>
      <w:tr>
        <w:trPr>
          <w:trHeight w:val="277"/>
        </w:trPr>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8"/>
              </w:rPr>
              <w:t>35,348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892,399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-1962150</wp:posOffset>
            </wp:positionV>
            <wp:extent cx="483489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-3016885</wp:posOffset>
            </wp:positionV>
            <wp:extent cx="483489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-5725795</wp:posOffset>
            </wp:positionV>
            <wp:extent cx="483489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5488940</wp:posOffset>
            </wp:positionH>
            <wp:positionV relativeFrom="paragraph">
              <wp:posOffset>-6214110</wp:posOffset>
            </wp:positionV>
            <wp:extent cx="13716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47"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20" w:name="page321"/>
    <w:bookmarkEnd w:id="320"/>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Condensed explanatory notes to the financial statements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 Corporate Information</w:t>
      </w:r>
    </w:p>
    <w:p>
      <w:pPr>
        <w:spacing w:after="0" w:line="162" w:lineRule="exact"/>
        <w:rPr>
          <w:sz w:val="20"/>
          <w:szCs w:val="20"/>
          <w:color w:val="auto"/>
        </w:rPr>
      </w:pPr>
    </w:p>
    <w:p>
      <w:pPr>
        <w:ind w:left="1260" w:right="419" w:firstLine="648"/>
        <w:spacing w:after="0" w:line="243" w:lineRule="auto"/>
        <w:rPr>
          <w:sz w:val="20"/>
          <w:szCs w:val="20"/>
          <w:color w:val="auto"/>
        </w:rPr>
      </w:pPr>
      <w:r>
        <w:rPr>
          <w:rFonts w:ascii="Arial" w:cs="Arial" w:eastAsia="Arial" w:hAnsi="Arial"/>
          <w:sz w:val="18"/>
          <w:szCs w:val="18"/>
          <w:color w:val="auto"/>
        </w:rPr>
        <w:t>CureVac N.V. (“CureVac” or “CV” or the “Company”) is the parent company of CureVac Group (“Group”) and, along with its subsidiaries, is a global biopharmaceutical company developing a new class of transformative medicines based on the messenger ribonucleic acid (mRNA) that has the potential to improve the lives of people.</w:t>
      </w:r>
    </w:p>
    <w:p>
      <w:pPr>
        <w:spacing w:after="0" w:line="120" w:lineRule="exact"/>
        <w:rPr>
          <w:sz w:val="20"/>
          <w:szCs w:val="20"/>
          <w:color w:val="auto"/>
        </w:rPr>
      </w:pPr>
    </w:p>
    <w:p>
      <w:pPr>
        <w:ind w:left="1260" w:right="519" w:firstLine="648"/>
        <w:spacing w:after="0" w:line="248" w:lineRule="auto"/>
        <w:rPr>
          <w:sz w:val="20"/>
          <w:szCs w:val="20"/>
          <w:color w:val="auto"/>
        </w:rPr>
      </w:pPr>
      <w:r>
        <w:rPr>
          <w:rFonts w:ascii="Arial" w:cs="Arial" w:eastAsia="Arial" w:hAnsi="Arial"/>
          <w:sz w:val="18"/>
          <w:szCs w:val="18"/>
          <w:color w:val="auto"/>
        </w:rPr>
        <w:t>The Company is incorporated in the Netherlands and is registered in the commercial register at the Netherlands Chamber of Commerce under RSIN 861149336. The Company’s registered headquarters is Friedrich-Miescher-Strasse 15, 72076 Tuebingen, Germany.</w:t>
      </w:r>
    </w:p>
    <w:p>
      <w:pPr>
        <w:spacing w:after="0" w:line="101" w:lineRule="exact"/>
        <w:rPr>
          <w:sz w:val="20"/>
          <w:szCs w:val="20"/>
          <w:color w:val="auto"/>
        </w:rPr>
      </w:pPr>
    </w:p>
    <w:p>
      <w:pPr>
        <w:ind w:left="1260" w:right="439" w:firstLine="648"/>
        <w:spacing w:after="0" w:line="252" w:lineRule="auto"/>
        <w:rPr>
          <w:sz w:val="20"/>
          <w:szCs w:val="20"/>
          <w:color w:val="auto"/>
        </w:rPr>
      </w:pPr>
      <w:r>
        <w:rPr>
          <w:rFonts w:ascii="Arial" w:cs="Arial" w:eastAsia="Arial" w:hAnsi="Arial"/>
          <w:sz w:val="17"/>
          <w:szCs w:val="17"/>
          <w:color w:val="auto"/>
        </w:rPr>
        <w:t>On August 14, 2020, the Company completed an initial public offering (“IPO”) and listed on Nasdaq Global Market under symbol “CVAC”. In connection with the IPO, the Company underwent a corporate reorganization by which CureVac N.V. became the parent holding company with 100% interest in CureVac AG. Prior to the reorganization, CureVac AG was the parent holding company of the Group; as part of the reorganization, CureVac B.V. was formed and existing shareholders of CureVac AG subscribed for new common shares in CureVac B.V. and agreed to transfer their respective shares in CureVac AG to CureVac B.V. as a contribution in kind against issuance of the common shares in CureVac B.V. shares (share split) on a 1-to-133.0778 basis. As a result, CureVac B.V. became the holding company of CureVac AG, while the existing shareholders had a 100% shareholding in CureVac B.V. Effective with the IPO, CureVac B.V. changed its legal form and became CureVac N.V. and the common shares of CureVac B.V. were converted to common shares of CureVac N.V.</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 Basis of preparation</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Basis of preparation</w:t>
      </w:r>
    </w:p>
    <w:p>
      <w:pPr>
        <w:spacing w:after="0" w:line="158" w:lineRule="exact"/>
        <w:rPr>
          <w:sz w:val="20"/>
          <w:szCs w:val="20"/>
          <w:color w:val="auto"/>
        </w:rPr>
      </w:pPr>
    </w:p>
    <w:p>
      <w:pPr>
        <w:ind w:left="1260" w:right="479" w:firstLine="648"/>
        <w:spacing w:after="0" w:line="238" w:lineRule="auto"/>
        <w:rPr>
          <w:sz w:val="20"/>
          <w:szCs w:val="20"/>
          <w:color w:val="auto"/>
        </w:rPr>
      </w:pPr>
      <w:r>
        <w:rPr>
          <w:rFonts w:ascii="Arial" w:cs="Arial" w:eastAsia="Arial" w:hAnsi="Arial"/>
          <w:sz w:val="18"/>
          <w:szCs w:val="18"/>
          <w:color w:val="auto"/>
        </w:rPr>
        <w:t>The interim condensed consolidated financial statements for the nine months ended September 30, 2020 have been prepared in accordance with IAS 34 Interim Financial Reporting. The corporate reorganization, as described above, is considered a continuation of the CureVac Group resulting in no change in the carrying values of assets or liabilities. As a result, the financial statements for periods prior to the IPO and the corporate reorganization are the financial statements of CureVac AG as the predecessor to the Company for accounting and reporting purposes. All share, per-share and related information presented in these interim condensed consolidated financial statements and corresponding disclosure notes have been retrospectively adjusted, where applicable, to reflect the impact of the share split resulting from the corporate reorganization.</w:t>
      </w:r>
    </w:p>
    <w:p>
      <w:pPr>
        <w:spacing w:after="0" w:line="124" w:lineRule="exact"/>
        <w:rPr>
          <w:sz w:val="20"/>
          <w:szCs w:val="20"/>
          <w:color w:val="auto"/>
        </w:rPr>
      </w:pPr>
    </w:p>
    <w:p>
      <w:pPr>
        <w:ind w:left="1260" w:right="499" w:firstLine="648"/>
        <w:spacing w:after="0" w:line="239" w:lineRule="auto"/>
        <w:rPr>
          <w:sz w:val="20"/>
          <w:szCs w:val="20"/>
          <w:color w:val="auto"/>
        </w:rPr>
      </w:pPr>
      <w:r>
        <w:rPr>
          <w:rFonts w:ascii="Arial" w:cs="Arial" w:eastAsia="Arial" w:hAnsi="Arial"/>
          <w:sz w:val="18"/>
          <w:szCs w:val="18"/>
          <w:color w:val="auto"/>
        </w:rPr>
        <w:t>The interim condensed consolidated financial statements do not include all the information and disclosures required in the annual consolidated financial statements and should be read in conjunction with the Group’s annual consolidated financial statements as at December 31, 2019 and for the two years then ended. The interim condensed consolidated financial statements were authorized by the Management Board for presentation to the Supervisory Board on November 27, 2020. The Group’s consolidated financial statements are presented in Euros (“EUR”). Unless otherwise stated, amounts are rounded to thousands of Euros, except per share amounts.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New standards, interpretations and amendments adopted by the Group</w:t>
      </w:r>
    </w:p>
    <w:p>
      <w:pPr>
        <w:spacing w:after="0" w:line="144" w:lineRule="exact"/>
        <w:rPr>
          <w:sz w:val="20"/>
          <w:szCs w:val="20"/>
          <w:color w:val="auto"/>
        </w:rPr>
      </w:pPr>
    </w:p>
    <w:p>
      <w:pPr>
        <w:ind w:left="1260" w:right="459" w:firstLine="648"/>
        <w:spacing w:after="0" w:line="274" w:lineRule="auto"/>
        <w:rPr>
          <w:sz w:val="20"/>
          <w:szCs w:val="20"/>
          <w:color w:val="auto"/>
        </w:rPr>
      </w:pPr>
      <w:r>
        <w:rPr>
          <w:rFonts w:ascii="Arial" w:cs="Arial" w:eastAsia="Arial" w:hAnsi="Arial"/>
          <w:sz w:val="16"/>
          <w:szCs w:val="16"/>
          <w:color w:val="auto"/>
        </w:rPr>
        <w:t>The new and amended standards and interpretations applied for the first time as of January 1, 2020, as disclosed in the notes to the consolidated financial statements as at December 31, 2019 and for the</w:t>
      </w:r>
    </w:p>
    <w:p>
      <w:pPr>
        <w:spacing w:after="0" w:line="1" w:lineRule="exact"/>
        <w:rPr>
          <w:sz w:val="20"/>
          <w:szCs w:val="20"/>
          <w:color w:val="auto"/>
        </w:rPr>
      </w:pPr>
    </w:p>
    <w:p>
      <w:pPr>
        <w:jc w:val="both"/>
        <w:ind w:left="1260" w:right="879"/>
        <w:spacing w:after="0" w:line="239" w:lineRule="auto"/>
        <w:rPr>
          <w:sz w:val="20"/>
          <w:szCs w:val="20"/>
          <w:color w:val="auto"/>
        </w:rPr>
      </w:pPr>
      <w:r>
        <w:rPr>
          <w:rFonts w:ascii="Arial" w:cs="Arial" w:eastAsia="Arial" w:hAnsi="Arial"/>
          <w:sz w:val="18"/>
          <w:szCs w:val="18"/>
          <w:color w:val="auto"/>
        </w:rPr>
        <w:t>two years then ended, had no impact on the interim condensed consolidated financial statements of the Group as of and for the nine months ended September 30, 2020. The Group has not early adopted any standard, interpretation or amendment that has been issued but is not yet effective.</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58" w:lineRule="exact"/>
        <w:rPr>
          <w:sz w:val="20"/>
          <w:szCs w:val="20"/>
          <w:color w:val="auto"/>
        </w:rPr>
      </w:pPr>
    </w:p>
    <w:p>
      <w:pPr>
        <w:ind w:left="1260" w:right="419" w:firstLine="648"/>
        <w:spacing w:after="0" w:line="291" w:lineRule="auto"/>
        <w:rPr>
          <w:sz w:val="20"/>
          <w:szCs w:val="20"/>
          <w:color w:val="auto"/>
        </w:rPr>
      </w:pPr>
      <w:r>
        <w:rPr>
          <w:rFonts w:ascii="Arial" w:cs="Arial" w:eastAsia="Arial" w:hAnsi="Arial"/>
          <w:sz w:val="17"/>
          <w:szCs w:val="17"/>
          <w:color w:val="auto"/>
        </w:rPr>
        <w:t>The accounting policies adopted in the preparation of the interim condensed consolidated financial statements are consistent with those followed in the preparation of the Group’s annual consolidated financial</w:t>
      </w:r>
    </w:p>
    <w:p>
      <w:pPr>
        <w:spacing w:after="0" w:line="32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21" w:name="page322"/>
    <w:bookmarkEnd w:id="321"/>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519"/>
        <w:spacing w:after="0" w:line="261" w:lineRule="auto"/>
        <w:rPr>
          <w:sz w:val="20"/>
          <w:szCs w:val="20"/>
          <w:color w:val="auto"/>
        </w:rPr>
      </w:pPr>
      <w:r>
        <w:rPr>
          <w:rFonts w:ascii="Arial" w:cs="Arial" w:eastAsia="Arial" w:hAnsi="Arial"/>
          <w:sz w:val="18"/>
          <w:szCs w:val="18"/>
          <w:color w:val="auto"/>
        </w:rPr>
        <w:t>statements for the year ended December 31, 2019. Certain policies have been further specified as described below due to the activities related to the Company’s COVID-19 vaccine development.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ind w:left="1260" w:right="419" w:firstLine="648"/>
        <w:spacing w:after="0" w:line="251" w:lineRule="auto"/>
        <w:rPr>
          <w:sz w:val="20"/>
          <w:szCs w:val="20"/>
          <w:color w:val="auto"/>
        </w:rPr>
      </w:pPr>
      <w:r>
        <w:rPr>
          <w:rFonts w:ascii="Arial" w:cs="Arial" w:eastAsia="Arial" w:hAnsi="Arial"/>
          <w:sz w:val="17"/>
          <w:szCs w:val="17"/>
          <w:color w:val="auto"/>
        </w:rPr>
        <w:t>Research activities undertaken with the prospect of gaining new scientific or technical knowledge and understanding are expensed as incurred. The value of goods and services received from contract research organizations (CROs) and contract manufacturing organizations (CMOs) in the reporting period are estimated based on the level of services performed and progress made in the respective period. Amounts are recorded as accrued expenses in cases where the Company has not received an invoice from the service provider. Advance payments for goods or services that will be used or rendered for future research and development activities are recognized as (current) prepaid expenses and other assets or in (non-current) other assets if the benefit is expected to be received more than a year from the statement of financial position date. These amounts are recognized as an expense as the related goods are delivered or the services performed. Management’s estimates are based on the best information available at the time. However, additional information may become available in the future and management may adjust the estimate in such future periods. In this event, the Company may be required to record adjustments to research and development expenses in future periods when the actual level of activity becomes more certain. The Company considers resulting increases or decreases in cost as changes in estimates and reflects such changes in research and development expenses in the period identified.</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Pre-launch products</w:t>
      </w:r>
    </w:p>
    <w:p>
      <w:pPr>
        <w:spacing w:after="0" w:line="158" w:lineRule="exact"/>
        <w:rPr>
          <w:sz w:val="20"/>
          <w:szCs w:val="20"/>
          <w:color w:val="auto"/>
        </w:rPr>
      </w:pPr>
    </w:p>
    <w:p>
      <w:pPr>
        <w:ind w:left="1260" w:right="479" w:firstLine="648"/>
        <w:spacing w:after="0" w:line="241" w:lineRule="auto"/>
        <w:rPr>
          <w:sz w:val="20"/>
          <w:szCs w:val="20"/>
          <w:color w:val="auto"/>
        </w:rPr>
      </w:pPr>
      <w:r>
        <w:rPr>
          <w:rFonts w:ascii="Arial" w:cs="Arial" w:eastAsia="Arial" w:hAnsi="Arial"/>
          <w:sz w:val="18"/>
          <w:szCs w:val="18"/>
          <w:color w:val="auto"/>
        </w:rPr>
        <w:t>Prior to initial regulatory approval, costs relating to production of products are expensed as research and development expenses in the period incurred. If pre-launch products are sold, the respective product gross margin may be higher compared to the expected recurring margin as the underlying costs will not be included in cost of sales. For the nine months ended September 30, 2020 and 2019, no revenues have been recorded related to pre-launch products.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44" w:lineRule="exact"/>
        <w:rPr>
          <w:sz w:val="20"/>
          <w:szCs w:val="20"/>
          <w:color w:val="auto"/>
        </w:rPr>
      </w:pPr>
    </w:p>
    <w:p>
      <w:pPr>
        <w:ind w:left="1260" w:right="839" w:firstLine="648"/>
        <w:spacing w:after="0" w:line="248" w:lineRule="auto"/>
        <w:rPr>
          <w:sz w:val="20"/>
          <w:szCs w:val="20"/>
          <w:color w:val="auto"/>
        </w:rPr>
      </w:pPr>
      <w:r>
        <w:rPr>
          <w:rFonts w:ascii="Arial" w:cs="Arial" w:eastAsia="Arial" w:hAnsi="Arial"/>
          <w:sz w:val="18"/>
          <w:szCs w:val="18"/>
          <w:color w:val="auto"/>
        </w:rPr>
        <w:t>On March 11, 2020, the World Health Organization declared the outbreak of COVID-19 as a pandemic, which continues to spread throughout the United States, the European Union and around the world.</w:t>
      </w:r>
    </w:p>
    <w:p>
      <w:pPr>
        <w:spacing w:after="0" w:line="114" w:lineRule="exact"/>
        <w:rPr>
          <w:sz w:val="20"/>
          <w:szCs w:val="20"/>
          <w:color w:val="auto"/>
        </w:rPr>
      </w:pPr>
    </w:p>
    <w:p>
      <w:pPr>
        <w:ind w:left="1260" w:right="419" w:firstLine="648"/>
        <w:spacing w:after="0" w:line="239" w:lineRule="auto"/>
        <w:rPr>
          <w:sz w:val="20"/>
          <w:szCs w:val="20"/>
          <w:color w:val="auto"/>
        </w:rPr>
      </w:pPr>
      <w:r>
        <w:rPr>
          <w:rFonts w:ascii="Arial" w:cs="Arial" w:eastAsia="Arial" w:hAnsi="Arial"/>
          <w:sz w:val="18"/>
          <w:szCs w:val="18"/>
          <w:color w:val="auto"/>
        </w:rPr>
        <w:t>In response, CureVac began development of CVnCoV, its mRNA-based COVID- 19 vaccine candidate, in January 2020. After extensive preclinical development, the Company began its Phase 1 clinical study of CVnCoV in June 2020 at clinical study centers in Germany and Belgium. In September 2020, the Company announced the beginning of its Phase 2a clinical trial of CVnCoV in Peru and Panama. The Company has substantial production capacities for mRNA vaccines at its headquarters in Tuebingen and is currently expanding those manufacturing capacities to allow for broad-scale manufacturing of CVnCoV and other mRNA-based vaccines.</w:t>
      </w:r>
    </w:p>
    <w:p>
      <w:pPr>
        <w:spacing w:after="0" w:line="123" w:lineRule="exact"/>
        <w:rPr>
          <w:sz w:val="20"/>
          <w:szCs w:val="20"/>
          <w:color w:val="auto"/>
        </w:rPr>
      </w:pPr>
    </w:p>
    <w:p>
      <w:pPr>
        <w:ind w:left="1260" w:right="619" w:firstLine="648"/>
        <w:spacing w:after="0" w:line="255" w:lineRule="auto"/>
        <w:rPr>
          <w:sz w:val="20"/>
          <w:szCs w:val="20"/>
          <w:color w:val="auto"/>
        </w:rPr>
      </w:pPr>
      <w:r>
        <w:rPr>
          <w:rFonts w:ascii="Arial" w:cs="Arial" w:eastAsia="Arial" w:hAnsi="Arial"/>
          <w:sz w:val="17"/>
          <w:szCs w:val="17"/>
          <w:color w:val="auto"/>
        </w:rPr>
        <w:t>In July 2020, CureVac applied for a grant from the German Federal Ministry of Education and Research (BMBF) as part of a special program to accelerate the research and development of urgently needed vaccines against COVID-19. The Company received a grant of up to EUR 252,000k to support the development of CVnCoV. Amounts incurred in 2020 and 2021 are eligible for reimbursement through the grant. In addition to the further development of CVnCoV, the grant is expected to be used for the rapid expansion of the vaccine production. Payments are contingent on reaching predefined milestones. As of September 30, 2020, no disbursements of the grant have been received.</w:t>
      </w:r>
    </w:p>
    <w:p>
      <w:pPr>
        <w:spacing w:after="0" w:line="99" w:lineRule="exact"/>
        <w:rPr>
          <w:sz w:val="20"/>
          <w:szCs w:val="20"/>
          <w:color w:val="auto"/>
        </w:rPr>
      </w:pPr>
    </w:p>
    <w:p>
      <w:pPr>
        <w:ind w:left="1260" w:right="619" w:firstLine="648"/>
        <w:spacing w:after="0" w:line="238" w:lineRule="auto"/>
        <w:rPr>
          <w:sz w:val="20"/>
          <w:szCs w:val="20"/>
          <w:color w:val="auto"/>
        </w:rPr>
      </w:pPr>
      <w:r>
        <w:rPr>
          <w:rFonts w:ascii="Arial" w:cs="Arial" w:eastAsia="Arial" w:hAnsi="Arial"/>
          <w:sz w:val="18"/>
          <w:szCs w:val="18"/>
          <w:color w:val="auto"/>
        </w:rPr>
        <w:t>As the Company is currently devoting significant resources to the development of CVnCoV, such development may impair the ability to timely progress other product candidates in clinical trials. In addition, enrollment in other programs may be delayed as a result of the COVID-19 pandemic and could have a negative impact on revenue recognition related to non-COVID -19 collaborations. For instance, our flu program with Bill &amp; Melinda Gates Foundation was delayed. The partial disruption, even temporary, may negatively impact the Company’s operations and overall business by delaying the progress of its clinical trials and preclinical studies. The Company’s operations, including research and manufacturing, could also be</w:t>
      </w:r>
    </w:p>
    <w:p>
      <w:pPr>
        <w:spacing w:after="0" w:line="38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22" w:name="page323"/>
    <w:bookmarkEnd w:id="322"/>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disrupted due to the potential of the impact of staff absences as a result of self-isolation procedures or extended illness. However, the Company has taken a series of actions aimed at safeguarding the its employees and business associates, including implementing a work-from-home policy for employees except for those related to its laboratory and production operations. The Company has been running approximately 200 COVID PCR (polymerase chain reaction) tests on a weekly basis for employees on the premises. As the Company advances its clinical programs, it is in close contact with its principal investigators and clinical sites, which are located in jurisdictions affected by the COVID-19 pandemic, and is assessing the impact of the COVID-19 pandemic on its clinical trials, expected timelines and costs on an ongoing basis. The rapid development and fluidity of the situation presents uncertainty and risk with respect to the Company, its performance and its financial results.</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3. Notes to the interim condensed consolidated financial statements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3.1 Revenue from contracts with customers</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Group recognized the following revenues:</w:t>
      </w:r>
    </w:p>
    <w:p>
      <w:pPr>
        <w:spacing w:after="0" w:line="176" w:lineRule="exact"/>
        <w:rPr>
          <w:sz w:val="20"/>
          <w:szCs w:val="20"/>
          <w:color w:val="auto"/>
        </w:rPr>
      </w:pPr>
    </w:p>
    <w:p>
      <w:pPr>
        <w:ind w:left="7900"/>
        <w:spacing w:after="0"/>
        <w:rPr>
          <w:sz w:val="20"/>
          <w:szCs w:val="20"/>
          <w:color w:val="auto"/>
        </w:rPr>
      </w:pPr>
      <w:r>
        <w:rPr>
          <w:rFonts w:ascii="Arial" w:cs="Arial" w:eastAsia="Arial" w:hAnsi="Arial"/>
          <w:sz w:val="14"/>
          <w:szCs w:val="14"/>
          <w:b w:val="1"/>
          <w:bCs w:val="1"/>
          <w:color w:val="auto"/>
        </w:rPr>
        <w:t>Nine months ended</w:t>
      </w:r>
    </w:p>
    <w:p>
      <w:pPr>
        <w:spacing w:after="0" w:line="17"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4991735</wp:posOffset>
            </wp:positionH>
            <wp:positionV relativeFrom="paragraph">
              <wp:posOffset>22225</wp:posOffset>
            </wp:positionV>
            <wp:extent cx="78867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4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rPr>
              <w:t>2020</w:t>
            </w:r>
          </w:p>
        </w:tc>
      </w:tr>
      <w:tr>
        <w:trPr>
          <w:trHeight w:val="26"/>
        </w:trPr>
        <w:tc>
          <w:tcPr>
            <w:tcW w:w="6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8"/>
        </w:trPr>
        <w:tc>
          <w:tcPr>
            <w:tcW w:w="6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EUR k</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EUR k</w:t>
            </w:r>
          </w:p>
        </w:tc>
      </w:tr>
      <w:tr>
        <w:trPr>
          <w:trHeight w:val="26"/>
        </w:trPr>
        <w:tc>
          <w:tcPr>
            <w:tcW w:w="62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r>
      <w:tr>
        <w:trPr>
          <w:trHeight w:val="257"/>
        </w:trPr>
        <w:tc>
          <w:tcPr>
            <w:tcW w:w="6260" w:type="dxa"/>
            <w:vAlign w:val="bottom"/>
            <w:gridSpan w:val="2"/>
          </w:tcPr>
          <w:p>
            <w:pPr>
              <w:ind w:left="180"/>
              <w:spacing w:after="0"/>
              <w:rPr>
                <w:sz w:val="20"/>
                <w:szCs w:val="20"/>
                <w:color w:val="auto"/>
              </w:rPr>
            </w:pPr>
            <w:r>
              <w:rPr>
                <w:rFonts w:ascii="Arial" w:cs="Arial" w:eastAsia="Arial" w:hAnsi="Arial"/>
                <w:sz w:val="18"/>
                <w:szCs w:val="18"/>
                <w:color w:val="auto"/>
              </w:rPr>
              <w:t>Eli Lilly and Company</w:t>
            </w:r>
          </w:p>
        </w:tc>
        <w:tc>
          <w:tcPr>
            <w:tcW w:w="500" w:type="dxa"/>
            <w:vAlign w:val="bottom"/>
          </w:tcPr>
          <w:p>
            <w:pPr>
              <w:jc w:val="right"/>
              <w:spacing w:after="0"/>
              <w:rPr>
                <w:sz w:val="20"/>
                <w:szCs w:val="20"/>
                <w:color w:val="auto"/>
              </w:rPr>
            </w:pPr>
            <w:r>
              <w:rPr>
                <w:rFonts w:ascii="Arial" w:cs="Arial" w:eastAsia="Arial" w:hAnsi="Arial"/>
                <w:sz w:val="18"/>
                <w:szCs w:val="18"/>
                <w:color w:val="auto"/>
              </w:rPr>
              <w:t>8,694</w:t>
            </w:r>
          </w:p>
        </w:tc>
        <w:tc>
          <w:tcPr>
            <w:tcW w:w="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34,854</w:t>
            </w:r>
          </w:p>
        </w:tc>
      </w:tr>
      <w:tr>
        <w:trPr>
          <w:trHeight w:val="257"/>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Germany</w:t>
            </w: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r>
      <w:tr>
        <w:trPr>
          <w:trHeight w:val="257"/>
        </w:trPr>
        <w:tc>
          <w:tcPr>
            <w:tcW w:w="6260" w:type="dxa"/>
            <w:vAlign w:val="bottom"/>
            <w:gridSpan w:val="2"/>
          </w:tcPr>
          <w:p>
            <w:pPr>
              <w:ind w:left="180"/>
              <w:spacing w:after="0"/>
              <w:rPr>
                <w:sz w:val="20"/>
                <w:szCs w:val="20"/>
                <w:color w:val="auto"/>
              </w:rPr>
            </w:pPr>
            <w:r>
              <w:rPr>
                <w:rFonts w:ascii="Arial" w:cs="Arial" w:eastAsia="Arial" w:hAnsi="Arial"/>
                <w:sz w:val="18"/>
                <w:szCs w:val="18"/>
                <w:color w:val="auto"/>
              </w:rPr>
              <w:t>Boehringer Ingelheim</w:t>
            </w:r>
          </w:p>
        </w:tc>
        <w:tc>
          <w:tcPr>
            <w:tcW w:w="500" w:type="dxa"/>
            <w:vAlign w:val="bottom"/>
          </w:tcPr>
          <w:p>
            <w:pPr>
              <w:jc w:val="right"/>
              <w:spacing w:after="0"/>
              <w:rPr>
                <w:sz w:val="20"/>
                <w:szCs w:val="20"/>
                <w:color w:val="auto"/>
              </w:rPr>
            </w:pPr>
            <w:r>
              <w:rPr>
                <w:rFonts w:ascii="Arial" w:cs="Arial" w:eastAsia="Arial" w:hAnsi="Arial"/>
                <w:sz w:val="18"/>
                <w:szCs w:val="18"/>
                <w:color w:val="auto"/>
              </w:rPr>
              <w:t>1,569</w:t>
            </w:r>
          </w:p>
        </w:tc>
        <w:tc>
          <w:tcPr>
            <w:tcW w:w="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1,418</w:t>
            </w:r>
          </w:p>
        </w:tc>
      </w:tr>
      <w:tr>
        <w:trPr>
          <w:trHeight w:val="25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Switzerland</w:t>
            </w: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r>
      <w:tr>
        <w:trPr>
          <w:trHeight w:val="257"/>
        </w:trPr>
        <w:tc>
          <w:tcPr>
            <w:tcW w:w="6260" w:type="dxa"/>
            <w:vAlign w:val="bottom"/>
            <w:gridSpan w:val="2"/>
          </w:tcPr>
          <w:p>
            <w:pPr>
              <w:ind w:left="180"/>
              <w:spacing w:after="0"/>
              <w:rPr>
                <w:sz w:val="20"/>
                <w:szCs w:val="20"/>
                <w:color w:val="auto"/>
              </w:rPr>
            </w:pPr>
            <w:r>
              <w:rPr>
                <w:rFonts w:ascii="Arial" w:cs="Arial" w:eastAsia="Arial" w:hAnsi="Arial"/>
                <w:sz w:val="18"/>
                <w:szCs w:val="18"/>
                <w:color w:val="auto"/>
              </w:rPr>
              <w:t>CRISPR</w:t>
            </w:r>
          </w:p>
        </w:tc>
        <w:tc>
          <w:tcPr>
            <w:tcW w:w="500" w:type="dxa"/>
            <w:vAlign w:val="bottom"/>
          </w:tcPr>
          <w:p>
            <w:pPr>
              <w:jc w:val="right"/>
              <w:spacing w:after="0"/>
              <w:rPr>
                <w:sz w:val="20"/>
                <w:szCs w:val="20"/>
                <w:color w:val="auto"/>
              </w:rPr>
            </w:pPr>
            <w:r>
              <w:rPr>
                <w:rFonts w:ascii="Arial" w:cs="Arial" w:eastAsia="Arial" w:hAnsi="Arial"/>
                <w:sz w:val="18"/>
                <w:szCs w:val="18"/>
                <w:color w:val="auto"/>
              </w:rPr>
              <w:t>337</w:t>
            </w:r>
          </w:p>
        </w:tc>
        <w:tc>
          <w:tcPr>
            <w:tcW w:w="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618</w:t>
            </w:r>
          </w:p>
        </w:tc>
      </w:tr>
      <w:tr>
        <w:trPr>
          <w:trHeight w:val="25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Netherlands</w:t>
            </w: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r>
      <w:tr>
        <w:trPr>
          <w:trHeight w:val="257"/>
        </w:trPr>
        <w:tc>
          <w:tcPr>
            <w:tcW w:w="6260" w:type="dxa"/>
            <w:vAlign w:val="bottom"/>
            <w:gridSpan w:val="2"/>
          </w:tcPr>
          <w:p>
            <w:pPr>
              <w:ind w:left="180"/>
              <w:spacing w:after="0"/>
              <w:rPr>
                <w:sz w:val="20"/>
                <w:szCs w:val="20"/>
                <w:color w:val="auto"/>
              </w:rPr>
            </w:pPr>
            <w:r>
              <w:rPr>
                <w:rFonts w:ascii="Arial" w:cs="Arial" w:eastAsia="Arial" w:hAnsi="Arial"/>
                <w:sz w:val="18"/>
                <w:szCs w:val="18"/>
                <w:color w:val="auto"/>
              </w:rPr>
              <w:t>Genmab</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1,893</w:t>
            </w:r>
          </w:p>
        </w:tc>
      </w:tr>
      <w:tr>
        <w:trPr>
          <w:trHeight w:val="270"/>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Belgium</w:t>
            </w:r>
          </w:p>
        </w:tc>
        <w:tc>
          <w:tcPr>
            <w:tcW w:w="5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r>
      <w:tr>
        <w:trPr>
          <w:trHeight w:val="277"/>
        </w:trPr>
        <w:tc>
          <w:tcPr>
            <w:tcW w:w="6260" w:type="dxa"/>
            <w:vAlign w:val="bottom"/>
            <w:gridSpan w:val="2"/>
          </w:tcPr>
          <w:p>
            <w:pPr>
              <w:ind w:left="180"/>
              <w:spacing w:after="0"/>
              <w:rPr>
                <w:sz w:val="20"/>
                <w:szCs w:val="20"/>
                <w:color w:val="auto"/>
              </w:rPr>
            </w:pPr>
            <w:r>
              <w:rPr>
                <w:rFonts w:ascii="Arial" w:cs="Arial" w:eastAsia="Arial" w:hAnsi="Arial"/>
                <w:sz w:val="18"/>
                <w:szCs w:val="18"/>
                <w:color w:val="auto"/>
              </w:rPr>
              <w:t>GSK</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4,047</w:t>
            </w:r>
          </w:p>
        </w:tc>
      </w:tr>
      <w:tr>
        <w:trPr>
          <w:trHeight w:val="277"/>
        </w:trPr>
        <w:tc>
          <w:tcPr>
            <w:tcW w:w="62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10,600</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42,830</w:t>
            </w:r>
          </w:p>
        </w:tc>
      </w:tr>
      <w:tr>
        <w:trPr>
          <w:trHeight w:val="20"/>
        </w:trPr>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43166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209" w:lineRule="exact"/>
        <w:rPr>
          <w:sz w:val="20"/>
          <w:szCs w:val="20"/>
          <w:color w:val="auto"/>
        </w:rPr>
      </w:pPr>
    </w:p>
    <w:p>
      <w:pPr>
        <w:ind w:left="1260" w:right="499" w:firstLine="648"/>
        <w:spacing w:after="0" w:line="255" w:lineRule="auto"/>
        <w:rPr>
          <w:sz w:val="20"/>
          <w:szCs w:val="20"/>
          <w:color w:val="auto"/>
        </w:rPr>
      </w:pPr>
      <w:r>
        <w:rPr>
          <w:rFonts w:ascii="Arial" w:cs="Arial" w:eastAsia="Arial" w:hAnsi="Arial"/>
          <w:sz w:val="18"/>
          <w:szCs w:val="18"/>
          <w:color w:val="auto"/>
        </w:rPr>
        <w:t>Of these revenues, all of which were recognized over time as part of collaboration agreements, during the nine months ended September 30, 2020, EUR 41,545 (September 30, 2019: EUR 4,354k) related to delivery of research services combined with an IP license (recognized from the upfront payments as further illustrated in the table below), EUR 401k (September 30, 2019: EUR 6,247k) were related to delivery of products and EUR 884k (September 30, 2019: nil) were recognized from those research and development services considered distinct within the agreements.</w:t>
      </w:r>
    </w:p>
    <w:p>
      <w:pPr>
        <w:spacing w:after="0" w:line="111" w:lineRule="exact"/>
        <w:rPr>
          <w:sz w:val="20"/>
          <w:szCs w:val="20"/>
          <w:color w:val="auto"/>
        </w:rPr>
      </w:pPr>
    </w:p>
    <w:p>
      <w:pPr>
        <w:ind w:left="1260" w:right="639" w:firstLine="648"/>
        <w:spacing w:after="0" w:line="263" w:lineRule="auto"/>
        <w:rPr>
          <w:sz w:val="20"/>
          <w:szCs w:val="20"/>
          <w:color w:val="auto"/>
        </w:rPr>
      </w:pPr>
      <w:r>
        <w:rPr>
          <w:rFonts w:ascii="Arial" w:cs="Arial" w:eastAsia="Arial" w:hAnsi="Arial"/>
          <w:sz w:val="18"/>
          <w:szCs w:val="18"/>
          <w:color w:val="auto"/>
        </w:rPr>
        <w:t>The Group has received upfront payments which were initially deferred and are subsequently recognized as revenue as the Group renders services over the performance period. Below is a summary of such payments and the related revenues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23" w:name="page324"/>
    <w:bookmarkEnd w:id="323"/>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4"/>
              </w:rPr>
              <w:t>Upfront</w:t>
            </w:r>
          </w:p>
        </w:tc>
        <w:tc>
          <w:tcPr>
            <w:tcW w:w="140" w:type="dxa"/>
            <w:vAlign w:val="bottom"/>
          </w:tcPr>
          <w:p>
            <w:pPr>
              <w:spacing w:after="0"/>
              <w:rPr>
                <w:sz w:val="14"/>
                <w:szCs w:val="14"/>
                <w:color w:val="auto"/>
              </w:rPr>
            </w:pPr>
          </w:p>
        </w:tc>
        <w:tc>
          <w:tcPr>
            <w:tcW w:w="10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4"/>
              </w:rPr>
              <w:t>Upfront</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8"/>
              </w:rPr>
              <w:t>payments</w:t>
            </w:r>
          </w:p>
        </w:tc>
        <w:tc>
          <w:tcPr>
            <w:tcW w:w="140" w:type="dxa"/>
            <w:vAlign w:val="bottom"/>
          </w:tcPr>
          <w:p>
            <w:pPr>
              <w:spacing w:after="0"/>
              <w:rPr>
                <w:sz w:val="14"/>
                <w:szCs w:val="14"/>
                <w:color w:val="auto"/>
              </w:rPr>
            </w:pPr>
          </w:p>
        </w:tc>
        <w:tc>
          <w:tcPr>
            <w:tcW w:w="10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5"/>
              </w:rPr>
              <w:t>payments</w:t>
            </w:r>
          </w:p>
        </w:tc>
        <w:tc>
          <w:tcPr>
            <w:tcW w:w="13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6"/>
              </w:rPr>
              <w:t>Revenue recognized</w:t>
            </w:r>
          </w:p>
        </w:tc>
      </w:tr>
      <w:tr>
        <w:trPr>
          <w:trHeight w:val="162"/>
        </w:trPr>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9"/>
              </w:rPr>
              <w:t>included in</w:t>
            </w:r>
          </w:p>
        </w:tc>
        <w:tc>
          <w:tcPr>
            <w:tcW w:w="11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6"/>
              </w:rPr>
              <w:t>included in</w:t>
            </w:r>
          </w:p>
        </w:tc>
        <w:tc>
          <w:tcPr>
            <w:tcW w:w="13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6"/>
              </w:rPr>
              <w:t>from upfront payments</w:t>
            </w:r>
          </w:p>
        </w:tc>
      </w:tr>
      <w:tr>
        <w:trPr>
          <w:trHeight w:val="162"/>
        </w:trPr>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0"/>
              </w:rPr>
              <w:t>contract</w:t>
            </w:r>
          </w:p>
        </w:tc>
        <w:tc>
          <w:tcPr>
            <w:tcW w:w="140" w:type="dxa"/>
            <w:vAlign w:val="bottom"/>
          </w:tcPr>
          <w:p>
            <w:pPr>
              <w:spacing w:after="0"/>
              <w:rPr>
                <w:sz w:val="14"/>
                <w:szCs w:val="14"/>
                <w:color w:val="auto"/>
              </w:rPr>
            </w:pPr>
          </w:p>
        </w:tc>
        <w:tc>
          <w:tcPr>
            <w:tcW w:w="10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6"/>
              </w:rPr>
              <w:t>contract</w:t>
            </w:r>
          </w:p>
        </w:tc>
        <w:tc>
          <w:tcPr>
            <w:tcW w:w="13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4"/>
              </w:rPr>
              <w:t>for nine months ended</w:t>
            </w:r>
          </w:p>
        </w:tc>
      </w:tr>
      <w:tr>
        <w:trPr>
          <w:trHeight w:val="186"/>
        </w:trPr>
        <w:tc>
          <w:tcPr>
            <w:tcW w:w="2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liabilities at</w:t>
            </w:r>
          </w:p>
        </w:tc>
        <w:tc>
          <w:tcPr>
            <w:tcW w:w="11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9"/>
              </w:rPr>
              <w:t>liabilities at</w:t>
            </w:r>
          </w:p>
        </w:tc>
        <w:tc>
          <w:tcPr>
            <w:tcW w:w="13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7"/>
              </w:rPr>
              <w:t>September 30,</w:t>
            </w:r>
          </w:p>
        </w:tc>
      </w:tr>
      <w:tr>
        <w:trPr>
          <w:trHeight w:val="26"/>
        </w:trPr>
        <w:tc>
          <w:tcPr>
            <w:tcW w:w="2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73"/>
        </w:trPr>
        <w:tc>
          <w:tcPr>
            <w:tcW w:w="2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Upfront payments</w:t>
            </w:r>
          </w:p>
        </w:tc>
        <w:tc>
          <w:tcPr>
            <w:tcW w:w="11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7"/>
              </w:rPr>
              <w:t>September 30,</w:t>
            </w:r>
          </w:p>
        </w:tc>
        <w:tc>
          <w:tcPr>
            <w:tcW w:w="11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7"/>
              </w:rPr>
              <w:t>September 30,</w:t>
            </w: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6"/>
        </w:trPr>
        <w:tc>
          <w:tcPr>
            <w:tcW w:w="2060" w:type="dxa"/>
            <w:vAlign w:val="bottom"/>
          </w:tcPr>
          <w:p>
            <w:pPr>
              <w:spacing w:after="0"/>
              <w:rPr>
                <w:sz w:val="20"/>
                <w:szCs w:val="20"/>
                <w:color w:val="auto"/>
              </w:rPr>
            </w:pPr>
            <w:r>
              <w:rPr>
                <w:rFonts w:ascii="Arial" w:cs="Arial" w:eastAsia="Arial" w:hAnsi="Arial"/>
                <w:sz w:val="14"/>
                <w:szCs w:val="14"/>
                <w:b w:val="1"/>
                <w:bCs w:val="1"/>
                <w:color w:val="auto"/>
              </w:rPr>
              <w:t>Customer</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September 30, 2020</w:t>
            </w:r>
          </w:p>
        </w:tc>
        <w:tc>
          <w:tcPr>
            <w:tcW w:w="700" w:type="dxa"/>
            <w:vAlign w:val="bottom"/>
            <w:gridSpan w:val="2"/>
          </w:tcPr>
          <w:p>
            <w:pPr>
              <w:jc w:val="center"/>
              <w:ind w:left="101"/>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gridSpan w:val="2"/>
          </w:tcPr>
          <w:p>
            <w:pPr>
              <w:jc w:val="center"/>
              <w:ind w:left="79"/>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6"/>
                <w:szCs w:val="16"/>
                <w:color w:val="auto"/>
              </w:rPr>
            </w:pPr>
          </w:p>
        </w:tc>
        <w:tc>
          <w:tcPr>
            <w:tcW w:w="500" w:type="dxa"/>
            <w:vAlign w:val="bottom"/>
          </w:tcPr>
          <w:p>
            <w:pPr>
              <w:jc w:val="right"/>
              <w:ind w:right="1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26"/>
        </w:trPr>
        <w:tc>
          <w:tcPr>
            <w:tcW w:w="2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Borders>
              <w:bottom w:val="single" w:sz="8" w:color="auto"/>
            </w:tcBorders>
            <w:gridSpan w:val="4"/>
          </w:tcPr>
          <w:p>
            <w:pPr>
              <w:spacing w:after="0"/>
              <w:rPr>
                <w:sz w:val="2"/>
                <w:szCs w:val="2"/>
                <w:color w:val="auto"/>
              </w:rPr>
            </w:pPr>
          </w:p>
        </w:tc>
      </w:tr>
      <w:tr>
        <w:trPr>
          <w:trHeight w:val="198"/>
        </w:trPr>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(in thousands)</w:t>
            </w:r>
          </w:p>
        </w:tc>
        <w:tc>
          <w:tcPr>
            <w:tcW w:w="200" w:type="dxa"/>
            <w:vAlign w:val="bottom"/>
          </w:tcPr>
          <w:p>
            <w:pPr>
              <w:spacing w:after="0"/>
              <w:rPr>
                <w:sz w:val="17"/>
                <w:szCs w:val="17"/>
                <w:color w:val="auto"/>
              </w:rPr>
            </w:pPr>
          </w:p>
        </w:tc>
        <w:tc>
          <w:tcPr>
            <w:tcW w:w="9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8"/>
              </w:rPr>
              <w:t>(EUR k)</w:t>
            </w:r>
          </w:p>
        </w:tc>
        <w:tc>
          <w:tcPr>
            <w:tcW w:w="140" w:type="dxa"/>
            <w:vAlign w:val="bottom"/>
          </w:tcPr>
          <w:p>
            <w:pPr>
              <w:spacing w:after="0"/>
              <w:rPr>
                <w:sz w:val="17"/>
                <w:szCs w:val="17"/>
                <w:color w:val="auto"/>
              </w:rPr>
            </w:pPr>
          </w:p>
        </w:tc>
        <w:tc>
          <w:tcPr>
            <w:tcW w:w="10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8"/>
              </w:rPr>
              <w:t>(EUR k)</w:t>
            </w:r>
          </w:p>
        </w:tc>
        <w:tc>
          <w:tcPr>
            <w:tcW w:w="13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8"/>
              </w:rPr>
              <w:t>(EUR k)</w:t>
            </w:r>
          </w:p>
        </w:tc>
      </w:tr>
      <w:tr>
        <w:trPr>
          <w:trHeight w:val="26"/>
        </w:trPr>
        <w:tc>
          <w:tcPr>
            <w:tcW w:w="2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7"/>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Eli Lilly</w:t>
            </w:r>
          </w:p>
        </w:tc>
        <w:tc>
          <w:tcPr>
            <w:tcW w:w="200" w:type="dxa"/>
            <w:vAlign w:val="bottom"/>
            <w:shd w:val="clear" w:color="auto" w:fill="CCEEFF"/>
          </w:tcPr>
          <w:p>
            <w:pPr>
              <w:spacing w:after="0"/>
              <w:rPr>
                <w:sz w:val="22"/>
                <w:szCs w:val="22"/>
                <w:color w:val="auto"/>
              </w:rPr>
            </w:pPr>
          </w:p>
        </w:tc>
        <w:tc>
          <w:tcPr>
            <w:tcW w:w="2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USD 50,000 (EUR 42,200)*</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35,733</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2,637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34,854</w:t>
            </w:r>
          </w:p>
        </w:tc>
        <w:tc>
          <w:tcPr>
            <w:tcW w:w="80" w:type="dxa"/>
            <w:vAlign w:val="bottom"/>
            <w:shd w:val="clear" w:color="auto" w:fill="CCEEFF"/>
          </w:tcPr>
          <w:p>
            <w:pPr>
              <w:spacing w:after="0"/>
              <w:rPr>
                <w:sz w:val="22"/>
                <w:szCs w:val="22"/>
                <w:color w:val="auto"/>
              </w:rPr>
            </w:pPr>
          </w:p>
        </w:tc>
      </w:tr>
      <w:tr>
        <w:trPr>
          <w:trHeight w:val="256"/>
        </w:trPr>
        <w:tc>
          <w:tcPr>
            <w:tcW w:w="2060" w:type="dxa"/>
            <w:vAlign w:val="bottom"/>
          </w:tcPr>
          <w:p>
            <w:pPr>
              <w:spacing w:after="0"/>
              <w:rPr>
                <w:sz w:val="20"/>
                <w:szCs w:val="20"/>
                <w:color w:val="auto"/>
              </w:rPr>
            </w:pPr>
            <w:r>
              <w:rPr>
                <w:rFonts w:ascii="Arial" w:cs="Arial" w:eastAsia="Arial" w:hAnsi="Arial"/>
                <w:sz w:val="18"/>
                <w:szCs w:val="18"/>
                <w:color w:val="auto"/>
              </w:rPr>
              <w:t>CRISPR</w:t>
            </w:r>
          </w:p>
        </w:tc>
        <w:tc>
          <w:tcPr>
            <w:tcW w:w="200" w:type="dxa"/>
            <w:vAlign w:val="bottom"/>
          </w:tcPr>
          <w:p>
            <w:pPr>
              <w:spacing w:after="0"/>
              <w:rPr>
                <w:sz w:val="22"/>
                <w:szCs w:val="22"/>
                <w:color w:val="auto"/>
              </w:rPr>
            </w:pPr>
          </w:p>
        </w:tc>
        <w:tc>
          <w:tcPr>
            <w:tcW w:w="2340" w:type="dxa"/>
            <w:vAlign w:val="bottom"/>
            <w:gridSpan w:val="3"/>
          </w:tcPr>
          <w:p>
            <w:pPr>
              <w:spacing w:after="0"/>
              <w:rPr>
                <w:sz w:val="20"/>
                <w:szCs w:val="20"/>
                <w:color w:val="auto"/>
              </w:rPr>
            </w:pPr>
            <w:r>
              <w:rPr>
                <w:rFonts w:ascii="Arial" w:cs="Arial" w:eastAsia="Arial" w:hAnsi="Arial"/>
                <w:sz w:val="18"/>
                <w:szCs w:val="18"/>
                <w:color w:val="auto"/>
              </w:rPr>
              <w:t>USD 3,000 (EUR 2,524)*</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1,936</w:t>
            </w:r>
          </w:p>
        </w:tc>
        <w:tc>
          <w:tcPr>
            <w:tcW w:w="220" w:type="dxa"/>
            <w:vAlign w:val="bottom"/>
          </w:tcPr>
          <w:p>
            <w:pPr>
              <w:spacing w:after="0"/>
              <w:rPr>
                <w:sz w:val="22"/>
                <w:szCs w:val="22"/>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1,627</w:t>
            </w:r>
          </w:p>
        </w:tc>
        <w:tc>
          <w:tcPr>
            <w:tcW w:w="280" w:type="dxa"/>
            <w:vAlign w:val="bottom"/>
          </w:tcPr>
          <w:p>
            <w:pPr>
              <w:spacing w:after="0"/>
              <w:rPr>
                <w:sz w:val="22"/>
                <w:szCs w:val="22"/>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232</w:t>
            </w:r>
          </w:p>
        </w:tc>
        <w:tc>
          <w:tcPr>
            <w:tcW w:w="500" w:type="dxa"/>
            <w:vAlign w:val="bottom"/>
          </w:tcPr>
          <w:p>
            <w:pPr>
              <w:jc w:val="right"/>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22"/>
                <w:szCs w:val="22"/>
                <w:color w:val="auto"/>
              </w:rPr>
            </w:pPr>
          </w:p>
        </w:tc>
      </w:tr>
      <w:tr>
        <w:trPr>
          <w:trHeight w:val="257"/>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Boehringer Ingelheim</w:t>
            </w:r>
          </w:p>
        </w:tc>
        <w:tc>
          <w:tcPr>
            <w:tcW w:w="200" w:type="dxa"/>
            <w:vAlign w:val="bottom"/>
            <w:shd w:val="clear" w:color="auto" w:fill="CCEEFF"/>
          </w:tcPr>
          <w:p>
            <w:pPr>
              <w:spacing w:after="0"/>
              <w:rPr>
                <w:sz w:val="22"/>
                <w:szCs w:val="22"/>
                <w:color w:val="auto"/>
              </w:rPr>
            </w:pPr>
          </w:p>
        </w:tc>
        <w:tc>
          <w:tcPr>
            <w:tcW w:w="2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EUR 30,000</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16,336</w:t>
            </w:r>
          </w:p>
        </w:tc>
        <w:tc>
          <w:tcPr>
            <w:tcW w:w="22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14,469</w:t>
            </w:r>
          </w:p>
        </w:tc>
        <w:tc>
          <w:tcPr>
            <w:tcW w:w="280" w:type="dxa"/>
            <w:vAlign w:val="bottom"/>
            <w:tcBorders>
              <w:right w:val="single" w:sz="8" w:color="CCEEFF"/>
            </w:tcBorders>
            <w:shd w:val="clear" w:color="auto" w:fill="CCEEFF"/>
          </w:tcPr>
          <w:p>
            <w:pPr>
              <w:spacing w:after="0"/>
              <w:rPr>
                <w:sz w:val="22"/>
                <w:szCs w:val="22"/>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1,485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80" w:type="dxa"/>
            <w:vAlign w:val="bottom"/>
            <w:shd w:val="clear" w:color="auto" w:fill="CCEEFF"/>
          </w:tcPr>
          <w:p>
            <w:pPr>
              <w:spacing w:after="0"/>
              <w:rPr>
                <w:sz w:val="22"/>
                <w:szCs w:val="22"/>
                <w:color w:val="auto"/>
              </w:rPr>
            </w:pPr>
          </w:p>
        </w:tc>
      </w:tr>
      <w:tr>
        <w:trPr>
          <w:trHeight w:val="257"/>
        </w:trPr>
        <w:tc>
          <w:tcPr>
            <w:tcW w:w="2060" w:type="dxa"/>
            <w:vAlign w:val="bottom"/>
          </w:tcPr>
          <w:p>
            <w:pPr>
              <w:spacing w:after="0"/>
              <w:rPr>
                <w:sz w:val="20"/>
                <w:szCs w:val="20"/>
                <w:color w:val="auto"/>
              </w:rPr>
            </w:pPr>
            <w:r>
              <w:rPr>
                <w:rFonts w:ascii="Arial" w:cs="Arial" w:eastAsia="Arial" w:hAnsi="Arial"/>
                <w:sz w:val="18"/>
                <w:szCs w:val="18"/>
                <w:color w:val="auto"/>
              </w:rPr>
              <w:t>Genmab</w:t>
            </w:r>
          </w:p>
        </w:tc>
        <w:tc>
          <w:tcPr>
            <w:tcW w:w="200" w:type="dxa"/>
            <w:vAlign w:val="bottom"/>
          </w:tcPr>
          <w:p>
            <w:pPr>
              <w:spacing w:after="0"/>
              <w:rPr>
                <w:sz w:val="22"/>
                <w:szCs w:val="22"/>
                <w:color w:val="auto"/>
              </w:rPr>
            </w:pPr>
          </w:p>
        </w:tc>
        <w:tc>
          <w:tcPr>
            <w:tcW w:w="2340" w:type="dxa"/>
            <w:vAlign w:val="bottom"/>
            <w:gridSpan w:val="3"/>
          </w:tcPr>
          <w:p>
            <w:pPr>
              <w:spacing w:after="0"/>
              <w:rPr>
                <w:sz w:val="20"/>
                <w:szCs w:val="20"/>
                <w:color w:val="auto"/>
              </w:rPr>
            </w:pPr>
            <w:r>
              <w:rPr>
                <w:rFonts w:ascii="Arial" w:cs="Arial" w:eastAsia="Arial" w:hAnsi="Arial"/>
                <w:sz w:val="18"/>
                <w:szCs w:val="18"/>
                <w:color w:val="auto"/>
              </w:rPr>
              <w:t>USD 10,000 (EUR 8,937)*</w:t>
            </w:r>
          </w:p>
        </w:tc>
        <w:tc>
          <w:tcPr>
            <w:tcW w:w="200" w:type="dxa"/>
            <w:vAlign w:val="bottom"/>
          </w:tcPr>
          <w:p>
            <w:pPr>
              <w:spacing w:after="0"/>
              <w:rPr>
                <w:sz w:val="22"/>
                <w:szCs w:val="22"/>
                <w:color w:val="auto"/>
              </w:rPr>
            </w:pPr>
          </w:p>
        </w:tc>
        <w:tc>
          <w:tcPr>
            <w:tcW w:w="9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7,597</w:t>
            </w:r>
          </w:p>
        </w:tc>
        <w:tc>
          <w:tcPr>
            <w:tcW w:w="280" w:type="dxa"/>
            <w:vAlign w:val="bottom"/>
          </w:tcPr>
          <w:p>
            <w:pPr>
              <w:spacing w:after="0"/>
              <w:rPr>
                <w:sz w:val="22"/>
                <w:szCs w:val="22"/>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1,341</w:t>
            </w:r>
          </w:p>
        </w:tc>
        <w:tc>
          <w:tcPr>
            <w:tcW w:w="80" w:type="dxa"/>
            <w:vAlign w:val="bottom"/>
          </w:tcPr>
          <w:p>
            <w:pPr>
              <w:spacing w:after="0"/>
              <w:rPr>
                <w:sz w:val="22"/>
                <w:szCs w:val="22"/>
                <w:color w:val="auto"/>
              </w:rPr>
            </w:pPr>
          </w:p>
        </w:tc>
      </w:tr>
      <w:tr>
        <w:trPr>
          <w:trHeight w:val="263"/>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GSK</w:t>
            </w:r>
          </w:p>
        </w:tc>
        <w:tc>
          <w:tcPr>
            <w:tcW w:w="200" w:type="dxa"/>
            <w:vAlign w:val="bottom"/>
            <w:shd w:val="clear" w:color="auto" w:fill="CCEEFF"/>
          </w:tcPr>
          <w:p>
            <w:pPr>
              <w:spacing w:after="0"/>
              <w:rPr>
                <w:sz w:val="22"/>
                <w:szCs w:val="22"/>
                <w:color w:val="auto"/>
              </w:rPr>
            </w:pPr>
          </w:p>
        </w:tc>
        <w:tc>
          <w:tcPr>
            <w:tcW w:w="2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EUR 120,000</w:t>
            </w:r>
          </w:p>
        </w:tc>
        <w:tc>
          <w:tcPr>
            <w:tcW w:w="2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116,255</w:t>
            </w:r>
          </w:p>
        </w:tc>
        <w:tc>
          <w:tcPr>
            <w:tcW w:w="280" w:type="dxa"/>
            <w:vAlign w:val="bottom"/>
            <w:tcBorders>
              <w:right w:val="single" w:sz="8" w:color="CCEEFF"/>
            </w:tcBorders>
            <w:shd w:val="clear" w:color="auto" w:fill="CCEEFF"/>
          </w:tcPr>
          <w:p>
            <w:pPr>
              <w:spacing w:after="0"/>
              <w:rPr>
                <w:sz w:val="22"/>
                <w:szCs w:val="22"/>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80" w:type="dxa"/>
            <w:vAlign w:val="bottom"/>
            <w:shd w:val="clear" w:color="auto" w:fill="CCEEFF"/>
          </w:tcPr>
          <w:p>
            <w:pPr>
              <w:spacing w:after="0"/>
              <w:rPr>
                <w:sz w:val="22"/>
                <w:szCs w:val="22"/>
                <w:color w:val="auto"/>
              </w:rPr>
            </w:pPr>
          </w:p>
        </w:tc>
      </w:tr>
      <w:tr>
        <w:trPr>
          <w:trHeight w:val="20"/>
        </w:trPr>
        <w:tc>
          <w:tcPr>
            <w:tcW w:w="20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63"/>
        </w:trPr>
        <w:tc>
          <w:tcPr>
            <w:tcW w:w="20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54,006</w:t>
            </w:r>
          </w:p>
        </w:tc>
        <w:tc>
          <w:tcPr>
            <w:tcW w:w="220" w:type="dxa"/>
            <w:vAlign w:val="bottom"/>
          </w:tcPr>
          <w:p>
            <w:pPr>
              <w:spacing w:after="0"/>
              <w:rPr>
                <w:sz w:val="22"/>
                <w:szCs w:val="22"/>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139,948</w:t>
            </w:r>
          </w:p>
        </w:tc>
        <w:tc>
          <w:tcPr>
            <w:tcW w:w="280" w:type="dxa"/>
            <w:vAlign w:val="bottom"/>
          </w:tcPr>
          <w:p>
            <w:pPr>
              <w:spacing w:after="0"/>
              <w:rPr>
                <w:sz w:val="22"/>
                <w:szCs w:val="22"/>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4"/>
              </w:rPr>
              <w:t>4,354</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41,545</w:t>
            </w:r>
          </w:p>
        </w:tc>
        <w:tc>
          <w:tcPr>
            <w:tcW w:w="80" w:type="dxa"/>
            <w:vAlign w:val="bottom"/>
          </w:tcPr>
          <w:p>
            <w:pPr>
              <w:spacing w:after="0"/>
              <w:rPr>
                <w:sz w:val="22"/>
                <w:szCs w:val="22"/>
                <w:color w:val="auto"/>
              </w:rPr>
            </w:pPr>
          </w:p>
        </w:tc>
      </w:tr>
      <w:tr>
        <w:trPr>
          <w:trHeight w:val="20"/>
        </w:trPr>
        <w:tc>
          <w:tcPr>
            <w:tcW w:w="2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95"/>
        </w:trPr>
        <w:tc>
          <w:tcPr>
            <w:tcW w:w="20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5454650</wp:posOffset>
            </wp:positionH>
            <wp:positionV relativeFrom="paragraph">
              <wp:posOffset>-1259205</wp:posOffset>
            </wp:positionV>
            <wp:extent cx="13716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0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 Translated at the currency exchange rate prevailing on the transaction date.</w:t>
      </w:r>
    </w:p>
    <w:p>
      <w:pPr>
        <w:spacing w:after="0" w:line="19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December 31,</w:t>
            </w:r>
          </w:p>
        </w:tc>
        <w:tc>
          <w:tcPr>
            <w:tcW w:w="1100" w:type="dxa"/>
            <w:vAlign w:val="bottom"/>
            <w:gridSpan w:val="2"/>
          </w:tcPr>
          <w:p>
            <w:pPr>
              <w:jc w:val="center"/>
              <w:ind w:left="99"/>
              <w:spacing w:after="0"/>
              <w:rPr>
                <w:sz w:val="20"/>
                <w:szCs w:val="20"/>
                <w:color w:val="auto"/>
              </w:rPr>
            </w:pPr>
            <w:r>
              <w:rPr>
                <w:rFonts w:ascii="Arial" w:cs="Arial" w:eastAsia="Arial" w:hAnsi="Arial"/>
                <w:sz w:val="14"/>
                <w:szCs w:val="14"/>
                <w:b w:val="1"/>
                <w:bCs w:val="1"/>
                <w:color w:val="auto"/>
                <w:w w:val="87"/>
              </w:rPr>
              <w:t>September 30,</w:t>
            </w:r>
          </w:p>
        </w:tc>
      </w:tr>
      <w:tr>
        <w:trPr>
          <w:trHeight w:val="186"/>
        </w:trPr>
        <w:tc>
          <w:tcPr>
            <w:tcW w:w="5540" w:type="dxa"/>
            <w:vAlign w:val="bottom"/>
            <w:gridSpan w:val="2"/>
          </w:tcPr>
          <w:p>
            <w:pPr>
              <w:spacing w:after="0"/>
              <w:rPr>
                <w:sz w:val="20"/>
                <w:szCs w:val="20"/>
                <w:color w:val="auto"/>
              </w:rPr>
            </w:pPr>
            <w:r>
              <w:rPr>
                <w:rFonts w:ascii="Arial" w:cs="Arial" w:eastAsia="Arial" w:hAnsi="Arial"/>
                <w:sz w:val="14"/>
                <w:szCs w:val="14"/>
                <w:b w:val="1"/>
                <w:bCs w:val="1"/>
                <w:color w:val="auto"/>
              </w:rPr>
              <w:t>Contract balances: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100" w:type="dxa"/>
            <w:vAlign w:val="bottom"/>
            <w:gridSpan w:val="2"/>
          </w:tcPr>
          <w:p>
            <w:pPr>
              <w:jc w:val="center"/>
              <w:ind w:left="139"/>
              <w:spacing w:after="0"/>
              <w:rPr>
                <w:sz w:val="20"/>
                <w:szCs w:val="20"/>
                <w:color w:val="auto"/>
              </w:rPr>
            </w:pPr>
            <w:r>
              <w:rPr>
                <w:rFonts w:ascii="Arial" w:cs="Arial" w:eastAsia="Arial" w:hAnsi="Arial"/>
                <w:sz w:val="14"/>
                <w:szCs w:val="14"/>
                <w:b w:val="1"/>
                <w:bCs w:val="1"/>
                <w:color w:val="auto"/>
                <w:w w:val="89"/>
              </w:rPr>
              <w:t>2020</w:t>
            </w:r>
          </w:p>
        </w:tc>
      </w:tr>
      <w:tr>
        <w:trPr>
          <w:trHeight w:val="26"/>
        </w:trPr>
        <w:tc>
          <w:tcPr>
            <w:tcW w:w="5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7"/>
        </w:trPr>
        <w:tc>
          <w:tcPr>
            <w:tcW w:w="5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EUR k</w:t>
            </w:r>
          </w:p>
        </w:tc>
        <w:tc>
          <w:tcPr>
            <w:tcW w:w="2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6"/>
              </w:rPr>
              <w:t>EUR k</w:t>
            </w:r>
          </w:p>
        </w:tc>
      </w:tr>
      <w:tr>
        <w:trPr>
          <w:trHeight w:val="26"/>
        </w:trPr>
        <w:tc>
          <w:tcPr>
            <w:tcW w:w="5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7"/>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15,690</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r>
      <w:tr>
        <w:trPr>
          <w:trHeight w:val="257"/>
        </w:trPr>
        <w:tc>
          <w:tcPr>
            <w:tcW w:w="5540" w:type="dxa"/>
            <w:vAlign w:val="bottom"/>
            <w:gridSpan w:val="2"/>
          </w:tcPr>
          <w:p>
            <w:pPr>
              <w:spacing w:after="0"/>
              <w:rPr>
                <w:sz w:val="20"/>
                <w:szCs w:val="20"/>
                <w:color w:val="auto"/>
              </w:rPr>
            </w:pPr>
            <w:r>
              <w:rPr>
                <w:rFonts w:ascii="Arial" w:cs="Arial" w:eastAsia="Arial" w:hAnsi="Arial"/>
                <w:sz w:val="18"/>
                <w:szCs w:val="18"/>
                <w:color w:val="auto"/>
              </w:rPr>
              <w:t>Contract assets</w:t>
            </w:r>
          </w:p>
        </w:tc>
        <w:tc>
          <w:tcPr>
            <w:tcW w:w="840" w:type="dxa"/>
            <w:vAlign w:val="bottom"/>
          </w:tcPr>
          <w:p>
            <w:pPr>
              <w:jc w:val="right"/>
              <w:ind w:right="79"/>
              <w:spacing w:after="0"/>
              <w:rPr>
                <w:sz w:val="20"/>
                <w:szCs w:val="20"/>
                <w:color w:val="auto"/>
              </w:rPr>
            </w:pPr>
            <w:r>
              <w:rPr>
                <w:rFonts w:ascii="Arial" w:cs="Arial" w:eastAsia="Arial" w:hAnsi="Arial"/>
                <w:sz w:val="18"/>
                <w:szCs w:val="18"/>
                <w:color w:val="auto"/>
              </w:rPr>
              <w:t>1,463</w:t>
            </w:r>
          </w:p>
        </w:tc>
        <w:tc>
          <w:tcPr>
            <w:tcW w:w="1100" w:type="dxa"/>
            <w:vAlign w:val="bottom"/>
            <w:gridSpan w:val="2"/>
          </w:tcPr>
          <w:p>
            <w:pPr>
              <w:jc w:val="right"/>
              <w:ind w:right="59"/>
              <w:spacing w:after="0"/>
              <w:rPr>
                <w:sz w:val="20"/>
                <w:szCs w:val="20"/>
                <w:color w:val="auto"/>
              </w:rPr>
            </w:pPr>
            <w:r>
              <w:rPr>
                <w:rFonts w:ascii="Arial" w:cs="Arial" w:eastAsia="Arial" w:hAnsi="Arial"/>
                <w:sz w:val="18"/>
                <w:szCs w:val="18"/>
                <w:color w:val="auto"/>
              </w:rPr>
              <w:t>535</w:t>
            </w:r>
          </w:p>
        </w:tc>
      </w:tr>
      <w:tr>
        <w:trPr>
          <w:trHeight w:val="25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73,521</w:t>
            </w:r>
          </w:p>
        </w:tc>
        <w:tc>
          <w:tcPr>
            <w:tcW w:w="110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151,975</w:t>
            </w:r>
          </w:p>
        </w:tc>
      </w:tr>
    </w:tbl>
    <w:p>
      <w:pPr>
        <w:spacing w:after="0" w:line="121" w:lineRule="exact"/>
        <w:rPr>
          <w:sz w:val="20"/>
          <w:szCs w:val="20"/>
          <w:color w:val="auto"/>
        </w:rPr>
      </w:pPr>
    </w:p>
    <w:p>
      <w:pPr>
        <w:ind w:left="1260" w:right="459" w:firstLine="648"/>
        <w:spacing w:after="0"/>
        <w:rPr>
          <w:sz w:val="20"/>
          <w:szCs w:val="20"/>
          <w:color w:val="auto"/>
        </w:rPr>
      </w:pPr>
      <w:r>
        <w:rPr>
          <w:rFonts w:ascii="Arial" w:cs="Arial" w:eastAsia="Arial" w:hAnsi="Arial"/>
          <w:sz w:val="18"/>
          <w:szCs w:val="18"/>
          <w:color w:val="auto"/>
        </w:rPr>
        <w:t>Trade receivables are non -interest bearing and are generally settled within 30 to 45 days. During the nine months ended September 30, 2020, the decrease in trade receivables was primarily due to collections in accordance with standard payment terms and the increase in contract liabilities was primarily due to a EUR 120,000k non-refundable upfront payment received under the collaboration with GlaxoSmithKline Biologicals SA (GSK) discussed below, partly offset by amortization of upfront payments into revenue.</w:t>
      </w:r>
    </w:p>
    <w:p>
      <w:pPr>
        <w:spacing w:after="0" w:line="122" w:lineRule="exact"/>
        <w:rPr>
          <w:sz w:val="20"/>
          <w:szCs w:val="20"/>
          <w:color w:val="auto"/>
        </w:rPr>
      </w:pPr>
    </w:p>
    <w:p>
      <w:pPr>
        <w:ind w:left="1260" w:right="519" w:firstLine="648"/>
        <w:spacing w:after="0" w:line="241" w:lineRule="auto"/>
        <w:rPr>
          <w:sz w:val="20"/>
          <w:szCs w:val="20"/>
          <w:color w:val="auto"/>
        </w:rPr>
      </w:pPr>
      <w:r>
        <w:rPr>
          <w:rFonts w:ascii="Arial" w:cs="Arial" w:eastAsia="Arial" w:hAnsi="Arial"/>
          <w:sz w:val="18"/>
          <w:szCs w:val="18"/>
          <w:color w:val="auto"/>
        </w:rPr>
        <w:t>In June 2020, the Group and Eli Lilly terminated their collaboration and the following agreements: License and Collaboration Agreement dated November 29, 2017, Early Clinical Supply Agreement dated July 5, 2018 and related Quality Agreement dated June 29, 2018. As a result, on the termination date, EUR 33,100k in contract liabilities from an upfront payment was recognized as no further associated performance obligations remained.</w:t>
      </w:r>
    </w:p>
    <w:p>
      <w:pPr>
        <w:spacing w:after="0" w:line="122" w:lineRule="exact"/>
        <w:rPr>
          <w:sz w:val="20"/>
          <w:szCs w:val="20"/>
          <w:color w:val="auto"/>
        </w:rPr>
      </w:pPr>
    </w:p>
    <w:p>
      <w:pPr>
        <w:ind w:left="1260" w:right="439" w:firstLine="648"/>
        <w:spacing w:after="0" w:line="251" w:lineRule="auto"/>
        <w:rPr>
          <w:sz w:val="20"/>
          <w:szCs w:val="20"/>
          <w:color w:val="auto"/>
        </w:rPr>
      </w:pPr>
      <w:r>
        <w:rPr>
          <w:rFonts w:ascii="Arial" w:cs="Arial" w:eastAsia="Arial" w:hAnsi="Arial"/>
          <w:sz w:val="18"/>
          <w:szCs w:val="18"/>
          <w:color w:val="auto"/>
        </w:rPr>
        <w:t>In July 2020, the Group entered a collaboration with GSK for the research, development, manufacture and commercialization of mRNA-based vaccines and monoclonal antibodies targeting infectious disease pathogens. In addition to an equity investment of EUR 150,000k as part of the 2020 Private Investment (see Note 4 for additional information), GSK made a non-refundable upfront cash payment of EUR 120,000k which was deferred upon receipt and recognized as a contract liability. Additionally, the Company is eligible to receive a one-time reimbursable payment of EUR 30,000k for manufacturing capacity reservation, upon certification of CureVac’s commercial scale manufacturing facility currently under construction in Germany as well as to receive development and regulatory milestone payments of up to EUR 320,000k, commercial milestone payments of up to EUR 380,000k and tiered royalties on product sales. GSK will fund R&amp;D activities incurred by CureVac related to the development projects covered by the collaboration. CureVac will be responsible for the preclinical- and clinical-development through the Phase 1 trials of these projects, after which GSK will be responsible for further development and commercialization. CureVac will be responsible for the manufacturing of the product candidates, including for commercialization, and will retain commercialization rights for selected countries for all product candidates. As services are performed under a collaboration agreement, revenue recognition will be recognized in future periods in accordance with the Company’s accounting policy as described in “Significant accounting policies” and “Significant accounting judgments, estimates and assumptions” in Note 2 of the notes to the consolidated financial statements as at December 31, 2019 and for the two years then ended, with the exception that the upfront payment, attributable to the IP license, is recognized straight-line from the</w:t>
      </w:r>
    </w:p>
    <w:p>
      <w:pPr>
        <w:sectPr>
          <w:pgSz w:w="11900" w:h="16838" w:orient="portrait"/>
          <w:cols w:equalWidth="0" w:num="1">
            <w:col w:w="9879"/>
          </w:cols>
          <w:pgMar w:left="580" w:top="131" w:right="1440" w:bottom="1440" w:gutter="0" w:footer="0" w:header="0"/>
        </w:sectPr>
      </w:pPr>
    </w:p>
    <w:p>
      <w:pPr>
        <w:spacing w:after="0" w:line="382"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285115</wp:posOffset>
            </wp:positionV>
            <wp:extent cx="6806565" cy="171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24" w:name="page325"/>
    <w:bookmarkEnd w:id="324"/>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59"/>
        <w:spacing w:after="0" w:line="308" w:lineRule="auto"/>
        <w:rPr>
          <w:sz w:val="20"/>
          <w:szCs w:val="20"/>
          <w:color w:val="auto"/>
        </w:rPr>
      </w:pPr>
      <w:r>
        <w:rPr>
          <w:rFonts w:ascii="Arial" w:cs="Arial" w:eastAsia="Arial" w:hAnsi="Arial"/>
          <w:sz w:val="17"/>
          <w:szCs w:val="17"/>
          <w:color w:val="auto"/>
        </w:rPr>
        <w:t>effective date of the collaboration agreement through the estimated completion date of Phase 1 clinical trials, at which time GSK will be responsible for further development and commercialization.</w:t>
      </w:r>
    </w:p>
    <w:p>
      <w:pPr>
        <w:spacing w:after="0" w:line="14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3.2 Cost of sales</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cost of sales consists of the following:</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220" w:type="dxa"/>
            <w:vAlign w:val="bottom"/>
          </w:tcPr>
          <w:p>
            <w:pPr>
              <w:spacing w:after="0"/>
              <w:rPr>
                <w:sz w:val="14"/>
                <w:szCs w:val="14"/>
                <w:color w:val="auto"/>
              </w:rPr>
            </w:pPr>
          </w:p>
        </w:tc>
        <w:tc>
          <w:tcPr>
            <w:tcW w:w="13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89"/>
              </w:rPr>
              <w:t>Nine months ended</w:t>
            </w:r>
          </w:p>
        </w:tc>
      </w:tr>
      <w:tr>
        <w:trPr>
          <w:trHeight w:val="186"/>
        </w:trPr>
        <w:tc>
          <w:tcPr>
            <w:tcW w:w="6220" w:type="dxa"/>
            <w:vAlign w:val="bottom"/>
          </w:tcPr>
          <w:p>
            <w:pPr>
              <w:spacing w:after="0"/>
              <w:rPr>
                <w:sz w:val="16"/>
                <w:szCs w:val="16"/>
                <w:color w:val="auto"/>
              </w:rPr>
            </w:pPr>
          </w:p>
        </w:tc>
        <w:tc>
          <w:tcPr>
            <w:tcW w:w="13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September 30,</w:t>
            </w:r>
          </w:p>
        </w:tc>
      </w:tr>
      <w:tr>
        <w:trPr>
          <w:trHeight w:val="26"/>
        </w:trPr>
        <w:tc>
          <w:tcPr>
            <w:tcW w:w="62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7"/>
        </w:trPr>
        <w:tc>
          <w:tcPr>
            <w:tcW w:w="6220" w:type="dxa"/>
            <w:vAlign w:val="bottom"/>
          </w:tcPr>
          <w:p>
            <w:pPr>
              <w:spacing w:after="0"/>
              <w:rPr>
                <w:sz w:val="17"/>
                <w:szCs w:val="17"/>
                <w:color w:val="auto"/>
              </w:rPr>
            </w:pPr>
          </w:p>
        </w:tc>
        <w:tc>
          <w:tcPr>
            <w:tcW w:w="560" w:type="dxa"/>
            <w:vAlign w:val="bottom"/>
          </w:tcPr>
          <w:p>
            <w:pPr>
              <w:jc w:val="right"/>
              <w:ind w:right="77"/>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7"/>
                <w:szCs w:val="17"/>
                <w:color w:val="auto"/>
              </w:rPr>
            </w:pPr>
          </w:p>
        </w:tc>
        <w:tc>
          <w:tcPr>
            <w:tcW w:w="460" w:type="dxa"/>
            <w:vAlign w:val="bottom"/>
          </w:tcPr>
          <w:p>
            <w:pPr>
              <w:jc w:val="right"/>
              <w:ind w:right="1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7"/>
                <w:szCs w:val="17"/>
                <w:color w:val="auto"/>
              </w:rPr>
            </w:pPr>
          </w:p>
        </w:tc>
      </w:tr>
      <w:tr>
        <w:trPr>
          <w:trHeight w:val="26"/>
        </w:trPr>
        <w:tc>
          <w:tcPr>
            <w:tcW w:w="62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6220" w:type="dxa"/>
            <w:vAlign w:val="bottom"/>
          </w:tcPr>
          <w:p>
            <w:pPr>
              <w:spacing w:after="0"/>
              <w:rPr>
                <w:sz w:val="17"/>
                <w:szCs w:val="17"/>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EUR k</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6"/>
              </w:rPr>
              <w:t>EUR k</w:t>
            </w:r>
          </w:p>
        </w:tc>
      </w:tr>
      <w:tr>
        <w:trPr>
          <w:trHeight w:val="26"/>
        </w:trPr>
        <w:tc>
          <w:tcPr>
            <w:tcW w:w="6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gridSpan w:val="2"/>
          </w:tcPr>
          <w:p>
            <w:pPr>
              <w:spacing w:after="0"/>
              <w:rPr>
                <w:sz w:val="2"/>
                <w:szCs w:val="2"/>
                <w:color w:val="auto"/>
              </w:rPr>
            </w:pPr>
          </w:p>
        </w:tc>
      </w:tr>
      <w:tr>
        <w:trPr>
          <w:trHeight w:val="257"/>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Personnel</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(7,249)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(2,171)</w:t>
            </w:r>
          </w:p>
        </w:tc>
        <w:tc>
          <w:tcPr>
            <w:tcW w:w="60" w:type="dxa"/>
            <w:vAlign w:val="bottom"/>
          </w:tcPr>
          <w:p>
            <w:pPr>
              <w:spacing w:after="0"/>
              <w:rPr>
                <w:sz w:val="22"/>
                <w:szCs w:val="22"/>
                <w:color w:val="auto"/>
              </w:rPr>
            </w:pPr>
          </w:p>
        </w:tc>
      </w:tr>
      <w:tr>
        <w:trPr>
          <w:trHeight w:val="256"/>
        </w:trPr>
        <w:tc>
          <w:tcPr>
            <w:tcW w:w="6220" w:type="dxa"/>
            <w:vAlign w:val="bottom"/>
          </w:tcPr>
          <w:p>
            <w:pPr>
              <w:spacing w:after="0"/>
              <w:rPr>
                <w:sz w:val="20"/>
                <w:szCs w:val="20"/>
                <w:color w:val="auto"/>
              </w:rPr>
            </w:pPr>
            <w:r>
              <w:rPr>
                <w:rFonts w:ascii="Arial" w:cs="Arial" w:eastAsia="Arial" w:hAnsi="Arial"/>
                <w:sz w:val="18"/>
                <w:szCs w:val="18"/>
                <w:color w:val="auto"/>
              </w:rPr>
              <w:t>Materials</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(4,022)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(1,380)</w:t>
            </w:r>
          </w:p>
        </w:tc>
      </w:tr>
      <w:tr>
        <w:trPr>
          <w:trHeight w:val="257"/>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Third-party services</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(5,339)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(2,432)</w:t>
            </w:r>
          </w:p>
        </w:tc>
        <w:tc>
          <w:tcPr>
            <w:tcW w:w="60" w:type="dxa"/>
            <w:vAlign w:val="bottom"/>
          </w:tcPr>
          <w:p>
            <w:pPr>
              <w:spacing w:after="0"/>
              <w:rPr>
                <w:sz w:val="22"/>
                <w:szCs w:val="22"/>
                <w:color w:val="auto"/>
              </w:rPr>
            </w:pPr>
          </w:p>
        </w:tc>
      </w:tr>
      <w:tr>
        <w:trPr>
          <w:trHeight w:val="257"/>
        </w:trPr>
        <w:tc>
          <w:tcPr>
            <w:tcW w:w="6220" w:type="dxa"/>
            <w:vAlign w:val="bottom"/>
          </w:tcPr>
          <w:p>
            <w:pPr>
              <w:spacing w:after="0"/>
              <w:rPr>
                <w:sz w:val="20"/>
                <w:szCs w:val="20"/>
                <w:color w:val="auto"/>
              </w:rPr>
            </w:pPr>
            <w:r>
              <w:rPr>
                <w:rFonts w:ascii="Arial" w:cs="Arial" w:eastAsia="Arial" w:hAnsi="Arial"/>
                <w:sz w:val="18"/>
                <w:szCs w:val="18"/>
                <w:color w:val="auto"/>
              </w:rPr>
              <w:t>Maintenance and lease</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(770)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(752)</w:t>
            </w:r>
          </w:p>
        </w:tc>
      </w:tr>
      <w:tr>
        <w:trPr>
          <w:trHeight w:val="257"/>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and depreciation</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60" w:type="dxa"/>
            <w:vAlign w:val="bottom"/>
          </w:tcPr>
          <w:p>
            <w:pPr>
              <w:spacing w:after="0"/>
              <w:rPr>
                <w:sz w:val="22"/>
                <w:szCs w:val="22"/>
                <w:color w:val="auto"/>
              </w:rPr>
            </w:pPr>
          </w:p>
        </w:tc>
      </w:tr>
      <w:tr>
        <w:trPr>
          <w:trHeight w:val="263"/>
        </w:trPr>
        <w:tc>
          <w:tcPr>
            <w:tcW w:w="6220" w:type="dxa"/>
            <w:vAlign w:val="bottom"/>
          </w:tcPr>
          <w:p>
            <w:pPr>
              <w:spacing w:after="0"/>
              <w:rPr>
                <w:sz w:val="20"/>
                <w:szCs w:val="20"/>
                <w:color w:val="auto"/>
              </w:rPr>
            </w:pPr>
            <w:r>
              <w:rPr>
                <w:rFonts w:ascii="Arial" w:cs="Arial" w:eastAsia="Arial" w:hAnsi="Arial"/>
                <w:sz w:val="18"/>
                <w:szCs w:val="18"/>
                <w:color w:val="auto"/>
              </w:rPr>
              <w:t>Other</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(233)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62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9"/>
              </w:rPr>
              <w:t>(18,872)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7"/>
              </w:rPr>
              <w:t>(7,049)</w:t>
            </w:r>
          </w:p>
        </w:tc>
        <w:tc>
          <w:tcPr>
            <w:tcW w:w="60" w:type="dxa"/>
            <w:vAlign w:val="bottom"/>
          </w:tcPr>
          <w:p>
            <w:pPr>
              <w:spacing w:after="0"/>
              <w:rPr>
                <w:sz w:val="22"/>
                <w:szCs w:val="22"/>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-205105</wp:posOffset>
            </wp:positionV>
            <wp:extent cx="444881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4448810" cy="8255"/>
                    </a:xfrm>
                    <a:prstGeom prst="rect">
                      <a:avLst/>
                    </a:prstGeom>
                    <a:noFill/>
                  </pic:spPr>
                </pic:pic>
              </a:graphicData>
            </a:graphic>
          </wp:anchor>
        </w:drawing>
      </w:r>
    </w:p>
    <w:p>
      <w:pPr>
        <w:spacing w:after="0" w:line="209" w:lineRule="exact"/>
        <w:rPr>
          <w:sz w:val="20"/>
          <w:szCs w:val="20"/>
          <w:color w:val="auto"/>
        </w:rPr>
      </w:pPr>
    </w:p>
    <w:p>
      <w:pPr>
        <w:ind w:left="1260" w:right="619" w:firstLine="648"/>
        <w:spacing w:after="0" w:line="255" w:lineRule="auto"/>
        <w:rPr>
          <w:sz w:val="20"/>
          <w:szCs w:val="20"/>
          <w:color w:val="auto"/>
        </w:rPr>
      </w:pPr>
      <w:r>
        <w:rPr>
          <w:rFonts w:ascii="Arial" w:cs="Arial" w:eastAsia="Arial" w:hAnsi="Arial"/>
          <w:sz w:val="18"/>
          <w:szCs w:val="18"/>
          <w:color w:val="auto"/>
        </w:rPr>
        <w:t>During the nine months ended September 30, 2020, cost of sales decreased compared to the same period of 2019 mainly due to an increased focus by the Group on research and development activities, primarily for CVnCoV, and lower product costs as a result of the termination of the collaboration with Eli Lilly (see Note 3.1 for additional information). Additionally, during 2020, the Company recognized lower inventory write-downs in cost of sales and lower set-up and quality assurance activities for the production processes as compared to the same period of 2019.</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3.3 Selling and distribution expenses</w:t>
      </w:r>
    </w:p>
    <w:p>
      <w:pPr>
        <w:spacing w:after="0" w:line="14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Selling and distribution expenses consist of the following:</w:t>
      </w:r>
    </w:p>
    <w:p>
      <w:pPr>
        <w:spacing w:after="0" w:line="190" w:lineRule="exact"/>
        <w:rPr>
          <w:sz w:val="20"/>
          <w:szCs w:val="20"/>
          <w:color w:val="auto"/>
        </w:rPr>
      </w:pPr>
    </w:p>
    <w:p>
      <w:pPr>
        <w:ind w:left="7920"/>
        <w:spacing w:after="0"/>
        <w:rPr>
          <w:sz w:val="20"/>
          <w:szCs w:val="20"/>
          <w:color w:val="auto"/>
        </w:rPr>
      </w:pPr>
      <w:r>
        <w:rPr>
          <w:rFonts w:ascii="Arial" w:cs="Arial" w:eastAsia="Arial" w:hAnsi="Arial"/>
          <w:sz w:val="14"/>
          <w:szCs w:val="14"/>
          <w:b w:val="1"/>
          <w:bCs w:val="1"/>
          <w:color w:val="auto"/>
        </w:rPr>
        <w:t>Nine months ended</w:t>
      </w:r>
    </w:p>
    <w:p>
      <w:pPr>
        <w:spacing w:after="0" w:line="17" w:lineRule="exact"/>
        <w:rPr>
          <w:sz w:val="20"/>
          <w:szCs w:val="20"/>
          <w:color w:val="auto"/>
        </w:rPr>
      </w:pPr>
    </w:p>
    <w:p>
      <w:pPr>
        <w:ind w:left="81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22225</wp:posOffset>
            </wp:positionV>
            <wp:extent cx="746125"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4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6"/>
                <w:szCs w:val="16"/>
                <w:color w:val="auto"/>
              </w:rPr>
            </w:pPr>
          </w:p>
        </w:tc>
      </w:tr>
      <w:tr>
        <w:trPr>
          <w:trHeight w:val="25"/>
        </w:trPr>
        <w:tc>
          <w:tcPr>
            <w:tcW w:w="6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r>
      <w:tr>
        <w:trPr>
          <w:trHeight w:val="198"/>
        </w:trPr>
        <w:tc>
          <w:tcPr>
            <w:tcW w:w="6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EUR k</w:t>
            </w:r>
          </w:p>
        </w:tc>
        <w:tc>
          <w:tcPr>
            <w:tcW w:w="4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7"/>
              </w:rPr>
              <w:t>EUR k</w:t>
            </w:r>
          </w:p>
        </w:tc>
      </w:tr>
      <w:tr>
        <w:trPr>
          <w:trHeight w:val="25"/>
        </w:trPr>
        <w:tc>
          <w:tcPr>
            <w:tcW w:w="6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68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(257)</w:t>
            </w:r>
          </w:p>
        </w:tc>
        <w:tc>
          <w:tcPr>
            <w:tcW w:w="280" w:type="dxa"/>
            <w:vAlign w:val="bottom"/>
            <w:tcBorders>
              <w:right w:val="single" w:sz="8" w:color="CCEEFF"/>
            </w:tcBorders>
            <w:shd w:val="clear" w:color="auto" w:fill="CCEEFF"/>
          </w:tcPr>
          <w:p>
            <w:pPr>
              <w:spacing w:after="0"/>
              <w:rPr>
                <w:sz w:val="22"/>
                <w:szCs w:val="22"/>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(755)</w:t>
            </w:r>
          </w:p>
        </w:tc>
      </w:tr>
      <w:tr>
        <w:trPr>
          <w:trHeight w:val="257"/>
        </w:trPr>
        <w:tc>
          <w:tcPr>
            <w:tcW w:w="6100" w:type="dxa"/>
            <w:vAlign w:val="bottom"/>
          </w:tcPr>
          <w:p>
            <w:pPr>
              <w:spacing w:after="0"/>
              <w:rPr>
                <w:sz w:val="20"/>
                <w:szCs w:val="20"/>
                <w:color w:val="auto"/>
              </w:rPr>
            </w:pPr>
            <w:r>
              <w:rPr>
                <w:rFonts w:ascii="Arial" w:cs="Arial" w:eastAsia="Arial" w:hAnsi="Arial"/>
                <w:sz w:val="18"/>
                <w:szCs w:val="18"/>
                <w:color w:val="auto"/>
              </w:rPr>
              <w:t>Amortization and depreciation</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22"/>
                <w:szCs w:val="2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r>
      <w:tr>
        <w:trPr>
          <w:trHeight w:val="263"/>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(167)</w:t>
            </w:r>
          </w:p>
        </w:tc>
        <w:tc>
          <w:tcPr>
            <w:tcW w:w="280" w:type="dxa"/>
            <w:vAlign w:val="bottom"/>
            <w:tcBorders>
              <w:right w:val="single" w:sz="8" w:color="CCEEFF"/>
            </w:tcBorders>
            <w:shd w:val="clear" w:color="auto" w:fill="CCEEFF"/>
          </w:tcPr>
          <w:p>
            <w:pPr>
              <w:spacing w:after="0"/>
              <w:rPr>
                <w:sz w:val="22"/>
                <w:szCs w:val="2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22"/>
                <w:szCs w:val="22"/>
                <w:color w:val="auto"/>
              </w:rPr>
            </w:pPr>
          </w:p>
        </w:tc>
      </w:tr>
      <w:tr>
        <w:trPr>
          <w:trHeight w:val="20"/>
        </w:trPr>
        <w:tc>
          <w:tcPr>
            <w:tcW w:w="6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63"/>
        </w:trPr>
        <w:tc>
          <w:tcPr>
            <w:tcW w:w="61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(485)</w:t>
            </w:r>
          </w:p>
        </w:tc>
        <w:tc>
          <w:tcPr>
            <w:tcW w:w="280" w:type="dxa"/>
            <w:vAlign w:val="bottom"/>
          </w:tcPr>
          <w:p>
            <w:pPr>
              <w:spacing w:after="0"/>
              <w:rPr>
                <w:sz w:val="22"/>
                <w:szCs w:val="2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0"/>
              </w:rPr>
              <w:t>(809)</w:t>
            </w:r>
          </w:p>
        </w:tc>
      </w:tr>
      <w:tr>
        <w:trPr>
          <w:trHeight w:val="20"/>
        </w:trPr>
        <w:tc>
          <w:tcPr>
            <w:tcW w:w="6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60" w:right="559" w:firstLine="648"/>
        <w:spacing w:after="0" w:line="263" w:lineRule="auto"/>
        <w:rPr>
          <w:sz w:val="20"/>
          <w:szCs w:val="20"/>
          <w:color w:val="auto"/>
        </w:rPr>
      </w:pPr>
      <w:r>
        <w:rPr>
          <w:rFonts w:ascii="Arial" w:cs="Arial" w:eastAsia="Arial" w:hAnsi="Arial"/>
          <w:sz w:val="18"/>
          <w:szCs w:val="18"/>
          <w:color w:val="auto"/>
        </w:rPr>
        <w:t>Personnel expenses mainly include salary and salary-related expenses, during the nine months ended September 30, 2020, of EUR 288k (September 30, 2019: 257k) and share-based payment expense of EUR 467k (September 30, 2019: nil).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25" w:name="page326"/>
    <w:bookmarkEnd w:id="325"/>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3.4 Research and development expenses</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R&amp;D expenses consists of the following:</w:t>
      </w:r>
    </w:p>
    <w:p>
      <w:pPr>
        <w:spacing w:after="0" w:line="176" w:lineRule="exact"/>
        <w:rPr>
          <w:sz w:val="20"/>
          <w:szCs w:val="20"/>
          <w:color w:val="auto"/>
        </w:rPr>
      </w:pPr>
    </w:p>
    <w:p>
      <w:pPr>
        <w:ind w:left="7820"/>
        <w:spacing w:after="0"/>
        <w:rPr>
          <w:sz w:val="20"/>
          <w:szCs w:val="20"/>
          <w:color w:val="auto"/>
        </w:rPr>
      </w:pPr>
      <w:r>
        <w:rPr>
          <w:rFonts w:ascii="Arial" w:cs="Arial" w:eastAsia="Arial" w:hAnsi="Arial"/>
          <w:sz w:val="14"/>
          <w:szCs w:val="14"/>
          <w:b w:val="1"/>
          <w:bCs w:val="1"/>
          <w:color w:val="auto"/>
        </w:rPr>
        <w:t>Nine months ended</w:t>
      </w:r>
    </w:p>
    <w:p>
      <w:pPr>
        <w:spacing w:after="0" w:line="17"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4906010</wp:posOffset>
            </wp:positionH>
            <wp:positionV relativeFrom="paragraph">
              <wp:posOffset>22225</wp:posOffset>
            </wp:positionV>
            <wp:extent cx="87439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4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6"/>
                <w:szCs w:val="16"/>
                <w:color w:val="auto"/>
              </w:rPr>
            </w:pPr>
          </w:p>
        </w:tc>
        <w:tc>
          <w:tcPr>
            <w:tcW w:w="560" w:type="dxa"/>
            <w:vAlign w:val="bottom"/>
          </w:tcPr>
          <w:p>
            <w:pPr>
              <w:jc w:val="right"/>
              <w:ind w:right="7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26"/>
        </w:trPr>
        <w:tc>
          <w:tcPr>
            <w:tcW w:w="6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7"/>
        </w:trPr>
        <w:tc>
          <w:tcPr>
            <w:tcW w:w="6120" w:type="dxa"/>
            <w:vAlign w:val="bottom"/>
          </w:tcPr>
          <w:p>
            <w:pPr>
              <w:spacing w:after="0"/>
              <w:rPr>
                <w:sz w:val="17"/>
                <w:szCs w:val="17"/>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EUR k</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EUR k</w:t>
            </w:r>
          </w:p>
        </w:tc>
      </w:tr>
      <w:tr>
        <w:trPr>
          <w:trHeight w:val="26"/>
        </w:trPr>
        <w:tc>
          <w:tcPr>
            <w:tcW w:w="6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r>
      <w:tr>
        <w:trPr>
          <w:trHeight w:val="257"/>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Materials</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(2,605)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(21,595)</w:t>
            </w:r>
          </w:p>
        </w:tc>
        <w:tc>
          <w:tcPr>
            <w:tcW w:w="60" w:type="dxa"/>
            <w:vAlign w:val="bottom"/>
          </w:tcPr>
          <w:p>
            <w:pPr>
              <w:spacing w:after="0"/>
              <w:rPr>
                <w:sz w:val="22"/>
                <w:szCs w:val="22"/>
                <w:color w:val="auto"/>
              </w:rPr>
            </w:pPr>
          </w:p>
        </w:tc>
      </w:tr>
      <w:tr>
        <w:trPr>
          <w:trHeight w:val="257"/>
        </w:trPr>
        <w:tc>
          <w:tcPr>
            <w:tcW w:w="6120" w:type="dxa"/>
            <w:vAlign w:val="bottom"/>
          </w:tcPr>
          <w:p>
            <w:pPr>
              <w:spacing w:after="0"/>
              <w:rPr>
                <w:sz w:val="20"/>
                <w:szCs w:val="20"/>
                <w:color w:val="auto"/>
              </w:rPr>
            </w:pPr>
            <w:r>
              <w:rPr>
                <w:rFonts w:ascii="Arial" w:cs="Arial" w:eastAsia="Arial" w:hAnsi="Arial"/>
                <w:sz w:val="18"/>
                <w:szCs w:val="18"/>
                <w:color w:val="auto"/>
              </w:rPr>
              <w:t>Personnel</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(9,321)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(16,213)</w:t>
            </w:r>
          </w:p>
        </w:tc>
      </w:tr>
      <w:tr>
        <w:trPr>
          <w:trHeight w:val="257"/>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and depreciation</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(2,589)</w:t>
            </w:r>
          </w:p>
        </w:tc>
        <w:tc>
          <w:tcPr>
            <w:tcW w:w="60" w:type="dxa"/>
            <w:vAlign w:val="bottom"/>
          </w:tcPr>
          <w:p>
            <w:pPr>
              <w:spacing w:after="0"/>
              <w:rPr>
                <w:sz w:val="22"/>
                <w:szCs w:val="22"/>
                <w:color w:val="auto"/>
              </w:rPr>
            </w:pPr>
          </w:p>
        </w:tc>
      </w:tr>
      <w:tr>
        <w:trPr>
          <w:trHeight w:val="257"/>
        </w:trPr>
        <w:tc>
          <w:tcPr>
            <w:tcW w:w="6120" w:type="dxa"/>
            <w:vAlign w:val="bottom"/>
          </w:tcPr>
          <w:p>
            <w:pPr>
              <w:spacing w:after="0"/>
              <w:rPr>
                <w:sz w:val="20"/>
                <w:szCs w:val="20"/>
                <w:color w:val="auto"/>
              </w:rPr>
            </w:pPr>
            <w:r>
              <w:rPr>
                <w:rFonts w:ascii="Arial" w:cs="Arial" w:eastAsia="Arial" w:hAnsi="Arial"/>
                <w:sz w:val="18"/>
                <w:szCs w:val="18"/>
                <w:color w:val="auto"/>
              </w:rPr>
              <w:t>Patents and fees to register a legal right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(3,143)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(3,525)</w:t>
            </w:r>
          </w:p>
        </w:tc>
      </w:tr>
      <w:tr>
        <w:trPr>
          <w:trHeight w:val="256"/>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Third-party services</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(14,426)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(27,973)</w:t>
            </w:r>
          </w:p>
        </w:tc>
        <w:tc>
          <w:tcPr>
            <w:tcW w:w="60" w:type="dxa"/>
            <w:vAlign w:val="bottom"/>
          </w:tcPr>
          <w:p>
            <w:pPr>
              <w:spacing w:after="0"/>
              <w:rPr>
                <w:sz w:val="22"/>
                <w:szCs w:val="22"/>
                <w:color w:val="auto"/>
              </w:rPr>
            </w:pPr>
          </w:p>
        </w:tc>
      </w:tr>
      <w:tr>
        <w:trPr>
          <w:trHeight w:val="257"/>
        </w:trPr>
        <w:tc>
          <w:tcPr>
            <w:tcW w:w="6120" w:type="dxa"/>
            <w:vAlign w:val="bottom"/>
          </w:tcPr>
          <w:p>
            <w:pPr>
              <w:spacing w:after="0"/>
              <w:rPr>
                <w:sz w:val="20"/>
                <w:szCs w:val="20"/>
                <w:color w:val="auto"/>
              </w:rPr>
            </w:pPr>
            <w:r>
              <w:rPr>
                <w:rFonts w:ascii="Arial" w:cs="Arial" w:eastAsia="Arial" w:hAnsi="Arial"/>
                <w:sz w:val="18"/>
                <w:szCs w:val="18"/>
                <w:color w:val="auto"/>
              </w:rPr>
              <w:t>Maintenance and lease</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(560)</w:t>
            </w:r>
          </w:p>
        </w:tc>
      </w:tr>
      <w:tr>
        <w:trPr>
          <w:trHeight w:val="263"/>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(3,882)</w:t>
            </w:r>
          </w:p>
        </w:tc>
        <w:tc>
          <w:tcPr>
            <w:tcW w:w="60" w:type="dxa"/>
            <w:vAlign w:val="bottom"/>
          </w:tcPr>
          <w:p>
            <w:pPr>
              <w:spacing w:after="0"/>
              <w:rPr>
                <w:sz w:val="22"/>
                <w:szCs w:val="22"/>
                <w:color w:val="auto"/>
              </w:rPr>
            </w:pPr>
          </w:p>
        </w:tc>
      </w:tr>
      <w:tr>
        <w:trPr>
          <w:trHeight w:val="20"/>
        </w:trPr>
        <w:tc>
          <w:tcPr>
            <w:tcW w:w="61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1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9"/>
              </w:rPr>
              <w:t>(30,665)</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(76,337)</w:t>
            </w:r>
          </w:p>
        </w:tc>
      </w:tr>
      <w:tr>
        <w:trPr>
          <w:trHeight w:val="20"/>
        </w:trPr>
        <w:tc>
          <w:tcPr>
            <w:tcW w:w="6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60" w:right="479" w:firstLine="648"/>
        <w:spacing w:after="0" w:line="255" w:lineRule="auto"/>
        <w:rPr>
          <w:sz w:val="20"/>
          <w:szCs w:val="20"/>
          <w:color w:val="auto"/>
        </w:rPr>
      </w:pPr>
      <w:r>
        <w:rPr>
          <w:rFonts w:ascii="Arial" w:cs="Arial" w:eastAsia="Arial" w:hAnsi="Arial"/>
          <w:sz w:val="18"/>
          <w:szCs w:val="18"/>
          <w:color w:val="auto"/>
        </w:rPr>
        <w:t>During the nine months ended September 30, 2020, research and development expenses increased in comparison to the same period of 2019 mainly due to an increase in development expenses from the Group´s CVnCoV program. These expenses consist primarily of cost incurred to CROs involved in the CVnCoV development as well as materials used in the administration of clinical trials. As of September 30, 2020, the Group had no development expenditures that met the requirements for capitalization and thus none have been capitalized.</w:t>
      </w:r>
    </w:p>
    <w:p>
      <w:pPr>
        <w:spacing w:after="0" w:line="111" w:lineRule="exact"/>
        <w:rPr>
          <w:sz w:val="20"/>
          <w:szCs w:val="20"/>
          <w:color w:val="auto"/>
        </w:rPr>
      </w:pPr>
    </w:p>
    <w:p>
      <w:pPr>
        <w:ind w:left="1260" w:right="859" w:firstLine="648"/>
        <w:spacing w:after="0" w:line="263" w:lineRule="auto"/>
        <w:rPr>
          <w:sz w:val="20"/>
          <w:szCs w:val="20"/>
          <w:color w:val="auto"/>
        </w:rPr>
      </w:pPr>
      <w:r>
        <w:rPr>
          <w:rFonts w:ascii="Arial" w:cs="Arial" w:eastAsia="Arial" w:hAnsi="Arial"/>
          <w:sz w:val="18"/>
          <w:szCs w:val="18"/>
          <w:color w:val="auto"/>
        </w:rPr>
        <w:t>Personnel expenses mainly include salary and salary-related expenses, during the nine months ended September 30, 2020, of EUR 13,227k (September 30, 2019: 5,465k) and share-based payment expense of EUR 2,986k (September 30, 2019: nil).</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3.5 General and administrative expenses</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General and administrative expenses consist of the following:</w:t>
      </w:r>
    </w:p>
    <w:p>
      <w:pPr>
        <w:spacing w:after="0" w:line="176" w:lineRule="exact"/>
        <w:rPr>
          <w:sz w:val="20"/>
          <w:szCs w:val="20"/>
          <w:color w:val="auto"/>
        </w:rPr>
      </w:pPr>
    </w:p>
    <w:p>
      <w:pPr>
        <w:ind w:left="7820"/>
        <w:spacing w:after="0"/>
        <w:rPr>
          <w:sz w:val="20"/>
          <w:szCs w:val="20"/>
          <w:color w:val="auto"/>
        </w:rPr>
      </w:pPr>
      <w:r>
        <w:rPr>
          <w:rFonts w:ascii="Arial" w:cs="Arial" w:eastAsia="Arial" w:hAnsi="Arial"/>
          <w:sz w:val="14"/>
          <w:szCs w:val="14"/>
          <w:b w:val="1"/>
          <w:bCs w:val="1"/>
          <w:color w:val="auto"/>
        </w:rPr>
        <w:t>Nine months ended</w:t>
      </w:r>
    </w:p>
    <w:p>
      <w:pPr>
        <w:spacing w:after="0" w:line="17"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4906010</wp:posOffset>
            </wp:positionH>
            <wp:positionV relativeFrom="paragraph">
              <wp:posOffset>22225</wp:posOffset>
            </wp:positionV>
            <wp:extent cx="87439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4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6"/>
                <w:szCs w:val="16"/>
                <w:color w:val="auto"/>
              </w:rPr>
            </w:pPr>
          </w:p>
        </w:tc>
        <w:tc>
          <w:tcPr>
            <w:tcW w:w="560" w:type="dxa"/>
            <w:vAlign w:val="bottom"/>
          </w:tcPr>
          <w:p>
            <w:pPr>
              <w:jc w:val="right"/>
              <w:ind w:right="7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25"/>
        </w:trPr>
        <w:tc>
          <w:tcPr>
            <w:tcW w:w="6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6120" w:type="dxa"/>
            <w:vAlign w:val="bottom"/>
          </w:tcPr>
          <w:p>
            <w:pPr>
              <w:spacing w:after="0"/>
              <w:rPr>
                <w:sz w:val="17"/>
                <w:szCs w:val="17"/>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EUR k</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EUR k</w:t>
            </w:r>
          </w:p>
        </w:tc>
      </w:tr>
      <w:tr>
        <w:trPr>
          <w:trHeight w:val="25"/>
        </w:trPr>
        <w:tc>
          <w:tcPr>
            <w:tcW w:w="6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r>
      <w:tr>
        <w:trPr>
          <w:trHeight w:val="257"/>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Personnel</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(16,747)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(15,847)</w:t>
            </w:r>
          </w:p>
        </w:tc>
        <w:tc>
          <w:tcPr>
            <w:tcW w:w="60" w:type="dxa"/>
            <w:vAlign w:val="bottom"/>
          </w:tcPr>
          <w:p>
            <w:pPr>
              <w:spacing w:after="0"/>
              <w:rPr>
                <w:sz w:val="22"/>
                <w:szCs w:val="22"/>
                <w:color w:val="auto"/>
              </w:rPr>
            </w:pPr>
          </w:p>
        </w:tc>
      </w:tr>
      <w:tr>
        <w:trPr>
          <w:trHeight w:val="256"/>
        </w:trPr>
        <w:tc>
          <w:tcPr>
            <w:tcW w:w="6120" w:type="dxa"/>
            <w:vAlign w:val="bottom"/>
          </w:tcPr>
          <w:p>
            <w:pPr>
              <w:spacing w:after="0"/>
              <w:rPr>
                <w:sz w:val="20"/>
                <w:szCs w:val="20"/>
                <w:color w:val="auto"/>
              </w:rPr>
            </w:pPr>
            <w:r>
              <w:rPr>
                <w:rFonts w:ascii="Arial" w:cs="Arial" w:eastAsia="Arial" w:hAnsi="Arial"/>
                <w:sz w:val="18"/>
                <w:szCs w:val="18"/>
                <w:color w:val="auto"/>
              </w:rPr>
              <w:t>Maintenance and lease</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(2,138)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(1,571)</w:t>
            </w:r>
          </w:p>
        </w:tc>
      </w:tr>
      <w:tr>
        <w:trPr>
          <w:trHeight w:val="257"/>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Third-party services</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(4,203)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(5,097)</w:t>
            </w:r>
          </w:p>
        </w:tc>
        <w:tc>
          <w:tcPr>
            <w:tcW w:w="60" w:type="dxa"/>
            <w:vAlign w:val="bottom"/>
          </w:tcPr>
          <w:p>
            <w:pPr>
              <w:spacing w:after="0"/>
              <w:rPr>
                <w:sz w:val="22"/>
                <w:szCs w:val="22"/>
                <w:color w:val="auto"/>
              </w:rPr>
            </w:pPr>
          </w:p>
        </w:tc>
      </w:tr>
      <w:tr>
        <w:trPr>
          <w:trHeight w:val="256"/>
        </w:trPr>
        <w:tc>
          <w:tcPr>
            <w:tcW w:w="6120" w:type="dxa"/>
            <w:vAlign w:val="bottom"/>
          </w:tcPr>
          <w:p>
            <w:pPr>
              <w:spacing w:after="0"/>
              <w:rPr>
                <w:sz w:val="20"/>
                <w:szCs w:val="20"/>
                <w:color w:val="auto"/>
              </w:rPr>
            </w:pPr>
            <w:r>
              <w:rPr>
                <w:rFonts w:ascii="Arial" w:cs="Arial" w:eastAsia="Arial" w:hAnsi="Arial"/>
                <w:sz w:val="18"/>
                <w:szCs w:val="18"/>
                <w:color w:val="auto"/>
              </w:rPr>
              <w:t>Legal and other professional services</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(825)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(2,276)</w:t>
            </w:r>
          </w:p>
        </w:tc>
      </w:tr>
      <w:tr>
        <w:trPr>
          <w:trHeight w:val="257"/>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and depreciation</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(4,382)</w:t>
            </w:r>
          </w:p>
        </w:tc>
        <w:tc>
          <w:tcPr>
            <w:tcW w:w="60" w:type="dxa"/>
            <w:vAlign w:val="bottom"/>
          </w:tcPr>
          <w:p>
            <w:pPr>
              <w:spacing w:after="0"/>
              <w:rPr>
                <w:sz w:val="22"/>
                <w:szCs w:val="22"/>
                <w:color w:val="auto"/>
              </w:rPr>
            </w:pPr>
          </w:p>
        </w:tc>
      </w:tr>
      <w:tr>
        <w:trPr>
          <w:trHeight w:val="263"/>
        </w:trPr>
        <w:tc>
          <w:tcPr>
            <w:tcW w:w="6120" w:type="dxa"/>
            <w:vAlign w:val="bottom"/>
          </w:tcPr>
          <w:p>
            <w:pPr>
              <w:spacing w:after="0"/>
              <w:rPr>
                <w:sz w:val="20"/>
                <w:szCs w:val="20"/>
                <w:color w:val="auto"/>
              </w:rPr>
            </w:pPr>
            <w:r>
              <w:rPr>
                <w:rFonts w:ascii="Arial" w:cs="Arial" w:eastAsia="Arial" w:hAnsi="Arial"/>
                <w:sz w:val="18"/>
                <w:szCs w:val="18"/>
                <w:color w:val="auto"/>
              </w:rPr>
              <w:t>Other</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(1,882)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(3,974)</w:t>
            </w:r>
          </w:p>
        </w:tc>
      </w:tr>
      <w:tr>
        <w:trPr>
          <w:trHeight w:val="20"/>
        </w:trPr>
        <w:tc>
          <w:tcPr>
            <w:tcW w:w="61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9"/>
              </w:rPr>
              <w:t>(28,504)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0"/>
              </w:rPr>
              <w:t>(33,147)</w:t>
            </w:r>
          </w:p>
        </w:tc>
        <w:tc>
          <w:tcPr>
            <w:tcW w:w="60" w:type="dxa"/>
            <w:vAlign w:val="bottom"/>
          </w:tcPr>
          <w:p>
            <w:pPr>
              <w:spacing w:after="0"/>
              <w:rPr>
                <w:sz w:val="22"/>
                <w:szCs w:val="22"/>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-205105</wp:posOffset>
            </wp:positionV>
            <wp:extent cx="438912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4389120" cy="8255"/>
                    </a:xfrm>
                    <a:prstGeom prst="rect">
                      <a:avLst/>
                    </a:prstGeom>
                    <a:noFill/>
                  </pic:spPr>
                </pic:pic>
              </a:graphicData>
            </a:graphic>
          </wp:anchor>
        </w:drawing>
      </w:r>
    </w:p>
    <w:p>
      <w:pPr>
        <w:spacing w:after="0" w:line="209" w:lineRule="exact"/>
        <w:rPr>
          <w:sz w:val="20"/>
          <w:szCs w:val="20"/>
          <w:color w:val="auto"/>
        </w:rPr>
      </w:pPr>
    </w:p>
    <w:p>
      <w:pPr>
        <w:jc w:val="both"/>
        <w:ind w:left="1260" w:right="859" w:firstLine="648"/>
        <w:spacing w:after="0" w:line="286" w:lineRule="auto"/>
        <w:rPr>
          <w:sz w:val="20"/>
          <w:szCs w:val="20"/>
          <w:color w:val="auto"/>
        </w:rPr>
      </w:pPr>
      <w:r>
        <w:rPr>
          <w:rFonts w:ascii="Arial" w:cs="Arial" w:eastAsia="Arial" w:hAnsi="Arial"/>
          <w:sz w:val="17"/>
          <w:szCs w:val="17"/>
          <w:color w:val="auto"/>
        </w:rPr>
        <w:t>Personnel expenses mainly include salary and salary-related expenses, during the nine months ended September 30, 2020, of EUR 11,900k (September 30, 2019: 10,673k) and share-based payment expense of EUR 3,947k (September 30, 2019: 6,074). Refer to Note 5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26" w:name="page327"/>
    <w:bookmarkEnd w:id="326"/>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3.6 Other operating income</w:t>
      </w:r>
    </w:p>
    <w:p>
      <w:pPr>
        <w:spacing w:after="0" w:line="190" w:lineRule="exact"/>
        <w:rPr>
          <w:sz w:val="20"/>
          <w:szCs w:val="20"/>
          <w:color w:val="auto"/>
        </w:rPr>
      </w:pPr>
    </w:p>
    <w:p>
      <w:pPr>
        <w:ind w:left="7920"/>
        <w:spacing w:after="0"/>
        <w:rPr>
          <w:sz w:val="20"/>
          <w:szCs w:val="20"/>
          <w:color w:val="auto"/>
        </w:rPr>
      </w:pPr>
      <w:r>
        <w:rPr>
          <w:rFonts w:ascii="Arial" w:cs="Arial" w:eastAsia="Arial" w:hAnsi="Arial"/>
          <w:sz w:val="14"/>
          <w:szCs w:val="14"/>
          <w:b w:val="1"/>
          <w:bCs w:val="1"/>
          <w:color w:val="auto"/>
        </w:rPr>
        <w:t>Nine months ended</w:t>
      </w:r>
    </w:p>
    <w:p>
      <w:pPr>
        <w:spacing w:after="0" w:line="17" w:lineRule="exact"/>
        <w:rPr>
          <w:sz w:val="20"/>
          <w:szCs w:val="20"/>
          <w:color w:val="auto"/>
        </w:rPr>
      </w:pPr>
    </w:p>
    <w:p>
      <w:pPr>
        <w:ind w:left="81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22225</wp:posOffset>
            </wp:positionV>
            <wp:extent cx="74612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spacing w:after="0" w:line="4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30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rPr>
              <w:t>2020</w:t>
            </w:r>
          </w:p>
        </w:tc>
      </w:tr>
      <w:tr>
        <w:trPr>
          <w:trHeight w:val="26"/>
        </w:trPr>
        <w:tc>
          <w:tcPr>
            <w:tcW w:w="6300" w:type="dxa"/>
            <w:vAlign w:val="bottom"/>
          </w:tcPr>
          <w:p>
            <w:pPr>
              <w:spacing w:after="0"/>
              <w:rPr>
                <w:sz w:val="2"/>
                <w:szCs w:val="2"/>
                <w:color w:val="auto"/>
              </w:rPr>
            </w:pPr>
          </w:p>
        </w:tc>
        <w:tc>
          <w:tcPr>
            <w:tcW w:w="44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7"/>
        </w:trPr>
        <w:tc>
          <w:tcPr>
            <w:tcW w:w="6300" w:type="dxa"/>
            <w:vAlign w:val="bottom"/>
          </w:tcPr>
          <w:p>
            <w:pPr>
              <w:spacing w:after="0"/>
              <w:rPr>
                <w:sz w:val="17"/>
                <w:szCs w:val="17"/>
                <w:color w:val="auto"/>
              </w:rPr>
            </w:pPr>
          </w:p>
        </w:tc>
        <w:tc>
          <w:tcPr>
            <w:tcW w:w="680" w:type="dxa"/>
            <w:vAlign w:val="bottom"/>
            <w:gridSpan w:val="5"/>
          </w:tcPr>
          <w:p>
            <w:pPr>
              <w:ind w:left="20"/>
              <w:spacing w:after="0"/>
              <w:rPr>
                <w:sz w:val="20"/>
                <w:szCs w:val="20"/>
                <w:color w:val="auto"/>
              </w:rPr>
            </w:pPr>
            <w:r>
              <w:rPr>
                <w:rFonts w:ascii="Arial" w:cs="Arial" w:eastAsia="Arial" w:hAnsi="Arial"/>
                <w:sz w:val="14"/>
                <w:szCs w:val="14"/>
                <w:b w:val="1"/>
                <w:bCs w:val="1"/>
                <w:color w:val="auto"/>
              </w:rPr>
              <w:t>EUR k</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EUR k</w:t>
            </w:r>
          </w:p>
        </w:tc>
      </w:tr>
      <w:tr>
        <w:trPr>
          <w:trHeight w:val="26"/>
        </w:trPr>
        <w:tc>
          <w:tcPr>
            <w:tcW w:w="6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29"/>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Grants and other cost reimbursements from government agencies and similar</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44"/>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bodies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3,781</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11,313</w:t>
            </w:r>
          </w:p>
        </w:tc>
      </w:tr>
      <w:tr>
        <w:trPr>
          <w:trHeight w:val="263"/>
        </w:trPr>
        <w:tc>
          <w:tcPr>
            <w:tcW w:w="6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r>
      <w:tr>
        <w:trPr>
          <w:trHeight w:val="264"/>
        </w:trPr>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3,838</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11,695</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-205105</wp:posOffset>
            </wp:positionV>
            <wp:extent cx="442341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209" w:lineRule="exact"/>
        <w:rPr>
          <w:sz w:val="20"/>
          <w:szCs w:val="20"/>
          <w:color w:val="auto"/>
        </w:rPr>
      </w:pPr>
    </w:p>
    <w:p>
      <w:pPr>
        <w:ind w:left="1260" w:right="539" w:firstLine="648"/>
        <w:spacing w:after="0" w:line="277" w:lineRule="auto"/>
        <w:rPr>
          <w:sz w:val="20"/>
          <w:szCs w:val="20"/>
          <w:color w:val="auto"/>
        </w:rPr>
      </w:pPr>
      <w:r>
        <w:rPr>
          <w:rFonts w:ascii="Arial" w:cs="Arial" w:eastAsia="Arial" w:hAnsi="Arial"/>
          <w:sz w:val="18"/>
          <w:szCs w:val="18"/>
          <w:color w:val="auto"/>
        </w:rPr>
        <w:t>During the nine months ended September 30, 2019 and 2020 income from grants with government agencies and similar bodies resulted from the following:</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Coalition for Epidemic Preparedness Innovations (CEPI)</w:t>
      </w:r>
    </w:p>
    <w:p>
      <w:pPr>
        <w:spacing w:after="0" w:line="162" w:lineRule="exact"/>
        <w:rPr>
          <w:sz w:val="20"/>
          <w:szCs w:val="20"/>
          <w:color w:val="auto"/>
        </w:rPr>
      </w:pPr>
    </w:p>
    <w:p>
      <w:pPr>
        <w:ind w:left="1260" w:right="439" w:firstLine="648"/>
        <w:spacing w:after="0" w:line="255" w:lineRule="auto"/>
        <w:rPr>
          <w:sz w:val="20"/>
          <w:szCs w:val="20"/>
          <w:color w:val="auto"/>
        </w:rPr>
      </w:pPr>
      <w:r>
        <w:rPr>
          <w:rFonts w:ascii="Arial" w:cs="Arial" w:eastAsia="Arial" w:hAnsi="Arial"/>
          <w:sz w:val="18"/>
          <w:szCs w:val="18"/>
          <w:color w:val="auto"/>
        </w:rPr>
        <w:t>In January 2020, CureVac and CEPI entered a collaboration to develop a vaccine against the new coronavirus SARS-CoV-2. The aim of the cooperation is to safely advance vaccine candidates into clinical testing as quickly as possible. The agreement builds upon the existing partnership between CureVac and CEPI to develop a rapid-response vaccine platform and included additional initial funding of up to USD 8,300k. In May 2020, CEPI increased its grant award to the Group for SARS-CoV-2 vaccine development to up to USD 15,300k.</w:t>
      </w:r>
    </w:p>
    <w:p>
      <w:pPr>
        <w:spacing w:after="0" w:line="125" w:lineRule="exact"/>
        <w:rPr>
          <w:sz w:val="20"/>
          <w:szCs w:val="20"/>
          <w:color w:val="auto"/>
        </w:rPr>
      </w:pPr>
    </w:p>
    <w:p>
      <w:pPr>
        <w:ind w:left="1260" w:right="439" w:firstLine="648"/>
        <w:spacing w:after="0" w:line="259" w:lineRule="auto"/>
        <w:rPr>
          <w:sz w:val="20"/>
          <w:szCs w:val="20"/>
          <w:color w:val="auto"/>
        </w:rPr>
      </w:pPr>
      <w:r>
        <w:rPr>
          <w:rFonts w:ascii="Arial" w:cs="Arial" w:eastAsia="Arial" w:hAnsi="Arial"/>
          <w:sz w:val="18"/>
          <w:szCs w:val="18"/>
          <w:color w:val="auto"/>
        </w:rPr>
        <w:t>For the nine months ended September 30, 2020, CureVac recognized the reimbursement by CEPI of approved expenses of EUR 10,565k (September 30, 2019: EUR 2,475k) as “other operating income” and EUR 3,233k (September 30, 2019: EUR 1,501k) were deducted from the carrying amount of qualifying assets recorded in property, plant and equipment.</w:t>
      </w:r>
    </w:p>
    <w:p>
      <w:pPr>
        <w:spacing w:after="0" w:line="106" w:lineRule="exact"/>
        <w:rPr>
          <w:sz w:val="20"/>
          <w:szCs w:val="20"/>
          <w:color w:val="auto"/>
        </w:rPr>
      </w:pPr>
    </w:p>
    <w:p>
      <w:pPr>
        <w:ind w:left="1260" w:right="419" w:firstLine="648"/>
        <w:spacing w:after="0" w:line="263" w:lineRule="auto"/>
        <w:rPr>
          <w:sz w:val="20"/>
          <w:szCs w:val="20"/>
          <w:color w:val="auto"/>
        </w:rPr>
      </w:pPr>
      <w:r>
        <w:rPr>
          <w:rFonts w:ascii="Arial" w:cs="Arial" w:eastAsia="Arial" w:hAnsi="Arial"/>
          <w:sz w:val="18"/>
          <w:szCs w:val="18"/>
          <w:color w:val="auto"/>
        </w:rPr>
        <w:t>As of September 30, 2020, EUR 6,713k in grant funds received have been deferred and are presented within other liabilities (December 31, 2019: EUR 2,886k). As of September 30, 2020, the increase in other liabilities (current) was primarily due to additional grant funds received and deferred.</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Bill &amp; Melinda Gates Foundation (BMGF)</w:t>
      </w:r>
    </w:p>
    <w:p>
      <w:pPr>
        <w:spacing w:after="0" w:line="162" w:lineRule="exact"/>
        <w:rPr>
          <w:sz w:val="20"/>
          <w:szCs w:val="20"/>
          <w:color w:val="auto"/>
        </w:rPr>
      </w:pPr>
    </w:p>
    <w:p>
      <w:pPr>
        <w:ind w:left="1260" w:right="439" w:firstLine="648"/>
        <w:spacing w:after="0" w:line="259" w:lineRule="auto"/>
        <w:rPr>
          <w:sz w:val="20"/>
          <w:szCs w:val="20"/>
          <w:color w:val="auto"/>
        </w:rPr>
      </w:pPr>
      <w:r>
        <w:rPr>
          <w:rFonts w:ascii="Arial" w:cs="Arial" w:eastAsia="Arial" w:hAnsi="Arial"/>
          <w:sz w:val="18"/>
          <w:szCs w:val="18"/>
          <w:color w:val="auto"/>
        </w:rPr>
        <w:t>For the nine months ended September 30, 2020, CureVac recognized EUR 449k (September 30, 2019: EUR 765k) from the amortization of the grants on a straight-line basis into other operating income. As of September 30, 2020, EUR 812k in grant funds received have been deferred and presented within other liabilities (December 31, 2019: EUR 1,262k).</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4. Issued Capital and Reserves</w:t>
      </w:r>
    </w:p>
    <w:p>
      <w:pPr>
        <w:spacing w:after="0" w:line="162" w:lineRule="exact"/>
        <w:rPr>
          <w:sz w:val="20"/>
          <w:szCs w:val="20"/>
          <w:color w:val="auto"/>
        </w:rPr>
      </w:pPr>
    </w:p>
    <w:p>
      <w:pPr>
        <w:jc w:val="both"/>
        <w:ind w:left="1260" w:right="619" w:firstLine="648"/>
        <w:spacing w:after="0" w:line="263" w:lineRule="auto"/>
        <w:rPr>
          <w:sz w:val="20"/>
          <w:szCs w:val="20"/>
          <w:color w:val="auto"/>
        </w:rPr>
      </w:pPr>
      <w:r>
        <w:rPr>
          <w:rFonts w:ascii="Arial" w:cs="Arial" w:eastAsia="Arial" w:hAnsi="Arial"/>
          <w:sz w:val="18"/>
          <w:szCs w:val="18"/>
          <w:color w:val="auto"/>
        </w:rPr>
        <w:t>In July 2020, the Group signed investment agreements with various investors to issue 55,688,535 Series B shares in CureVac AG in exchange for an aggregate investment of EUR 559,280k (2020 Private Investment). The shares were issued on July 27, 2020.</w:t>
      </w:r>
    </w:p>
    <w:p>
      <w:pPr>
        <w:spacing w:after="0" w:line="103" w:lineRule="exact"/>
        <w:rPr>
          <w:sz w:val="20"/>
          <w:szCs w:val="20"/>
          <w:color w:val="auto"/>
        </w:rPr>
      </w:pPr>
    </w:p>
    <w:p>
      <w:pPr>
        <w:ind w:left="1260" w:right="479" w:firstLine="648"/>
        <w:spacing w:after="0" w:line="268" w:lineRule="auto"/>
        <w:rPr>
          <w:sz w:val="20"/>
          <w:szCs w:val="20"/>
          <w:color w:val="auto"/>
        </w:rPr>
      </w:pPr>
      <w:r>
        <w:rPr>
          <w:rFonts w:ascii="Arial" w:cs="Arial" w:eastAsia="Arial" w:hAnsi="Arial"/>
          <w:sz w:val="17"/>
          <w:szCs w:val="17"/>
          <w:color w:val="auto"/>
        </w:rPr>
        <w:t>On August 14, 2020, the Group completed its IPO whereby it sold 13,333,333 common shares at a price of USD 16.00 per share. In addition, the underwriters exercised their option to purchase an additional 1,999,999 common shares at the public offering price less the underwriting discount. The aggregate proceeds, net of underwriting discounts, received by the Group from these transactions were USD 228,200k (EUR 192,946k). Additional offering costs for legal, accounting, printing and registration fees of</w:t>
      </w:r>
    </w:p>
    <w:p>
      <w:pPr>
        <w:spacing w:after="0" w:line="3" w:lineRule="exact"/>
        <w:rPr>
          <w:sz w:val="20"/>
          <w:szCs w:val="20"/>
          <w:color w:val="auto"/>
        </w:rPr>
      </w:pPr>
    </w:p>
    <w:p>
      <w:pPr>
        <w:ind w:left="1260" w:right="719"/>
        <w:spacing w:after="0" w:line="260" w:lineRule="auto"/>
        <w:rPr>
          <w:sz w:val="20"/>
          <w:szCs w:val="20"/>
          <w:color w:val="auto"/>
        </w:rPr>
      </w:pPr>
      <w:r>
        <w:rPr>
          <w:rFonts w:ascii="Arial" w:cs="Arial" w:eastAsia="Arial" w:hAnsi="Arial"/>
          <w:sz w:val="18"/>
          <w:szCs w:val="18"/>
          <w:color w:val="auto"/>
        </w:rPr>
        <w:t>USD 5,200k (EUR 4,397k) were recognized as reduction to capital reserve against the proceeds from the IPO.</w:t>
      </w:r>
    </w:p>
    <w:p>
      <w:pPr>
        <w:spacing w:after="0" w:line="118" w:lineRule="exact"/>
        <w:rPr>
          <w:sz w:val="20"/>
          <w:szCs w:val="20"/>
          <w:color w:val="auto"/>
        </w:rPr>
      </w:pPr>
    </w:p>
    <w:p>
      <w:pPr>
        <w:ind w:left="1260" w:right="599" w:firstLine="648"/>
        <w:spacing w:after="0" w:line="263" w:lineRule="auto"/>
        <w:rPr>
          <w:sz w:val="20"/>
          <w:szCs w:val="20"/>
          <w:color w:val="auto"/>
        </w:rPr>
      </w:pPr>
      <w:r>
        <w:rPr>
          <w:rFonts w:ascii="Arial" w:cs="Arial" w:eastAsia="Arial" w:hAnsi="Arial"/>
          <w:sz w:val="18"/>
          <w:szCs w:val="18"/>
          <w:color w:val="auto"/>
        </w:rPr>
        <w:t>Additionally on August 18, 2020, DH-LT Investments, a company beneficially owned by Dietmar Hopp, managing director of dievini, the Group´s largest shareholder, purchased EUR 100,000k of the Company’s common shares at a price of USD 16.00 per share.</w:t>
      </w:r>
    </w:p>
    <w:p>
      <w:pPr>
        <w:spacing w:after="0" w:line="35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27" w:name="page328"/>
    <w:bookmarkEnd w:id="327"/>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59" w:firstLine="648"/>
        <w:spacing w:after="0" w:line="259" w:lineRule="auto"/>
        <w:rPr>
          <w:sz w:val="20"/>
          <w:szCs w:val="20"/>
          <w:color w:val="auto"/>
        </w:rPr>
      </w:pPr>
      <w:r>
        <w:rPr>
          <w:rFonts w:ascii="Arial" w:cs="Arial" w:eastAsia="Arial" w:hAnsi="Arial"/>
          <w:sz w:val="18"/>
          <w:szCs w:val="18"/>
          <w:color w:val="auto"/>
        </w:rPr>
        <w:t>In August and September 2020, the Former Chief Executive Officer exercised 2,809,000 of his share options for the issuance of 2,399,830 common shares of CureVac N.V. for no cash consideration (i.e., cashless exercise). Refer to Note 5 for additional information regarding share-based payments to the Former Chief Executive Officer.</w:t>
      </w:r>
    </w:p>
    <w:p>
      <w:pPr>
        <w:spacing w:after="0" w:line="119" w:lineRule="exact"/>
        <w:rPr>
          <w:sz w:val="20"/>
          <w:szCs w:val="20"/>
          <w:color w:val="auto"/>
        </w:rPr>
      </w:pPr>
    </w:p>
    <w:p>
      <w:pPr>
        <w:ind w:left="1260" w:right="499" w:firstLine="648"/>
        <w:spacing w:after="0" w:line="277" w:lineRule="auto"/>
        <w:rPr>
          <w:sz w:val="20"/>
          <w:szCs w:val="20"/>
          <w:color w:val="auto"/>
        </w:rPr>
      </w:pPr>
      <w:r>
        <w:rPr>
          <w:rFonts w:ascii="Arial" w:cs="Arial" w:eastAsia="Arial" w:hAnsi="Arial"/>
          <w:sz w:val="18"/>
          <w:szCs w:val="18"/>
          <w:color w:val="auto"/>
        </w:rPr>
        <w:t>Additionally, as of December 31, 2019, the Group recognized an equity component of EUR 7,729k of the convertible loan, repaid in the nine months ended September 30, 2020, in equity.</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 Share-based payments</w:t>
      </w:r>
    </w:p>
    <w:p>
      <w:pPr>
        <w:spacing w:after="0" w:line="162" w:lineRule="exact"/>
        <w:rPr>
          <w:sz w:val="20"/>
          <w:szCs w:val="20"/>
          <w:color w:val="auto"/>
        </w:rPr>
      </w:pPr>
    </w:p>
    <w:p>
      <w:pPr>
        <w:ind w:left="1260" w:right="739" w:firstLine="648"/>
        <w:spacing w:after="0" w:line="277" w:lineRule="auto"/>
        <w:rPr>
          <w:sz w:val="20"/>
          <w:szCs w:val="20"/>
          <w:color w:val="auto"/>
        </w:rPr>
      </w:pPr>
      <w:r>
        <w:rPr>
          <w:rFonts w:ascii="Arial" w:cs="Arial" w:eastAsia="Arial" w:hAnsi="Arial"/>
          <w:sz w:val="18"/>
          <w:szCs w:val="18"/>
          <w:color w:val="auto"/>
        </w:rPr>
        <w:t>During the nine months ended September 30, 2020 and 2019, the Group recognized share-based based payments expenses of EUR 7,399k and EUR 6,074k, respectively, as follows:</w:t>
      </w:r>
    </w:p>
    <w:p>
      <w:pPr>
        <w:spacing w:after="0" w:line="121"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1380" w:type="dxa"/>
            <w:vAlign w:val="bottom"/>
            <w:gridSpan w:val="9"/>
          </w:tcPr>
          <w:p>
            <w:pPr>
              <w:jc w:val="center"/>
              <w:ind w:left="82"/>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86"/>
        </w:trPr>
        <w:tc>
          <w:tcPr>
            <w:tcW w:w="6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26"/>
        </w:trPr>
        <w:tc>
          <w:tcPr>
            <w:tcW w:w="6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6100" w:type="dxa"/>
            <w:vAlign w:val="bottom"/>
          </w:tcPr>
          <w:p>
            <w:pPr>
              <w:spacing w:after="0"/>
              <w:rPr>
                <w:sz w:val="17"/>
                <w:szCs w:val="17"/>
                <w:color w:val="auto"/>
              </w:rPr>
            </w:pPr>
          </w:p>
        </w:tc>
        <w:tc>
          <w:tcPr>
            <w:tcW w:w="660" w:type="dxa"/>
            <w:vAlign w:val="bottom"/>
            <w:gridSpan w:val="3"/>
          </w:tcPr>
          <w:p>
            <w:pPr>
              <w:jc w:val="center"/>
              <w:ind w:left="182"/>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6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6"/>
              </w:rPr>
              <w:t>EUR k</w:t>
            </w:r>
          </w:p>
        </w:tc>
        <w:tc>
          <w:tcPr>
            <w:tcW w:w="460" w:type="dxa"/>
            <w:vAlign w:val="bottom"/>
            <w:gridSpan w:val="2"/>
          </w:tcPr>
          <w:p>
            <w:pPr>
              <w:jc w:val="center"/>
              <w:spacing w:after="0"/>
              <w:rPr>
                <w:sz w:val="20"/>
                <w:szCs w:val="20"/>
                <w:color w:val="auto"/>
              </w:rPr>
            </w:pPr>
            <w:r>
              <w:rPr>
                <w:rFonts w:ascii="Arial" w:cs="Arial" w:eastAsia="Arial" w:hAnsi="Arial"/>
                <w:sz w:val="14"/>
                <w:szCs w:val="14"/>
                <w:b w:val="1"/>
                <w:bCs w:val="1"/>
                <w:color w:val="auto"/>
              </w:rPr>
              <w:t>EUR k</w:t>
            </w:r>
          </w:p>
        </w:tc>
        <w:tc>
          <w:tcPr>
            <w:tcW w:w="0" w:type="dxa"/>
            <w:vAlign w:val="bottom"/>
          </w:tcPr>
          <w:p>
            <w:pPr>
              <w:spacing w:after="0"/>
              <w:rPr>
                <w:sz w:val="1"/>
                <w:szCs w:val="1"/>
                <w:color w:val="auto"/>
              </w:rPr>
            </w:pPr>
          </w:p>
        </w:tc>
      </w:tr>
      <w:tr>
        <w:trPr>
          <w:trHeight w:val="26"/>
        </w:trPr>
        <w:tc>
          <w:tcPr>
            <w:tcW w:w="6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8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2,985</w:t>
            </w:r>
          </w:p>
        </w:tc>
        <w:tc>
          <w:tcPr>
            <w:tcW w:w="0" w:type="dxa"/>
            <w:vAlign w:val="bottom"/>
          </w:tcPr>
          <w:p>
            <w:pPr>
              <w:spacing w:after="0"/>
              <w:rPr>
                <w:sz w:val="1"/>
                <w:szCs w:val="1"/>
                <w:color w:val="auto"/>
              </w:rPr>
            </w:pPr>
          </w:p>
        </w:tc>
      </w:tr>
      <w:tr>
        <w:trPr>
          <w:trHeight w:val="257"/>
        </w:trPr>
        <w:tc>
          <w:tcPr>
            <w:tcW w:w="610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gridSpan w:val="5"/>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63"/>
        </w:trPr>
        <w:tc>
          <w:tcPr>
            <w:tcW w:w="6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Borders>
              <w:bottom w:val="single" w:sz="8" w:color="CCEEFF"/>
            </w:tcBorders>
            <w:gridSpan w:val="2"/>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6,074</w:t>
            </w: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3,947</w:t>
            </w:r>
          </w:p>
        </w:tc>
        <w:tc>
          <w:tcPr>
            <w:tcW w:w="0" w:type="dxa"/>
            <w:vAlign w:val="bottom"/>
          </w:tcPr>
          <w:p>
            <w:pPr>
              <w:spacing w:after="0"/>
              <w:rPr>
                <w:sz w:val="1"/>
                <w:szCs w:val="1"/>
                <w:color w:val="auto"/>
              </w:rPr>
            </w:pPr>
          </w:p>
        </w:tc>
      </w:tr>
      <w:tr>
        <w:trPr>
          <w:trHeight w:val="263"/>
        </w:trPr>
        <w:tc>
          <w:tcPr>
            <w:tcW w:w="61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60" w:type="dxa"/>
            <w:vAlign w:val="bottom"/>
            <w:gridSpan w:val="3"/>
          </w:tcPr>
          <w:p>
            <w:pPr>
              <w:jc w:val="right"/>
              <w:spacing w:after="0"/>
              <w:rPr>
                <w:sz w:val="20"/>
                <w:szCs w:val="20"/>
                <w:color w:val="auto"/>
              </w:rPr>
            </w:pPr>
            <w:r>
              <w:rPr>
                <w:rFonts w:ascii="Arial" w:cs="Arial" w:eastAsia="Arial" w:hAnsi="Arial"/>
                <w:sz w:val="18"/>
                <w:szCs w:val="18"/>
                <w:b w:val="1"/>
                <w:bCs w:val="1"/>
                <w:color w:val="auto"/>
              </w:rPr>
              <w:t>6,074</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7,399</w:t>
            </w:r>
          </w:p>
        </w:tc>
        <w:tc>
          <w:tcPr>
            <w:tcW w:w="0" w:type="dxa"/>
            <w:vAlign w:val="bottom"/>
          </w:tcPr>
          <w:p>
            <w:pPr>
              <w:spacing w:after="0"/>
              <w:rPr>
                <w:sz w:val="1"/>
                <w:szCs w:val="1"/>
                <w:color w:val="auto"/>
              </w:rPr>
            </w:pPr>
          </w:p>
        </w:tc>
      </w:tr>
      <w:tr>
        <w:trPr>
          <w:trHeight w:val="20"/>
        </w:trPr>
        <w:tc>
          <w:tcPr>
            <w:tcW w:w="6100" w:type="dxa"/>
            <w:vAlign w:val="bottom"/>
            <w:vMerge w:val="restart"/>
          </w:tcPr>
          <w:p>
            <w:pPr>
              <w:ind w:left="280"/>
              <w:spacing w:after="0"/>
              <w:rPr>
                <w:sz w:val="20"/>
                <w:szCs w:val="20"/>
                <w:color w:val="auto"/>
              </w:rPr>
            </w:pPr>
            <w:r>
              <w:rPr>
                <w:rFonts w:ascii="Arial" w:cs="Arial" w:eastAsia="Arial" w:hAnsi="Arial"/>
                <w:sz w:val="18"/>
                <w:szCs w:val="18"/>
                <w:color w:val="auto"/>
              </w:rPr>
              <w:t>Expense recognized for the programs was as follows:</w:t>
            </w: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1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6100" w:type="dxa"/>
            <w:vAlign w:val="bottom"/>
          </w:tcPr>
          <w:p>
            <w:pPr>
              <w:spacing w:after="0"/>
              <w:rPr>
                <w:sz w:val="24"/>
                <w:szCs w:val="24"/>
                <w:color w:val="auto"/>
              </w:rPr>
            </w:pPr>
          </w:p>
        </w:tc>
        <w:tc>
          <w:tcPr>
            <w:tcW w:w="1380" w:type="dxa"/>
            <w:vAlign w:val="bottom"/>
            <w:gridSpan w:val="9"/>
          </w:tcPr>
          <w:p>
            <w:pPr>
              <w:jc w:val="center"/>
              <w:ind w:left="82"/>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86"/>
        </w:trPr>
        <w:tc>
          <w:tcPr>
            <w:tcW w:w="6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25"/>
        </w:trPr>
        <w:tc>
          <w:tcPr>
            <w:tcW w:w="6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6100" w:type="dxa"/>
            <w:vAlign w:val="bottom"/>
          </w:tcPr>
          <w:p>
            <w:pPr>
              <w:spacing w:after="0"/>
              <w:rPr>
                <w:sz w:val="20"/>
                <w:szCs w:val="20"/>
                <w:color w:val="auto"/>
              </w:rPr>
            </w:pPr>
            <w:r>
              <w:rPr>
                <w:rFonts w:ascii="Arial" w:cs="Arial" w:eastAsia="Arial" w:hAnsi="Arial"/>
                <w:sz w:val="14"/>
                <w:szCs w:val="14"/>
                <w:b w:val="1"/>
                <w:bCs w:val="1"/>
                <w:color w:val="auto"/>
              </w:rPr>
              <w:t>Program</w:t>
            </w:r>
          </w:p>
        </w:tc>
        <w:tc>
          <w:tcPr>
            <w:tcW w:w="660" w:type="dxa"/>
            <w:vAlign w:val="bottom"/>
            <w:gridSpan w:val="3"/>
          </w:tcPr>
          <w:p>
            <w:pPr>
              <w:jc w:val="center"/>
              <w:ind w:left="142"/>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6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6"/>
              </w:rPr>
              <w:t>EUR k</w:t>
            </w:r>
          </w:p>
        </w:tc>
        <w:tc>
          <w:tcPr>
            <w:tcW w:w="4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EUR k</w:t>
            </w:r>
          </w:p>
        </w:tc>
        <w:tc>
          <w:tcPr>
            <w:tcW w:w="0" w:type="dxa"/>
            <w:vAlign w:val="bottom"/>
          </w:tcPr>
          <w:p>
            <w:pPr>
              <w:spacing w:after="0"/>
              <w:rPr>
                <w:sz w:val="1"/>
                <w:szCs w:val="1"/>
                <w:color w:val="auto"/>
              </w:rPr>
            </w:pPr>
          </w:p>
        </w:tc>
      </w:tr>
      <w:tr>
        <w:trPr>
          <w:trHeight w:val="25"/>
        </w:trPr>
        <w:tc>
          <w:tcPr>
            <w:tcW w:w="6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Former Chief Executive Officer Grant</w:t>
            </w:r>
          </w:p>
        </w:tc>
        <w:tc>
          <w:tcPr>
            <w:tcW w:w="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8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2,551</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100" w:type="dxa"/>
            <w:vAlign w:val="bottom"/>
          </w:tcPr>
          <w:p>
            <w:pPr>
              <w:spacing w:after="0"/>
              <w:rPr>
                <w:sz w:val="20"/>
                <w:szCs w:val="20"/>
                <w:color w:val="auto"/>
              </w:rPr>
            </w:pPr>
            <w:r>
              <w:rPr>
                <w:rFonts w:ascii="Arial" w:cs="Arial" w:eastAsia="Arial" w:hAnsi="Arial"/>
                <w:sz w:val="18"/>
                <w:szCs w:val="18"/>
                <w:color w:val="auto"/>
              </w:rPr>
              <w:t>New VSOP</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gridSpan w:val="5"/>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1,327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Prior VSOP</w:t>
            </w:r>
          </w:p>
        </w:tc>
        <w:tc>
          <w:tcPr>
            <w:tcW w:w="240" w:type="dxa"/>
            <w:vAlign w:val="bottom"/>
            <w:tcBorders>
              <w:bottom w:val="single" w:sz="8" w:color="CCEEFF"/>
            </w:tcBorders>
            <w:gridSpan w:val="2"/>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6,074</w:t>
            </w: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3,521</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1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60" w:type="dxa"/>
            <w:vAlign w:val="bottom"/>
            <w:gridSpan w:val="3"/>
          </w:tcPr>
          <w:p>
            <w:pPr>
              <w:jc w:val="right"/>
              <w:spacing w:after="0"/>
              <w:rPr>
                <w:sz w:val="20"/>
                <w:szCs w:val="20"/>
                <w:color w:val="auto"/>
              </w:rPr>
            </w:pPr>
            <w:r>
              <w:rPr>
                <w:rFonts w:ascii="Arial" w:cs="Arial" w:eastAsia="Arial" w:hAnsi="Arial"/>
                <w:sz w:val="18"/>
                <w:szCs w:val="18"/>
                <w:b w:val="1"/>
                <w:bCs w:val="1"/>
                <w:color w:val="auto"/>
              </w:rPr>
              <w:t>6,074</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jc w:val="center"/>
              <w:spacing w:after="0"/>
              <w:rPr>
                <w:sz w:val="20"/>
                <w:szCs w:val="20"/>
                <w:color w:val="auto"/>
              </w:rPr>
            </w:pPr>
            <w:r>
              <w:rPr>
                <w:rFonts w:ascii="Arial" w:cs="Arial" w:eastAsia="Arial" w:hAnsi="Arial"/>
                <w:sz w:val="18"/>
                <w:szCs w:val="18"/>
                <w:b w:val="1"/>
                <w:bCs w:val="1"/>
                <w:color w:val="auto"/>
                <w:w w:val="88"/>
              </w:rPr>
              <w:t>7,399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5755005</wp:posOffset>
            </wp:positionH>
            <wp:positionV relativeFrom="paragraph">
              <wp:posOffset>-205105</wp:posOffset>
            </wp:positionV>
            <wp:extent cx="26035"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209" w:lineRule="exact"/>
        <w:rPr>
          <w:sz w:val="20"/>
          <w:szCs w:val="20"/>
          <w:color w:val="auto"/>
        </w:rPr>
      </w:pPr>
    </w:p>
    <w:p>
      <w:pPr>
        <w:ind w:left="1260" w:right="439" w:firstLine="648"/>
        <w:spacing w:after="0" w:line="257" w:lineRule="auto"/>
        <w:rPr>
          <w:sz w:val="20"/>
          <w:szCs w:val="20"/>
          <w:color w:val="auto"/>
        </w:rPr>
      </w:pPr>
      <w:r>
        <w:rPr>
          <w:rFonts w:ascii="Arial" w:cs="Arial" w:eastAsia="Arial" w:hAnsi="Arial"/>
          <w:sz w:val="18"/>
          <w:szCs w:val="18"/>
          <w:color w:val="auto"/>
        </w:rPr>
        <w:t>EUR 2,551k recognized in general and administrative expenses during the nine-month period ended September 30, 2020, resulted from the 805,520 unvested awards, granted to the Former Chief Executive Officer Grant, immediately vesting in March 2020 due to the discontinuation of his service contract. The remaining expense results from additional grants under the New VSOP and continued vesting of grants under the Prior VSOP.</w:t>
      </w:r>
    </w:p>
    <w:p>
      <w:pPr>
        <w:spacing w:after="0" w:line="120" w:lineRule="exact"/>
        <w:rPr>
          <w:sz w:val="20"/>
          <w:szCs w:val="20"/>
          <w:color w:val="auto"/>
        </w:rPr>
      </w:pPr>
    </w:p>
    <w:p>
      <w:pPr>
        <w:ind w:left="1260" w:right="599" w:firstLine="648"/>
        <w:spacing w:after="0" w:line="286" w:lineRule="auto"/>
        <w:rPr>
          <w:sz w:val="20"/>
          <w:szCs w:val="20"/>
          <w:color w:val="auto"/>
        </w:rPr>
      </w:pPr>
      <w:r>
        <w:rPr>
          <w:rFonts w:ascii="Arial" w:cs="Arial" w:eastAsia="Arial" w:hAnsi="Arial"/>
          <w:sz w:val="17"/>
          <w:szCs w:val="17"/>
          <w:color w:val="auto"/>
        </w:rPr>
        <w:t>For the nine months ended September 30, 2019, share-based payment expenses of EUR 6,074k resulted entirely from the grant of an equity-settled share-based payment in the second quarter 2019 to the Chief Financial Officer (CFO) of CureVac and were recorded to general and administrative expenses.</w:t>
      </w:r>
    </w:p>
    <w:p>
      <w:pPr>
        <w:spacing w:after="0" w:line="98" w:lineRule="exact"/>
        <w:rPr>
          <w:sz w:val="20"/>
          <w:szCs w:val="20"/>
          <w:color w:val="auto"/>
        </w:rPr>
      </w:pPr>
    </w:p>
    <w:p>
      <w:pPr>
        <w:ind w:left="1260" w:right="799" w:firstLine="648"/>
        <w:spacing w:after="0" w:line="259" w:lineRule="auto"/>
        <w:rPr>
          <w:sz w:val="20"/>
          <w:szCs w:val="20"/>
          <w:color w:val="auto"/>
        </w:rPr>
      </w:pPr>
      <w:r>
        <w:rPr>
          <w:rFonts w:ascii="Arial" w:cs="Arial" w:eastAsia="Arial" w:hAnsi="Arial"/>
          <w:sz w:val="18"/>
          <w:szCs w:val="18"/>
          <w:color w:val="auto"/>
        </w:rPr>
        <w:t>On August 14, 2020, the Company filed with the SEC a registration statement on Form S-8 registering common shares, issuable pursuant to the CureVac N.V. Long-Term Incentive Plan and the CureVac Virtual Share Plan, both of which became effective following the corporate reorganization and IPO.</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Exercise of share-based payments</w:t>
      </w:r>
    </w:p>
    <w:p>
      <w:pPr>
        <w:spacing w:after="0" w:line="148" w:lineRule="exact"/>
        <w:rPr>
          <w:sz w:val="20"/>
          <w:szCs w:val="20"/>
          <w:color w:val="auto"/>
        </w:rPr>
      </w:pPr>
    </w:p>
    <w:p>
      <w:pPr>
        <w:ind w:left="1260" w:right="659" w:firstLine="648"/>
        <w:spacing w:after="0" w:line="257" w:lineRule="auto"/>
        <w:rPr>
          <w:sz w:val="20"/>
          <w:szCs w:val="20"/>
          <w:color w:val="auto"/>
        </w:rPr>
      </w:pPr>
      <w:r>
        <w:rPr>
          <w:rFonts w:ascii="Arial" w:cs="Arial" w:eastAsia="Arial" w:hAnsi="Arial"/>
          <w:sz w:val="18"/>
          <w:szCs w:val="18"/>
          <w:color w:val="auto"/>
        </w:rPr>
        <w:t>Following the corporate reorganization, the Former Chief Executive Officer held 3,866,309 fully vested share options. Between August 2020 and September 2020, he exercised 2,809,000 of these share options for the issuance of 2,399,830 common shares of CureVac N.V. (see also Note 4, above) for no consideration (i.e., cashless exercise). Consequently, as of September 30, 2020, 1,057,309 of his share options were still outstanding and exercisable.</w:t>
      </w:r>
    </w:p>
    <w:p>
      <w:pPr>
        <w:sectPr>
          <w:pgSz w:w="11900" w:h="16838" w:orient="portrait"/>
          <w:cols w:equalWidth="0" w:num="1">
            <w:col w:w="9879"/>
          </w:cols>
          <w:pgMar w:left="580" w:top="131" w:right="1440" w:bottom="1440" w:gutter="0" w:footer="0" w:header="0"/>
        </w:sectPr>
      </w:pPr>
    </w:p>
    <w:p>
      <w:pPr>
        <w:spacing w:after="0" w:line="37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28" w:name="page329"/>
    <w:bookmarkEnd w:id="328"/>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599" w:firstLine="648"/>
        <w:spacing w:after="0" w:line="259" w:lineRule="auto"/>
        <w:rPr>
          <w:sz w:val="20"/>
          <w:szCs w:val="20"/>
          <w:color w:val="auto"/>
        </w:rPr>
      </w:pPr>
      <w:r>
        <w:rPr>
          <w:rFonts w:ascii="Arial" w:cs="Arial" w:eastAsia="Arial" w:hAnsi="Arial"/>
          <w:sz w:val="18"/>
          <w:szCs w:val="18"/>
          <w:color w:val="auto"/>
        </w:rPr>
        <w:t>As of the IPO, 7,564,231 options under the Old VSOP and 331,378 options under the New VSOP became exercisable. As of September 30, 2020, 10% of each award under the Prior VSOP is exercisable upon expiry of the 180 day lock-up period following the closing of the IPO, which will occur at the end of February 9, 2021.</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6. Fixed Assets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6.1 Intangible assets</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During the nine months ended September 30, 2020, the Group acquired intangible assets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EUR 5,879k (nine months ended September 30, 2019: EUR 681k). Of this amount, EUR 4,220k related to</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one intangible asset and extended the Company’s rights to access a third party’s LNP formulation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technology for a useful life of 10 years. The remaining acquisitions during the nine months ended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September 30, 2020 and 2019 mainly related to licenses and similar rights.</w:t>
      </w: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6.2 Property, plant and equipment</w:t>
      </w:r>
    </w:p>
    <w:p>
      <w:pPr>
        <w:spacing w:after="0" w:line="158" w:lineRule="exact"/>
        <w:rPr>
          <w:sz w:val="20"/>
          <w:szCs w:val="20"/>
          <w:color w:val="auto"/>
        </w:rPr>
      </w:pPr>
    </w:p>
    <w:p>
      <w:pPr>
        <w:ind w:left="1260" w:right="439" w:firstLine="648"/>
        <w:spacing w:after="0" w:line="279" w:lineRule="auto"/>
        <w:rPr>
          <w:sz w:val="20"/>
          <w:szCs w:val="20"/>
          <w:color w:val="auto"/>
        </w:rPr>
      </w:pPr>
      <w:r>
        <w:rPr>
          <w:rFonts w:ascii="Arial" w:cs="Arial" w:eastAsia="Arial" w:hAnsi="Arial"/>
          <w:sz w:val="17"/>
          <w:szCs w:val="17"/>
          <w:color w:val="auto"/>
        </w:rPr>
        <w:t>During the nine months ended September 30, 2020, the increase in property, plant and equipment was due primarily to the purchase of technical equipment and machines and other equipment of EUR 5,013k (September 30, 2019: EUR 1,953k) as well as additional amounts recognized as construction in progress of EUR 9,424k (nine months ended September 30, 2019: EUR 4,379k) for the Company’s GMP facilities.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6.3 Right-of-use assets and lease liabilities</w:t>
      </w:r>
    </w:p>
    <w:p>
      <w:pPr>
        <w:spacing w:after="0" w:line="144" w:lineRule="exact"/>
        <w:rPr>
          <w:sz w:val="20"/>
          <w:szCs w:val="20"/>
          <w:color w:val="auto"/>
        </w:rPr>
      </w:pPr>
    </w:p>
    <w:p>
      <w:pPr>
        <w:ind w:left="1260" w:right="719" w:firstLine="648"/>
        <w:spacing w:after="0" w:line="263" w:lineRule="auto"/>
        <w:rPr>
          <w:sz w:val="20"/>
          <w:szCs w:val="20"/>
          <w:color w:val="auto"/>
        </w:rPr>
      </w:pPr>
      <w:r>
        <w:rPr>
          <w:rFonts w:ascii="Arial" w:cs="Arial" w:eastAsia="Arial" w:hAnsi="Arial"/>
          <w:sz w:val="18"/>
          <w:szCs w:val="18"/>
          <w:color w:val="auto"/>
        </w:rPr>
        <w:t>During the nine months ended September 30, 2020, the increase of EUR 21,082k in right-of-use assets and lease liabilities was primarily due to the IFRS 16 accounting for the commencement of lease agreements.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6.4 Non-current other assets</w:t>
      </w:r>
    </w:p>
    <w:p>
      <w:pPr>
        <w:spacing w:after="0" w:line="158" w:lineRule="exact"/>
        <w:rPr>
          <w:sz w:val="20"/>
          <w:szCs w:val="20"/>
          <w:color w:val="auto"/>
        </w:rPr>
      </w:pPr>
    </w:p>
    <w:p>
      <w:pPr>
        <w:ind w:left="1260" w:right="439" w:firstLine="648"/>
        <w:spacing w:after="0" w:line="263" w:lineRule="auto"/>
        <w:rPr>
          <w:sz w:val="20"/>
          <w:szCs w:val="20"/>
          <w:color w:val="auto"/>
        </w:rPr>
      </w:pPr>
      <w:r>
        <w:rPr>
          <w:rFonts w:ascii="Arial" w:cs="Arial" w:eastAsia="Arial" w:hAnsi="Arial"/>
          <w:sz w:val="18"/>
          <w:szCs w:val="18"/>
          <w:color w:val="auto"/>
        </w:rPr>
        <w:t>During the nine months ended September 30, 2020, the decrease of the non-current other assets was due primarily to the transfer of a lease deposit payment of EUR 4,722k, associated with a new lease, to right-of-use assets in accordance with IFRS 16.</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7. Prepaid expenses and other assets (current)</w:t>
      </w:r>
    </w:p>
    <w:p>
      <w:pPr>
        <w:spacing w:after="0" w:line="162" w:lineRule="exact"/>
        <w:rPr>
          <w:sz w:val="20"/>
          <w:szCs w:val="20"/>
          <w:color w:val="auto"/>
        </w:rPr>
      </w:pPr>
    </w:p>
    <w:p>
      <w:pPr>
        <w:ind w:left="1260" w:right="599" w:firstLine="648"/>
        <w:spacing w:after="0" w:line="279" w:lineRule="auto"/>
        <w:rPr>
          <w:sz w:val="20"/>
          <w:szCs w:val="20"/>
          <w:color w:val="auto"/>
        </w:rPr>
      </w:pPr>
      <w:r>
        <w:rPr>
          <w:rFonts w:ascii="Arial" w:cs="Arial" w:eastAsia="Arial" w:hAnsi="Arial"/>
          <w:sz w:val="17"/>
          <w:szCs w:val="17"/>
          <w:color w:val="auto"/>
        </w:rPr>
        <w:t>During the nine months ended September 30, 2020, the Group recognized EUR 17,486k due primarily to advance payments to CROs and CMOs involved in the CVnCoV development; this increase was partly offset by the reclassification of 4,257k in deferred costs of an equity transaction, upon the IPO, from prepaid expenses and other assets to capital reserve in the statement of financial position.</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8. Inventories</w:t>
      </w:r>
    </w:p>
    <w:p>
      <w:pPr>
        <w:spacing w:after="0" w:line="148" w:lineRule="exact"/>
        <w:rPr>
          <w:sz w:val="20"/>
          <w:szCs w:val="20"/>
          <w:color w:val="auto"/>
        </w:rPr>
      </w:pPr>
    </w:p>
    <w:p>
      <w:pPr>
        <w:ind w:left="1260" w:right="839" w:firstLine="648"/>
        <w:spacing w:after="0" w:line="263" w:lineRule="auto"/>
        <w:rPr>
          <w:sz w:val="20"/>
          <w:szCs w:val="20"/>
          <w:color w:val="auto"/>
        </w:rPr>
      </w:pPr>
      <w:r>
        <w:rPr>
          <w:rFonts w:ascii="Arial" w:cs="Arial" w:eastAsia="Arial" w:hAnsi="Arial"/>
          <w:sz w:val="18"/>
          <w:szCs w:val="18"/>
          <w:color w:val="auto"/>
        </w:rPr>
        <w:t>During the nine months ended September 30, 2020, inventory write-downs of EUR 7,376k, (September 30, 2019: 1,504k) were recognized in research and development expenses as the associated materials were repurposed for internal R&amp;D initiatives.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9. Financial assets and financial liabilities</w:t>
      </w:r>
    </w:p>
    <w:p>
      <w:pPr>
        <w:spacing w:after="0" w:line="162" w:lineRule="exact"/>
        <w:rPr>
          <w:sz w:val="20"/>
          <w:szCs w:val="20"/>
          <w:color w:val="auto"/>
        </w:rPr>
      </w:pPr>
    </w:p>
    <w:p>
      <w:pPr>
        <w:ind w:left="1260" w:right="539" w:firstLine="648"/>
        <w:spacing w:after="0" w:line="308" w:lineRule="auto"/>
        <w:rPr>
          <w:sz w:val="20"/>
          <w:szCs w:val="20"/>
          <w:color w:val="auto"/>
        </w:rPr>
      </w:pPr>
      <w:r>
        <w:rPr>
          <w:rFonts w:ascii="Arial" w:cs="Arial" w:eastAsia="Arial" w:hAnsi="Arial"/>
          <w:sz w:val="17"/>
          <w:szCs w:val="17"/>
          <w:color w:val="auto"/>
        </w:rPr>
        <w:t>Fair values of cash and cash equivalents, trade receivables, trade payables, and other current liabilities approximate their carrying amounts largely due to the short-term maturities of these instruments.</w:t>
      </w:r>
    </w:p>
    <w:p>
      <w:pPr>
        <w:spacing w:after="0" w:line="79" w:lineRule="exact"/>
        <w:rPr>
          <w:sz w:val="20"/>
          <w:szCs w:val="20"/>
          <w:color w:val="auto"/>
        </w:rPr>
      </w:pPr>
    </w:p>
    <w:p>
      <w:pPr>
        <w:ind w:left="1260" w:right="479" w:firstLine="648"/>
        <w:spacing w:after="0" w:line="308" w:lineRule="auto"/>
        <w:rPr>
          <w:sz w:val="20"/>
          <w:szCs w:val="20"/>
          <w:color w:val="auto"/>
        </w:rPr>
      </w:pPr>
      <w:r>
        <w:rPr>
          <w:rFonts w:ascii="Arial" w:cs="Arial" w:eastAsia="Arial" w:hAnsi="Arial"/>
          <w:sz w:val="17"/>
          <w:szCs w:val="17"/>
          <w:color w:val="auto"/>
        </w:rPr>
        <w:t>There were no transfers between Level 1 and Level 2 fair value measurements and no transfers into or out of Level 3 fair value measurements during the nine months ended September 30, 2020 or 2019.</w:t>
      </w:r>
    </w:p>
    <w:p>
      <w:pPr>
        <w:spacing w:after="0" w:line="65" w:lineRule="exact"/>
        <w:rPr>
          <w:sz w:val="20"/>
          <w:szCs w:val="20"/>
          <w:color w:val="auto"/>
        </w:rPr>
      </w:pPr>
    </w:p>
    <w:p>
      <w:pPr>
        <w:ind w:left="1260" w:right="759" w:firstLine="648"/>
        <w:spacing w:after="0" w:line="342" w:lineRule="auto"/>
        <w:rPr>
          <w:sz w:val="20"/>
          <w:szCs w:val="20"/>
          <w:color w:val="auto"/>
        </w:rPr>
      </w:pPr>
      <w:r>
        <w:rPr>
          <w:rFonts w:ascii="Arial" w:cs="Arial" w:eastAsia="Arial" w:hAnsi="Arial"/>
          <w:sz w:val="16"/>
          <w:szCs w:val="16"/>
          <w:color w:val="auto"/>
        </w:rPr>
        <w:t>During the nine months ended September 30, 2020 and 2019, EUR 199k and EUR 143k, respectively, in expected credit losses on cash and cash equivalents were recognized in finance expense.</w:t>
      </w:r>
    </w:p>
    <w:p>
      <w:pPr>
        <w:spacing w:after="0" w:line="31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29" w:name="page330"/>
    <w:bookmarkEnd w:id="329"/>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10. Trade and other payables</w:t>
      </w:r>
    </w:p>
    <w:p>
      <w:pPr>
        <w:spacing w:after="0" w:line="148" w:lineRule="exact"/>
        <w:rPr>
          <w:sz w:val="20"/>
          <w:szCs w:val="20"/>
          <w:color w:val="auto"/>
        </w:rPr>
      </w:pPr>
    </w:p>
    <w:p>
      <w:pPr>
        <w:ind w:left="1260" w:right="479" w:firstLine="648"/>
        <w:spacing w:after="0" w:line="270" w:lineRule="auto"/>
        <w:rPr>
          <w:sz w:val="20"/>
          <w:szCs w:val="20"/>
          <w:color w:val="auto"/>
        </w:rPr>
      </w:pPr>
      <w:r>
        <w:rPr>
          <w:rFonts w:ascii="Arial" w:cs="Arial" w:eastAsia="Arial" w:hAnsi="Arial"/>
          <w:sz w:val="17"/>
          <w:szCs w:val="17"/>
          <w:color w:val="auto"/>
        </w:rPr>
        <w:t>During the nine months ended September 30, 2020, the increase of EUR 43,749k in trade and other payables was primarily due to billings from CROs and CMOs involved in the CVnCoV development and taxes collected upon share-based payments option exercises and to be remitted to taxing authorities.</w:t>
      </w:r>
    </w:p>
    <w:p>
      <w:pPr>
        <w:spacing w:after="0" w:line="83"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As of September 30, 2020, the Company had non-cancelable contractual obligations of</w:t>
      </w:r>
    </w:p>
    <w:p>
      <w:pPr>
        <w:spacing w:after="0" w:line="12" w:lineRule="exact"/>
        <w:rPr>
          <w:sz w:val="20"/>
          <w:szCs w:val="20"/>
          <w:color w:val="auto"/>
        </w:rPr>
      </w:pPr>
    </w:p>
    <w:p>
      <w:pPr>
        <w:ind w:left="1260" w:right="759"/>
        <w:spacing w:after="0" w:line="243" w:lineRule="auto"/>
        <w:rPr>
          <w:sz w:val="20"/>
          <w:szCs w:val="20"/>
          <w:color w:val="auto"/>
        </w:rPr>
      </w:pPr>
      <w:r>
        <w:rPr>
          <w:rFonts w:ascii="Arial" w:cs="Arial" w:eastAsia="Arial" w:hAnsi="Arial"/>
          <w:sz w:val="18"/>
          <w:szCs w:val="18"/>
          <w:color w:val="auto"/>
        </w:rPr>
        <w:t>EUR 18,233k relating to CMO services, for which no amounts are recorded in the statement of financial position.</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11. Loans</w:t>
      </w:r>
    </w:p>
    <w:p>
      <w:pPr>
        <w:spacing w:after="0" w:line="148" w:lineRule="exact"/>
        <w:rPr>
          <w:sz w:val="20"/>
          <w:szCs w:val="20"/>
          <w:color w:val="auto"/>
        </w:rPr>
      </w:pPr>
    </w:p>
    <w:p>
      <w:pPr>
        <w:ind w:left="1260" w:right="439" w:firstLine="648"/>
        <w:spacing w:after="0" w:line="239" w:lineRule="auto"/>
        <w:rPr>
          <w:sz w:val="20"/>
          <w:szCs w:val="20"/>
          <w:color w:val="auto"/>
        </w:rPr>
      </w:pPr>
      <w:r>
        <w:rPr>
          <w:rFonts w:ascii="Arial" w:cs="Arial" w:eastAsia="Arial" w:hAnsi="Arial"/>
          <w:sz w:val="18"/>
          <w:szCs w:val="18"/>
          <w:color w:val="auto"/>
        </w:rPr>
        <w:t>As of December 31, 2019, CureVac had been granted two convertible loan facilities (i.e., First Loan and Second Loan) by Dietmar Hopp. On June 26, 2020, CureVac drew down the second tranche of the Second Loan in the amount of USD 26,800k (EUR 24,860k). On July 24, 2020, the First Loan and Second Loan were terminated and on August 7, 2020, the total principal of EUR 94,749k and total accrued interest of EUR 5,641k were repaid in full. During the nine months ended September 30, 2020, EUR 11,008k of interest expense, inclusive of EUR 5,194k which resulted from the early termination of the First Loan and Second Loan (September 30, 2019: EUR 894k), was recognized.</w:t>
      </w:r>
    </w:p>
    <w:p>
      <w:pPr>
        <w:spacing w:after="0" w:line="123" w:lineRule="exact"/>
        <w:rPr>
          <w:sz w:val="20"/>
          <w:szCs w:val="20"/>
          <w:color w:val="auto"/>
        </w:rPr>
      </w:pPr>
    </w:p>
    <w:p>
      <w:pPr>
        <w:ind w:left="1260" w:right="519" w:firstLine="648"/>
        <w:spacing w:after="0" w:line="262" w:lineRule="auto"/>
        <w:rPr>
          <w:sz w:val="20"/>
          <w:szCs w:val="20"/>
          <w:color w:val="auto"/>
        </w:rPr>
      </w:pPr>
      <w:r>
        <w:rPr>
          <w:rFonts w:ascii="Arial" w:cs="Arial" w:eastAsia="Arial" w:hAnsi="Arial"/>
          <w:sz w:val="17"/>
          <w:szCs w:val="17"/>
          <w:color w:val="auto"/>
        </w:rPr>
        <w:t>In June 2020, the Group entered a loan agreement with the European Investment Bank (EIB) for EUR 75,000k for the development and large-scale production of vaccines. This loan will also support the Group’s activities to complete its GMP IV production facility in Tuebingen, Germany. As of September 30, 2020, no drawdowns on this loan had been made and thus no amount was outstanding.</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12. Income tax</w:t>
      </w:r>
    </w:p>
    <w:p>
      <w:pPr>
        <w:spacing w:after="0" w:line="135" w:lineRule="exact"/>
        <w:rPr>
          <w:sz w:val="20"/>
          <w:szCs w:val="20"/>
          <w:color w:val="auto"/>
        </w:rPr>
      </w:pPr>
    </w:p>
    <w:p>
      <w:pPr>
        <w:ind w:left="1260" w:right="459" w:firstLine="648"/>
        <w:spacing w:after="0" w:line="257" w:lineRule="auto"/>
        <w:rPr>
          <w:sz w:val="20"/>
          <w:szCs w:val="20"/>
          <w:color w:val="auto"/>
        </w:rPr>
      </w:pPr>
      <w:r>
        <w:rPr>
          <w:rFonts w:ascii="Arial" w:cs="Arial" w:eastAsia="Arial" w:hAnsi="Arial"/>
          <w:sz w:val="17"/>
          <w:szCs w:val="17"/>
          <w:color w:val="auto"/>
        </w:rPr>
        <w:t>The Group calculates the interim income tax benefit or expense using the best estimate of the weighted average annual effective income tax rate expected for the full financial year. For the nine months ended September 30, 2020 and 2019, the Group recorded a consolidated income tax benefit of EUR 1,615k and EUR 335k, respectively. The consolidated income tax benefit for the nine months ended September 30, 2020, resulted from income tax expenses from CureVac Inc. of EUR 115k (September 30, 2019: EUR 191k) and deferred tax benefit on taxable temporary differences of EUR 1,730k (September 30, 2019: EUR 526k).</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13. Disclosure of financial instruments and risk management</w:t>
      </w:r>
    </w:p>
    <w:p>
      <w:pPr>
        <w:spacing w:after="0" w:line="148" w:lineRule="exact"/>
        <w:rPr>
          <w:sz w:val="20"/>
          <w:szCs w:val="20"/>
          <w:color w:val="auto"/>
        </w:rPr>
      </w:pPr>
    </w:p>
    <w:p>
      <w:pPr>
        <w:jc w:val="both"/>
        <w:ind w:left="1260" w:right="499" w:firstLine="648"/>
        <w:spacing w:after="0" w:line="262" w:lineRule="auto"/>
        <w:rPr>
          <w:sz w:val="20"/>
          <w:szCs w:val="20"/>
          <w:color w:val="auto"/>
        </w:rPr>
      </w:pPr>
      <w:r>
        <w:rPr>
          <w:rFonts w:ascii="Arial" w:cs="Arial" w:eastAsia="Arial" w:hAnsi="Arial"/>
          <w:sz w:val="17"/>
          <w:szCs w:val="17"/>
          <w:color w:val="auto"/>
        </w:rPr>
        <w:t>No changes have occurred regarding our risk management activities as disclosed in the notes to the consolidated financial statements as of December 31, 2019. As of September 30, 2020, the Group held cash and cash equivalents of USD 354,000k, which is exposed to foreign currency exchange risk, and intends to settle expenses arising in US dollars using a portion of these US dollar-denominated funds.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14. Earnings per share</w:t>
      </w:r>
    </w:p>
    <w:p>
      <w:pPr>
        <w:spacing w:after="0" w:line="135" w:lineRule="exact"/>
        <w:rPr>
          <w:sz w:val="20"/>
          <w:szCs w:val="20"/>
          <w:color w:val="auto"/>
        </w:rPr>
      </w:pPr>
    </w:p>
    <w:p>
      <w:pPr>
        <w:ind w:left="1260" w:right="419" w:firstLine="648"/>
        <w:spacing w:after="0" w:line="248" w:lineRule="auto"/>
        <w:rPr>
          <w:sz w:val="20"/>
          <w:szCs w:val="20"/>
          <w:color w:val="auto"/>
        </w:rPr>
      </w:pPr>
      <w:r>
        <w:rPr>
          <w:rFonts w:ascii="Arial" w:cs="Arial" w:eastAsia="Arial" w:hAnsi="Arial"/>
          <w:sz w:val="18"/>
          <w:szCs w:val="18"/>
          <w:color w:val="auto"/>
        </w:rPr>
        <w:t xml:space="preserve">Earnings per share is calculated pursuant to </w:t>
      </w:r>
      <w:r>
        <w:rPr>
          <w:rFonts w:ascii="Arial" w:cs="Arial" w:eastAsia="Arial" w:hAnsi="Arial"/>
          <w:sz w:val="18"/>
          <w:szCs w:val="18"/>
          <w:i w:val="1"/>
          <w:iCs w:val="1"/>
          <w:color w:val="auto"/>
        </w:rPr>
        <w:t>IAS 33 Earnings per Share</w:t>
      </w:r>
      <w:r>
        <w:rPr>
          <w:rFonts w:ascii="Arial" w:cs="Arial" w:eastAsia="Arial" w:hAnsi="Arial"/>
          <w:sz w:val="18"/>
          <w:szCs w:val="18"/>
          <w:color w:val="auto"/>
        </w:rPr>
        <w:t xml:space="preserve"> by dividing the consolidated net loss in CureVac N.V. by the average weighted number of shares outstanding in the fiscal period, retrospectively adjusted for the effect of the corporate reorganization.</w:t>
      </w:r>
    </w:p>
    <w:p>
      <w:pPr>
        <w:spacing w:after="0" w:line="114" w:lineRule="exact"/>
        <w:rPr>
          <w:sz w:val="20"/>
          <w:szCs w:val="20"/>
          <w:color w:val="auto"/>
        </w:rPr>
      </w:pPr>
    </w:p>
    <w:p>
      <w:pPr>
        <w:ind w:left="1260" w:right="419" w:firstLine="648"/>
        <w:spacing w:after="0" w:line="239" w:lineRule="auto"/>
        <w:rPr>
          <w:sz w:val="20"/>
          <w:szCs w:val="20"/>
          <w:color w:val="auto"/>
        </w:rPr>
      </w:pPr>
      <w:r>
        <w:rPr>
          <w:rFonts w:ascii="Arial" w:cs="Arial" w:eastAsia="Arial" w:hAnsi="Arial"/>
          <w:sz w:val="18"/>
          <w:szCs w:val="18"/>
          <w:color w:val="auto"/>
        </w:rPr>
        <w:t>The weighted number of shares outstanding for the nine months ended September 30, 2020 was 116,023,286 (nine months ended September 30, 2019: 96,693,265) . This has led to a basic loss per share for the nine months ended September 30, 2020 and 2019 of EUR 0.61 and EUR 0.66, respectively. The 2,399,830 share options granted to the management are potential ordinary shares for the purpose of calculating diluted earnings per share. Since the conversion of the options to ordinary shares would decrease loss per share, they are considered antidilutive. Therefore, the diluted earnings per share equals basic earnings per share for the nine months ended September 30, 2020 and 2019.</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15. Related party disclosures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related party transactions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Rittershaus Rechtsanwaelte</w:t>
      </w:r>
    </w:p>
    <w:p>
      <w:pPr>
        <w:spacing w:after="0" w:line="144" w:lineRule="exact"/>
        <w:rPr>
          <w:sz w:val="20"/>
          <w:szCs w:val="20"/>
          <w:color w:val="auto"/>
        </w:rPr>
      </w:pPr>
    </w:p>
    <w:p>
      <w:pPr>
        <w:ind w:left="1260" w:right="459" w:firstLine="648"/>
        <w:spacing w:after="0" w:line="248" w:lineRule="auto"/>
        <w:rPr>
          <w:sz w:val="20"/>
          <w:szCs w:val="20"/>
          <w:color w:val="auto"/>
        </w:rPr>
      </w:pPr>
      <w:r>
        <w:rPr>
          <w:rFonts w:ascii="Arial" w:cs="Arial" w:eastAsia="Arial" w:hAnsi="Arial"/>
          <w:sz w:val="18"/>
          <w:szCs w:val="18"/>
          <w:color w:val="auto"/>
        </w:rPr>
        <w:t>Since December 15, 2005, a consultant agreement is in place for an indefinite term with Rittershaus. The agreement can be terminated without notice by CureVac and with notice of three months to the end of</w:t>
      </w:r>
    </w:p>
    <w:p>
      <w:pPr>
        <w:sectPr>
          <w:pgSz w:w="11900" w:h="16838" w:orient="portrait"/>
          <w:cols w:equalWidth="0" w:num="1">
            <w:col w:w="9879"/>
          </w:cols>
          <w:pgMar w:left="580" w:top="131" w:right="1440" w:bottom="1440" w:gutter="0" w:footer="0" w:header="0"/>
        </w:sectPr>
      </w:pPr>
    </w:p>
    <w:p>
      <w:pPr>
        <w:spacing w:after="0" w:line="35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30" w:name="page331"/>
    <w:bookmarkEnd w:id="330"/>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59"/>
        <w:spacing w:after="0" w:line="263" w:lineRule="auto"/>
        <w:rPr>
          <w:sz w:val="20"/>
          <w:szCs w:val="20"/>
          <w:color w:val="auto"/>
        </w:rPr>
      </w:pPr>
      <w:r>
        <w:rPr>
          <w:rFonts w:ascii="Arial" w:cs="Arial" w:eastAsia="Arial" w:hAnsi="Arial"/>
          <w:sz w:val="18"/>
          <w:szCs w:val="18"/>
          <w:color w:val="auto"/>
        </w:rPr>
        <w:t>the quarter by Rittershaus. During the nine months ended September 30, 2020, consulting fees of EUR 593k (September 30, 2019: EUR 122k) were paid to the Rittershaus. Prof. Dr. Christof Hettich is a managing director of Rittershaus and dievini as well.</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Dr. Ingmar Hoerr</w:t>
      </w:r>
    </w:p>
    <w:p>
      <w:pPr>
        <w:spacing w:after="0" w:line="158" w:lineRule="exact"/>
        <w:rPr>
          <w:sz w:val="20"/>
          <w:szCs w:val="20"/>
          <w:color w:val="auto"/>
        </w:rPr>
      </w:pPr>
    </w:p>
    <w:p>
      <w:pPr>
        <w:ind w:left="1260" w:right="419" w:firstLine="648"/>
        <w:spacing w:after="0" w:line="259" w:lineRule="auto"/>
        <w:rPr>
          <w:sz w:val="20"/>
          <w:szCs w:val="20"/>
          <w:color w:val="auto"/>
        </w:rPr>
      </w:pPr>
      <w:r>
        <w:rPr>
          <w:rFonts w:ascii="Arial" w:cs="Arial" w:eastAsia="Arial" w:hAnsi="Arial"/>
          <w:sz w:val="18"/>
          <w:szCs w:val="18"/>
          <w:color w:val="auto"/>
        </w:rPr>
        <w:t>Since June 2018, an advisory agreement between CureVac and Dr. Hoerr was in place. This contract was terminated in March 2020 after the transition of Dr. Hoerr from CureVac´s supervisory board to its management board on March 10, 2020. During the nine months ended September 30, 2020, advisory fees of EUR 45k (September 30, 2019: EUR 197k) were paid to Dr. Hoerr.</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Dietmar Hopp</w:t>
      </w:r>
    </w:p>
    <w:p>
      <w:pPr>
        <w:spacing w:after="0" w:line="158" w:lineRule="exact"/>
        <w:rPr>
          <w:sz w:val="20"/>
          <w:szCs w:val="20"/>
          <w:color w:val="auto"/>
        </w:rPr>
      </w:pPr>
    </w:p>
    <w:p>
      <w:pPr>
        <w:ind w:left="1260" w:right="539" w:firstLine="648"/>
        <w:spacing w:after="0" w:line="259" w:lineRule="auto"/>
        <w:rPr>
          <w:sz w:val="20"/>
          <w:szCs w:val="20"/>
          <w:color w:val="auto"/>
        </w:rPr>
      </w:pPr>
      <w:r>
        <w:rPr>
          <w:rFonts w:ascii="Arial" w:cs="Arial" w:eastAsia="Arial" w:hAnsi="Arial"/>
          <w:sz w:val="18"/>
          <w:szCs w:val="18"/>
          <w:color w:val="auto"/>
        </w:rPr>
        <w:t>During fiscal 2019, Dietmar Hopp, principal of dievini Hopp BioTech holding GmbH &amp; Co. KG (dievini), the largest shareholder of the Group, granted two convertible loans to the Group, which were terminated in July 2020 and fully repaid in August 2020; see Note 11 for further information. Additionally, he made a further equity investment in the Company as described in Note 4.</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16. Subsequent events</w:t>
      </w:r>
    </w:p>
    <w:p>
      <w:pPr>
        <w:spacing w:after="0" w:line="148" w:lineRule="exact"/>
        <w:rPr>
          <w:sz w:val="20"/>
          <w:szCs w:val="20"/>
          <w:color w:val="auto"/>
        </w:rPr>
      </w:pPr>
    </w:p>
    <w:p>
      <w:pPr>
        <w:ind w:left="1260" w:right="479" w:firstLine="648"/>
        <w:spacing w:after="0" w:line="269" w:lineRule="auto"/>
        <w:rPr>
          <w:sz w:val="20"/>
          <w:szCs w:val="20"/>
          <w:color w:val="auto"/>
        </w:rPr>
      </w:pPr>
      <w:r>
        <w:rPr>
          <w:rFonts w:ascii="Arial" w:cs="Arial" w:eastAsia="Arial" w:hAnsi="Arial"/>
          <w:sz w:val="17"/>
          <w:szCs w:val="17"/>
          <w:color w:val="auto"/>
        </w:rPr>
        <w:t>In November 2020, the Company entered into an advance purchase agreement with the European Commission (EC), acting on behalf and in the name of all Member States of the European Union, for the purchase of 225 million doses of the vaccine to be allocated among the Member States and the option to purchase up to an additional 180 million doses. The option may be exercised by the EC on behalf and in the name of the Member States. The APA provides for two mid nine-figure euro amount up-front payments, which shall be used solely for the development and commercial supply of CVnCoV. The Company will be required to return any unspent amounts of the up-front payments if, among others, the Company fails to successfully develop CVnCoV or if the Company successfully develops CVnCoV but does not receive EU marketing authorization or fails to supply any doses of CVnCoV to any of the Member States by late 2021, unless the Company and the EC mutually agree to a later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31" w:name="page332"/>
    <w:bookmarkEnd w:id="331"/>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right="2359" w:firstLine="1951"/>
        <w:spacing w:after="0" w:line="454"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Audit Committee of CureVac AG,</w:t>
      </w:r>
    </w:p>
    <w:p>
      <w:pPr>
        <w:spacing w:after="0" w:line="1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2" w:lineRule="exact"/>
        <w:rPr>
          <w:sz w:val="20"/>
          <w:szCs w:val="20"/>
          <w:color w:val="auto"/>
        </w:rPr>
      </w:pPr>
    </w:p>
    <w:p>
      <w:pPr>
        <w:ind w:left="1260" w:right="439" w:firstLine="648"/>
        <w:spacing w:after="0" w:line="253" w:lineRule="auto"/>
        <w:rPr>
          <w:sz w:val="20"/>
          <w:szCs w:val="20"/>
          <w:color w:val="auto"/>
        </w:rPr>
      </w:pPr>
      <w:r>
        <w:rPr>
          <w:rFonts w:ascii="Arial" w:cs="Arial" w:eastAsia="Arial" w:hAnsi="Arial"/>
          <w:sz w:val="18"/>
          <w:szCs w:val="18"/>
          <w:color w:val="auto"/>
        </w:rPr>
        <w:t>We have audited the accompanying consolidated statements of financial position of CureVac AG (the Company) as of December 31, 2019 and 2018, the related consolidated statements of operations and other comprehensive income (loss), changes in shareholders' equity and cash flows for each of the two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two years in the period ended December 31, 2019, in conformity with International Financial Reporting Standards as issued by the International Accounting Standard Board (IFRS).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ind w:left="1260" w:right="459" w:firstLine="648"/>
        <w:spacing w:after="0" w:line="255"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5" w:lineRule="exact"/>
        <w:rPr>
          <w:sz w:val="20"/>
          <w:szCs w:val="20"/>
          <w:color w:val="auto"/>
        </w:rPr>
      </w:pPr>
    </w:p>
    <w:p>
      <w:pPr>
        <w:ind w:left="1260" w:right="439" w:firstLine="648"/>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7" w:lineRule="exact"/>
        <w:rPr>
          <w:sz w:val="20"/>
          <w:szCs w:val="20"/>
          <w:color w:val="auto"/>
        </w:rPr>
      </w:pPr>
    </w:p>
    <w:p>
      <w:pPr>
        <w:ind w:left="1260" w:right="499" w:firstLine="648"/>
        <w:spacing w:after="0" w:line="255"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Ernst &amp; Young GmbH Wirtschaftsprüfungsgesellschaft</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have served as the Company’s auditor since 2015.</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Munich, Germany</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April 29, 2020, except as to Note 1, as to which the date is November 27,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32" w:name="page333"/>
    <w:bookmarkEnd w:id="332"/>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CureVac AG</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Consolidated Statements of Operations and Other Comprehensive Income (Loss)</w:t>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6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84"/>
              </w:rPr>
              <w:t>Years ended December 31,</w:t>
            </w:r>
          </w:p>
        </w:tc>
      </w:tr>
      <w:tr>
        <w:trPr>
          <w:trHeight w:val="26"/>
        </w:trPr>
        <w:tc>
          <w:tcPr>
            <w:tcW w:w="26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7"/>
        </w:trPr>
        <w:tc>
          <w:tcPr>
            <w:tcW w:w="5880" w:type="dxa"/>
            <w:vAlign w:val="bottom"/>
            <w:gridSpan w:val="2"/>
          </w:tcPr>
          <w:p>
            <w:pPr>
              <w:spacing w:after="0"/>
              <w:rPr>
                <w:sz w:val="20"/>
                <w:szCs w:val="20"/>
                <w:color w:val="auto"/>
              </w:rPr>
            </w:pPr>
            <w:r>
              <w:rPr>
                <w:rFonts w:ascii="Arial" w:cs="Arial" w:eastAsia="Arial" w:hAnsi="Arial"/>
                <w:sz w:val="14"/>
                <w:szCs w:val="14"/>
                <w:b w:val="1"/>
                <w:bCs w:val="1"/>
                <w:color w:val="auto"/>
              </w:rPr>
              <w:t>(in thousands of EUR, except per share data)</w:t>
            </w:r>
          </w:p>
        </w:tc>
        <w:tc>
          <w:tcPr>
            <w:tcW w:w="200" w:type="dxa"/>
            <w:vAlign w:val="bottom"/>
          </w:tcPr>
          <w:p>
            <w:pPr>
              <w:spacing w:after="0"/>
              <w:rPr>
                <w:sz w:val="17"/>
                <w:szCs w:val="17"/>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Note</w:t>
            </w:r>
          </w:p>
        </w:tc>
        <w:tc>
          <w:tcPr>
            <w:tcW w:w="600" w:type="dxa"/>
            <w:vAlign w:val="bottom"/>
          </w:tcPr>
          <w:p>
            <w:pPr>
              <w:jc w:val="right"/>
              <w:ind w:right="92"/>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7"/>
                <w:szCs w:val="17"/>
                <w:color w:val="auto"/>
              </w:rPr>
            </w:pPr>
          </w:p>
        </w:tc>
        <w:tc>
          <w:tcPr>
            <w:tcW w:w="640" w:type="dxa"/>
            <w:vAlign w:val="bottom"/>
          </w:tcPr>
          <w:p>
            <w:pPr>
              <w:jc w:val="right"/>
              <w:ind w:right="91"/>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7"/>
                <w:szCs w:val="17"/>
                <w:color w:val="auto"/>
              </w:rPr>
            </w:pPr>
          </w:p>
        </w:tc>
      </w:tr>
      <w:tr>
        <w:trPr>
          <w:trHeight w:val="26"/>
        </w:trPr>
        <w:tc>
          <w:tcPr>
            <w:tcW w:w="260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60" w:type="dxa"/>
            <w:vAlign w:val="bottom"/>
            <w:tcBorders>
              <w:right w:val="single" w:sz="8" w:color="CCEEFF"/>
            </w:tcBorders>
            <w:shd w:val="clear" w:color="auto" w:fill="CCEEFF"/>
          </w:tcPr>
          <w:p>
            <w:pPr>
              <w:spacing w:after="0"/>
              <w:rPr>
                <w:sz w:val="21"/>
                <w:szCs w:val="21"/>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12,871</w:t>
            </w:r>
          </w:p>
        </w:tc>
        <w:tc>
          <w:tcPr>
            <w:tcW w:w="260" w:type="dxa"/>
            <w:vAlign w:val="bottom"/>
            <w:tcBorders>
              <w:right w:val="single" w:sz="8" w:color="CCEEFF"/>
            </w:tcBorders>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17,416</w:t>
            </w:r>
          </w:p>
        </w:tc>
        <w:tc>
          <w:tcPr>
            <w:tcW w:w="60" w:type="dxa"/>
            <w:vAlign w:val="bottom"/>
            <w:tcBorders>
              <w:left w:val="single" w:sz="8" w:color="CCEEFF"/>
            </w:tcBorders>
          </w:tcPr>
          <w:p>
            <w:pPr>
              <w:spacing w:after="0"/>
              <w:rPr>
                <w:sz w:val="21"/>
                <w:szCs w:val="21"/>
                <w:color w:val="auto"/>
              </w:rPr>
            </w:pPr>
          </w:p>
        </w:tc>
      </w:tr>
      <w:tr>
        <w:trPr>
          <w:trHeight w:val="257"/>
        </w:trPr>
        <w:tc>
          <w:tcPr>
            <w:tcW w:w="58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(17,744)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(27,983)</w:t>
            </w:r>
          </w:p>
        </w:tc>
      </w:tr>
      <w:tr>
        <w:trPr>
          <w:trHeight w:val="257"/>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and distribution expenses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60" w:type="dxa"/>
            <w:vAlign w:val="bottom"/>
            <w:tcBorders>
              <w:right w:val="single" w:sz="8" w:color="CCEEFF"/>
            </w:tcBorders>
            <w:shd w:val="clear" w:color="auto" w:fill="CCEEFF"/>
          </w:tcPr>
          <w:p>
            <w:pPr>
              <w:spacing w:after="0"/>
              <w:rPr>
                <w:sz w:val="22"/>
                <w:szCs w:val="22"/>
                <w:color w:val="auto"/>
              </w:rPr>
            </w:pPr>
          </w:p>
        </w:tc>
        <w:tc>
          <w:tcPr>
            <w:tcW w:w="8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60" w:type="dxa"/>
            <w:vAlign w:val="bottom"/>
            <w:tcBorders>
              <w:left w:val="single" w:sz="8" w:color="CCEEFF"/>
            </w:tcBorders>
          </w:tcPr>
          <w:p>
            <w:pPr>
              <w:spacing w:after="0"/>
              <w:rPr>
                <w:sz w:val="22"/>
                <w:szCs w:val="22"/>
                <w:color w:val="auto"/>
              </w:rPr>
            </w:pPr>
          </w:p>
        </w:tc>
      </w:tr>
      <w:tr>
        <w:trPr>
          <w:trHeight w:val="256"/>
        </w:trPr>
        <w:tc>
          <w:tcPr>
            <w:tcW w:w="588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(41,722)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(43,242)</w:t>
            </w:r>
          </w:p>
        </w:tc>
      </w:tr>
      <w:tr>
        <w:trPr>
          <w:trHeight w:val="257"/>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60" w:type="dxa"/>
            <w:vAlign w:val="bottom"/>
            <w:tcBorders>
              <w:right w:val="single" w:sz="8" w:color="CCEEFF"/>
            </w:tcBorders>
            <w:shd w:val="clear" w:color="auto" w:fill="CCEEFF"/>
          </w:tcPr>
          <w:p>
            <w:pPr>
              <w:spacing w:after="0"/>
              <w:rPr>
                <w:sz w:val="22"/>
                <w:szCs w:val="22"/>
                <w:color w:val="auto"/>
              </w:rPr>
            </w:pPr>
          </w:p>
        </w:tc>
        <w:tc>
          <w:tcPr>
            <w:tcW w:w="8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(25,289)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(48,969)</w:t>
            </w:r>
          </w:p>
        </w:tc>
        <w:tc>
          <w:tcPr>
            <w:tcW w:w="60" w:type="dxa"/>
            <w:vAlign w:val="bottom"/>
            <w:tcBorders>
              <w:left w:val="single" w:sz="8" w:color="CCEEFF"/>
            </w:tcBorders>
          </w:tcPr>
          <w:p>
            <w:pPr>
              <w:spacing w:after="0"/>
              <w:rPr>
                <w:sz w:val="22"/>
                <w:szCs w:val="22"/>
                <w:color w:val="auto"/>
              </w:rPr>
            </w:pPr>
          </w:p>
        </w:tc>
      </w:tr>
      <w:tr>
        <w:trPr>
          <w:trHeight w:val="257"/>
        </w:trPr>
        <w:tc>
          <w:tcPr>
            <w:tcW w:w="5880" w:type="dxa"/>
            <w:vAlign w:val="bottom"/>
            <w:gridSpan w:val="2"/>
          </w:tcPr>
          <w:p>
            <w:pPr>
              <w:spacing w:after="0"/>
              <w:rPr>
                <w:sz w:val="20"/>
                <w:szCs w:val="20"/>
                <w:color w:val="auto"/>
              </w:rPr>
            </w:pPr>
            <w:r>
              <w:rPr>
                <w:rFonts w:ascii="Arial" w:cs="Arial" w:eastAsia="Arial" w:hAnsi="Arial"/>
                <w:sz w:val="18"/>
                <w:szCs w:val="18"/>
                <w:color w:val="auto"/>
              </w:rPr>
              <w:t>Other operating income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808</w:t>
            </w: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5,587</w:t>
            </w:r>
          </w:p>
        </w:tc>
        <w:tc>
          <w:tcPr>
            <w:tcW w:w="60" w:type="dxa"/>
            <w:vAlign w:val="bottom"/>
          </w:tcPr>
          <w:p>
            <w:pPr>
              <w:spacing w:after="0"/>
              <w:rPr>
                <w:sz w:val="22"/>
                <w:szCs w:val="22"/>
                <w:color w:val="auto"/>
              </w:rPr>
            </w:pPr>
          </w:p>
        </w:tc>
      </w:tr>
      <w:tr>
        <w:trPr>
          <w:trHeight w:val="263"/>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60" w:type="dxa"/>
            <w:vAlign w:val="bottom"/>
            <w:tcBorders>
              <w:right w:val="single" w:sz="8" w:color="CCEEFF"/>
            </w:tcBorders>
            <w:shd w:val="clear" w:color="auto" w:fill="CCEEFF"/>
          </w:tcPr>
          <w:p>
            <w:pPr>
              <w:spacing w:after="0"/>
              <w:rPr>
                <w:sz w:val="22"/>
                <w:szCs w:val="22"/>
                <w:color w:val="auto"/>
              </w:rPr>
            </w:pPr>
          </w:p>
        </w:tc>
        <w:tc>
          <w:tcPr>
            <w:tcW w:w="8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60" w:type="dxa"/>
            <w:vAlign w:val="bottom"/>
            <w:tcBorders>
              <w:left w:val="single" w:sz="8" w:color="CCEEFF"/>
            </w:tcBorders>
          </w:tcPr>
          <w:p>
            <w:pPr>
              <w:spacing w:after="0"/>
              <w:rPr>
                <w:sz w:val="22"/>
                <w:szCs w:val="22"/>
                <w:color w:val="auto"/>
              </w:rPr>
            </w:pPr>
          </w:p>
        </w:tc>
      </w:tr>
      <w:tr>
        <w:trPr>
          <w:trHeight w:val="20"/>
        </w:trPr>
        <w:tc>
          <w:tcPr>
            <w:tcW w:w="2600" w:type="dxa"/>
            <w:vAlign w:val="bottom"/>
            <w:shd w:val="clear" w:color="auto" w:fill="CCEEFF"/>
          </w:tcPr>
          <w:p>
            <w:pPr>
              <w:spacing w:after="0" w:line="20" w:lineRule="exact"/>
              <w:rPr>
                <w:sz w:val="1"/>
                <w:szCs w:val="1"/>
                <w:color w:val="auto"/>
              </w:rPr>
            </w:pPr>
          </w:p>
        </w:tc>
        <w:tc>
          <w:tcPr>
            <w:tcW w:w="3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Operating loss</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(72,824)</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(99,498)</w:t>
            </w:r>
          </w:p>
        </w:tc>
      </w:tr>
      <w:tr>
        <w:trPr>
          <w:trHeight w:val="20"/>
        </w:trPr>
        <w:tc>
          <w:tcPr>
            <w:tcW w:w="2600" w:type="dxa"/>
            <w:vAlign w:val="bottom"/>
            <w:shd w:val="clear" w:color="auto" w:fill="CCEEFF"/>
          </w:tcPr>
          <w:p>
            <w:pPr>
              <w:spacing w:after="0" w:line="20" w:lineRule="exact"/>
              <w:rPr>
                <w:sz w:val="1"/>
                <w:szCs w:val="1"/>
                <w:color w:val="auto"/>
              </w:rPr>
            </w:pPr>
          </w:p>
        </w:tc>
        <w:tc>
          <w:tcPr>
            <w:tcW w:w="3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r>
      <w:tr>
        <w:trPr>
          <w:trHeight w:val="257"/>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2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260" w:type="dxa"/>
            <w:vAlign w:val="bottom"/>
            <w:tcBorders>
              <w:right w:val="single" w:sz="8" w:color="CCEEFF"/>
            </w:tcBorders>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60" w:type="dxa"/>
            <w:vAlign w:val="bottom"/>
            <w:tcBorders>
              <w:left w:val="single" w:sz="8" w:color="CCEEFF"/>
            </w:tcBorders>
          </w:tcPr>
          <w:p>
            <w:pPr>
              <w:spacing w:after="0"/>
              <w:rPr>
                <w:sz w:val="22"/>
                <w:szCs w:val="22"/>
                <w:color w:val="auto"/>
              </w:rPr>
            </w:pPr>
          </w:p>
        </w:tc>
      </w:tr>
      <w:tr>
        <w:trPr>
          <w:trHeight w:val="263"/>
        </w:trPr>
        <w:tc>
          <w:tcPr>
            <w:tcW w:w="5880" w:type="dxa"/>
            <w:vAlign w:val="bottom"/>
            <w:gridSpan w:val="2"/>
          </w:tcPr>
          <w:p>
            <w:pPr>
              <w:spacing w:after="0"/>
              <w:rPr>
                <w:sz w:val="20"/>
                <w:szCs w:val="20"/>
                <w:color w:val="auto"/>
              </w:rPr>
            </w:pPr>
            <w:r>
              <w:rPr>
                <w:rFonts w:ascii="Arial" w:cs="Arial" w:eastAsia="Arial" w:hAnsi="Arial"/>
                <w:sz w:val="18"/>
                <w:szCs w:val="18"/>
                <w:color w:val="auto"/>
              </w:rPr>
              <w:t>Finance expenses</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(275)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(1,460)</w:t>
            </w:r>
          </w:p>
        </w:tc>
      </w:tr>
      <w:tr>
        <w:trPr>
          <w:trHeight w:val="20"/>
        </w:trPr>
        <w:tc>
          <w:tcPr>
            <w:tcW w:w="2600" w:type="dxa"/>
            <w:vAlign w:val="bottom"/>
            <w:shd w:val="clear" w:color="auto" w:fill="CCEEFF"/>
          </w:tcPr>
          <w:p>
            <w:pPr>
              <w:spacing w:after="0" w:line="20" w:lineRule="exact"/>
              <w:rPr>
                <w:sz w:val="1"/>
                <w:szCs w:val="1"/>
                <w:color w:val="auto"/>
              </w:rPr>
            </w:pPr>
          </w:p>
        </w:tc>
        <w:tc>
          <w:tcPr>
            <w:tcW w:w="3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r>
      <w:tr>
        <w:trPr>
          <w:trHeight w:val="263"/>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before income tax</w:t>
            </w:r>
          </w:p>
        </w:tc>
        <w:tc>
          <w:tcPr>
            <w:tcW w:w="2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8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9"/>
              </w:rPr>
              <w:t>(71,131)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(100,125)</w:t>
            </w:r>
          </w:p>
        </w:tc>
        <w:tc>
          <w:tcPr>
            <w:tcW w:w="60" w:type="dxa"/>
            <w:vAlign w:val="bottom"/>
            <w:tcBorders>
              <w:left w:val="single" w:sz="8" w:color="CCEEFF"/>
            </w:tcBorders>
          </w:tcPr>
          <w:p>
            <w:pPr>
              <w:spacing w:after="0"/>
              <w:rPr>
                <w:sz w:val="22"/>
                <w:szCs w:val="22"/>
                <w:color w:val="auto"/>
              </w:rPr>
            </w:pPr>
          </w:p>
        </w:tc>
      </w:tr>
      <w:tr>
        <w:trPr>
          <w:trHeight w:val="20"/>
        </w:trPr>
        <w:tc>
          <w:tcPr>
            <w:tcW w:w="2600" w:type="dxa"/>
            <w:vAlign w:val="bottom"/>
            <w:shd w:val="clear" w:color="auto" w:fill="CCEEFF"/>
          </w:tcPr>
          <w:p>
            <w:pPr>
              <w:spacing w:after="0" w:line="20" w:lineRule="exact"/>
              <w:rPr>
                <w:sz w:val="1"/>
                <w:szCs w:val="1"/>
                <w:color w:val="auto"/>
              </w:rPr>
            </w:pPr>
          </w:p>
        </w:tc>
        <w:tc>
          <w:tcPr>
            <w:tcW w:w="3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880" w:type="dxa"/>
            <w:vAlign w:val="bottom"/>
            <w:gridSpan w:val="2"/>
          </w:tcPr>
          <w:p>
            <w:pPr>
              <w:spacing w:after="0"/>
              <w:rPr>
                <w:sz w:val="20"/>
                <w:szCs w:val="20"/>
                <w:color w:val="auto"/>
              </w:rPr>
            </w:pPr>
            <w:r>
              <w:rPr>
                <w:rFonts w:ascii="Arial" w:cs="Arial" w:eastAsia="Arial" w:hAnsi="Arial"/>
                <w:sz w:val="18"/>
                <w:szCs w:val="18"/>
                <w:color w:val="auto"/>
              </w:rPr>
              <w:t>Income tax benefit / (expense)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(110)</w:t>
            </w:r>
          </w:p>
        </w:tc>
        <w:tc>
          <w:tcPr>
            <w:tcW w:w="640" w:type="dxa"/>
            <w:vAlign w:val="bottom"/>
          </w:tcPr>
          <w:p>
            <w:pPr>
              <w:jc w:val="right"/>
              <w:spacing w:after="0"/>
              <w:rPr>
                <w:sz w:val="20"/>
                <w:szCs w:val="20"/>
                <w:color w:val="auto"/>
              </w:rPr>
            </w:pPr>
            <w:r>
              <w:rPr>
                <w:rFonts w:ascii="Arial" w:cs="Arial" w:eastAsia="Arial" w:hAnsi="Arial"/>
                <w:sz w:val="18"/>
                <w:szCs w:val="18"/>
                <w:color w:val="auto"/>
              </w:rPr>
              <w:t>252</w:t>
            </w:r>
          </w:p>
        </w:tc>
        <w:tc>
          <w:tcPr>
            <w:tcW w:w="60" w:type="dxa"/>
            <w:vAlign w:val="bottom"/>
          </w:tcPr>
          <w:p>
            <w:pPr>
              <w:spacing w:after="0"/>
              <w:rPr>
                <w:sz w:val="22"/>
                <w:szCs w:val="22"/>
                <w:color w:val="auto"/>
              </w:rPr>
            </w:pPr>
          </w:p>
        </w:tc>
      </w:tr>
      <w:tr>
        <w:trPr>
          <w:trHeight w:val="20"/>
        </w:trPr>
        <w:tc>
          <w:tcPr>
            <w:tcW w:w="2600" w:type="dxa"/>
            <w:vAlign w:val="bottom"/>
            <w:shd w:val="clear" w:color="auto" w:fill="CCEEFF"/>
          </w:tcPr>
          <w:p>
            <w:pPr>
              <w:spacing w:after="0" w:line="20" w:lineRule="exact"/>
              <w:rPr>
                <w:sz w:val="1"/>
                <w:szCs w:val="1"/>
                <w:color w:val="auto"/>
              </w:rPr>
            </w:pPr>
          </w:p>
        </w:tc>
        <w:tc>
          <w:tcPr>
            <w:tcW w:w="3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r>
      <w:tr>
        <w:trPr>
          <w:trHeight w:val="263"/>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for the year</w:t>
            </w:r>
          </w:p>
        </w:tc>
        <w:tc>
          <w:tcPr>
            <w:tcW w:w="2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8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9"/>
              </w:rPr>
              <w:t>(71,241)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(99,873)</w:t>
            </w:r>
          </w:p>
        </w:tc>
        <w:tc>
          <w:tcPr>
            <w:tcW w:w="60" w:type="dxa"/>
            <w:vAlign w:val="bottom"/>
            <w:tcBorders>
              <w:left w:val="single" w:sz="8" w:color="CCEEFF"/>
            </w:tcBorders>
          </w:tcPr>
          <w:p>
            <w:pPr>
              <w:spacing w:after="0"/>
              <w:rPr>
                <w:sz w:val="22"/>
                <w:szCs w:val="22"/>
                <w:color w:val="auto"/>
              </w:rPr>
            </w:pPr>
          </w:p>
        </w:tc>
      </w:tr>
      <w:tr>
        <w:trPr>
          <w:trHeight w:val="257"/>
        </w:trPr>
        <w:tc>
          <w:tcPr>
            <w:tcW w:w="588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Other comprehensive income</w:t>
            </w:r>
          </w:p>
        </w:tc>
        <w:tc>
          <w:tcPr>
            <w:tcW w:w="20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5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Items that may be subsequently reclassified to profit or loss</w:t>
            </w:r>
          </w:p>
        </w:tc>
        <w:tc>
          <w:tcPr>
            <w:tcW w:w="2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600" w:type="dxa"/>
            <w:vAlign w:val="bottom"/>
            <w:tcBorders>
              <w:right w:val="single" w:sz="8" w:color="CCEEFF"/>
            </w:tcBorders>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60" w:type="dxa"/>
            <w:vAlign w:val="bottom"/>
            <w:tcBorders>
              <w:left w:val="single" w:sz="8" w:color="CCEEFF"/>
            </w:tcBorders>
          </w:tcPr>
          <w:p>
            <w:pPr>
              <w:spacing w:after="0"/>
              <w:rPr>
                <w:sz w:val="22"/>
                <w:szCs w:val="22"/>
                <w:color w:val="auto"/>
              </w:rPr>
            </w:pPr>
          </w:p>
        </w:tc>
      </w:tr>
      <w:tr>
        <w:trPr>
          <w:trHeight w:val="263"/>
        </w:trPr>
        <w:tc>
          <w:tcPr>
            <w:tcW w:w="5880" w:type="dxa"/>
            <w:vAlign w:val="bottom"/>
            <w:gridSpan w:val="2"/>
          </w:tcPr>
          <w:p>
            <w:pPr>
              <w:spacing w:after="0"/>
              <w:rPr>
                <w:sz w:val="20"/>
                <w:szCs w:val="20"/>
                <w:color w:val="auto"/>
              </w:rPr>
            </w:pPr>
            <w:r>
              <w:rPr>
                <w:rFonts w:ascii="Arial" w:cs="Arial" w:eastAsia="Arial" w:hAnsi="Arial"/>
                <w:sz w:val="18"/>
                <w:szCs w:val="18"/>
                <w:color w:val="auto"/>
              </w:rPr>
              <w:t>Foreign currency adjustments</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2"/>
                <w:szCs w:val="22"/>
                <w:color w:val="auto"/>
              </w:rPr>
            </w:pPr>
          </w:p>
        </w:tc>
      </w:tr>
      <w:tr>
        <w:trPr>
          <w:trHeight w:val="20"/>
        </w:trPr>
        <w:tc>
          <w:tcPr>
            <w:tcW w:w="2600" w:type="dxa"/>
            <w:vAlign w:val="bottom"/>
            <w:shd w:val="clear" w:color="auto" w:fill="CCEEFF"/>
          </w:tcPr>
          <w:p>
            <w:pPr>
              <w:spacing w:after="0" w:line="20" w:lineRule="exact"/>
              <w:rPr>
                <w:sz w:val="1"/>
                <w:szCs w:val="1"/>
                <w:color w:val="auto"/>
              </w:rPr>
            </w:pPr>
          </w:p>
        </w:tc>
        <w:tc>
          <w:tcPr>
            <w:tcW w:w="3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r>
      <w:tr>
        <w:trPr>
          <w:trHeight w:val="263"/>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for the year</w:t>
            </w:r>
          </w:p>
        </w:tc>
        <w:tc>
          <w:tcPr>
            <w:tcW w:w="2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8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9"/>
              </w:rPr>
              <w:t>(71,175)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(99,841)</w:t>
            </w:r>
          </w:p>
        </w:tc>
        <w:tc>
          <w:tcPr>
            <w:tcW w:w="60" w:type="dxa"/>
            <w:vAlign w:val="bottom"/>
            <w:tcBorders>
              <w:left w:val="single" w:sz="8" w:color="CCEEFF"/>
            </w:tcBorders>
          </w:tcPr>
          <w:p>
            <w:pPr>
              <w:spacing w:after="0"/>
              <w:rPr>
                <w:sz w:val="22"/>
                <w:szCs w:val="22"/>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1"/>
        </w:trPr>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Net loss per share (basic and diluted)</w:t>
            </w: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(0.74)</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(1.03)</w:t>
            </w:r>
          </w:p>
        </w:tc>
      </w:tr>
      <w:tr>
        <w:trPr>
          <w:trHeight w:val="20"/>
        </w:trPr>
        <w:tc>
          <w:tcPr>
            <w:tcW w:w="26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1"/>
        </w:trPr>
        <w:tc>
          <w:tcPr>
            <w:tcW w:w="2600" w:type="dxa"/>
            <w:vAlign w:val="bottom"/>
            <w:tcBorders>
              <w:bottom w:val="single" w:sz="8" w:color="auto"/>
            </w:tcBorders>
          </w:tcPr>
          <w:p>
            <w:pPr>
              <w:spacing w:after="0"/>
              <w:rPr>
                <w:sz w:val="7"/>
                <w:szCs w:val="7"/>
                <w:color w:val="auto"/>
              </w:rPr>
            </w:pPr>
          </w:p>
        </w:tc>
        <w:tc>
          <w:tcPr>
            <w:tcW w:w="3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-471170</wp:posOffset>
            </wp:positionV>
            <wp:extent cx="521208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-976630</wp:posOffset>
            </wp:positionV>
            <wp:extent cx="2540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-1156970</wp:posOffset>
            </wp:positionV>
            <wp:extent cx="521208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-1336675</wp:posOffset>
            </wp:positionV>
            <wp:extent cx="2540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-1516380</wp:posOffset>
            </wp:positionV>
            <wp:extent cx="521208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-1859280</wp:posOffset>
            </wp:positionV>
            <wp:extent cx="521208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-2039620</wp:posOffset>
            </wp:positionV>
            <wp:extent cx="2540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-3196590</wp:posOffset>
            </wp:positionV>
            <wp:extent cx="474916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123" w:lineRule="exact"/>
        <w:rPr>
          <w:sz w:val="20"/>
          <w:szCs w:val="20"/>
          <w:color w:val="auto"/>
        </w:rPr>
      </w:pPr>
    </w:p>
    <w:p>
      <w:pPr>
        <w:ind w:left="1440" w:right="839" w:hanging="180"/>
        <w:spacing w:after="0" w:line="293" w:lineRule="auto"/>
        <w:tabs>
          <w:tab w:leader="none" w:pos="1440" w:val="left"/>
        </w:tabs>
        <w:numPr>
          <w:ilvl w:val="0"/>
          <w:numId w:val="207"/>
        </w:numPr>
        <w:rPr>
          <w:rFonts w:ascii="Arial" w:cs="Arial" w:eastAsia="Arial" w:hAnsi="Arial"/>
          <w:sz w:val="14"/>
          <w:szCs w:val="14"/>
          <w:color w:val="auto"/>
        </w:rPr>
      </w:pPr>
      <w:r>
        <w:rPr>
          <w:rFonts w:ascii="Arial" w:cs="Arial" w:eastAsia="Arial" w:hAnsi="Arial"/>
          <w:sz w:val="14"/>
          <w:szCs w:val="14"/>
          <w:color w:val="auto"/>
        </w:rPr>
        <w:t>Amounts have been retrospectively adjusted to reflect the impact of the share split resulting from the corporate reorganization described in Note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9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33" w:name="page334"/>
    <w:bookmarkEnd w:id="333"/>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CureVac AG</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26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Borders>
              <w:bottom w:val="single" w:sz="8" w:color="auto"/>
            </w:tcBorders>
            <w:gridSpan w:val="3"/>
          </w:tcPr>
          <w:p>
            <w:pPr>
              <w:jc w:val="right"/>
              <w:ind w:right="271"/>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920" w:type="dxa"/>
            <w:vAlign w:val="bottom"/>
            <w:gridSpan w:val="2"/>
          </w:tcPr>
          <w:p>
            <w:pPr>
              <w:spacing w:after="0"/>
              <w:rPr>
                <w:sz w:val="20"/>
                <w:szCs w:val="20"/>
                <w:color w:val="auto"/>
              </w:rPr>
            </w:pPr>
            <w:r>
              <w:rPr>
                <w:rFonts w:ascii="Arial" w:cs="Arial" w:eastAsia="Arial" w:hAnsi="Arial"/>
                <w:sz w:val="14"/>
                <w:szCs w:val="14"/>
                <w:b w:val="1"/>
                <w:bCs w:val="1"/>
                <w:color w:val="auto"/>
              </w:rPr>
              <w:t>(in thousands of EUR)</w:t>
            </w:r>
          </w:p>
        </w:tc>
        <w:tc>
          <w:tcPr>
            <w:tcW w:w="200" w:type="dxa"/>
            <w:vAlign w:val="bottom"/>
          </w:tcPr>
          <w:p>
            <w:pPr>
              <w:spacing w:after="0"/>
              <w:rPr>
                <w:sz w:val="17"/>
                <w:szCs w:val="17"/>
                <w:color w:val="auto"/>
              </w:rPr>
            </w:pP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Note</w:t>
            </w:r>
          </w:p>
        </w:tc>
        <w:tc>
          <w:tcPr>
            <w:tcW w:w="660" w:type="dxa"/>
            <w:vAlign w:val="bottom"/>
          </w:tcPr>
          <w:p>
            <w:pPr>
              <w:jc w:val="right"/>
              <w:ind w:right="111"/>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7"/>
                <w:szCs w:val="17"/>
                <w:color w:val="auto"/>
              </w:rPr>
            </w:pPr>
          </w:p>
        </w:tc>
        <w:tc>
          <w:tcPr>
            <w:tcW w:w="640" w:type="dxa"/>
            <w:vAlign w:val="bottom"/>
          </w:tcPr>
          <w:p>
            <w:pPr>
              <w:jc w:val="right"/>
              <w:ind w:right="91"/>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5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w:t>
            </w:r>
          </w:p>
        </w:tc>
        <w:tc>
          <w:tcPr>
            <w:tcW w:w="22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ind w:left="180"/>
              <w:spacing w:after="0"/>
              <w:rPr>
                <w:sz w:val="20"/>
                <w:szCs w:val="20"/>
                <w:color w:val="auto"/>
              </w:rPr>
            </w:pPr>
            <w:r>
              <w:rPr>
                <w:rFonts w:ascii="Arial" w:cs="Arial" w:eastAsia="Arial" w:hAnsi="Arial"/>
                <w:sz w:val="18"/>
                <w:szCs w:val="18"/>
                <w:color w:val="auto"/>
              </w:rPr>
              <w:t>Property, plant and equipment</w:t>
            </w:r>
          </w:p>
        </w:tc>
        <w:tc>
          <w:tcPr>
            <w:tcW w:w="540" w:type="dxa"/>
            <w:vAlign w:val="bottom"/>
            <w:gridSpan w:val="2"/>
          </w:tcPr>
          <w:p>
            <w:pPr>
              <w:jc w:val="right"/>
              <w:ind w:right="8"/>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40,472</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48,075</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5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w:t>
            </w:r>
          </w:p>
        </w:tc>
        <w:tc>
          <w:tcPr>
            <w:tcW w:w="22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ind w:left="180"/>
              <w:spacing w:after="0"/>
              <w:rPr>
                <w:sz w:val="20"/>
                <w:szCs w:val="20"/>
                <w:color w:val="auto"/>
              </w:rPr>
            </w:pPr>
            <w:r>
              <w:rPr>
                <w:rFonts w:ascii="Arial" w:cs="Arial" w:eastAsia="Arial" w:hAnsi="Arial"/>
                <w:sz w:val="18"/>
                <w:szCs w:val="18"/>
                <w:color w:val="auto"/>
              </w:rPr>
              <w:t>Right-of-use assets</w:t>
            </w:r>
          </w:p>
        </w:tc>
        <w:tc>
          <w:tcPr>
            <w:tcW w:w="540" w:type="dxa"/>
            <w:vAlign w:val="bottom"/>
            <w:gridSpan w:val="2"/>
          </w:tcPr>
          <w:p>
            <w:pPr>
              <w:jc w:val="right"/>
              <w:ind w:right="8"/>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13,611</w:t>
            </w:r>
          </w:p>
        </w:tc>
        <w:tc>
          <w:tcPr>
            <w:tcW w:w="0" w:type="dxa"/>
            <w:vAlign w:val="bottom"/>
          </w:tcPr>
          <w:p>
            <w:pPr>
              <w:spacing w:after="0"/>
              <w:rPr>
                <w:sz w:val="1"/>
                <w:szCs w:val="1"/>
                <w:color w:val="auto"/>
              </w:rPr>
            </w:pPr>
          </w:p>
        </w:tc>
      </w:tr>
      <w:tr>
        <w:trPr>
          <w:trHeight w:val="243"/>
        </w:trPr>
        <w:tc>
          <w:tcPr>
            <w:tcW w:w="5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54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52,589</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73,445</w:t>
            </w: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ind w:left="180"/>
              <w:spacing w:after="0"/>
              <w:rPr>
                <w:sz w:val="20"/>
                <w:szCs w:val="20"/>
                <w:color w:val="auto"/>
              </w:rPr>
            </w:pPr>
            <w:r>
              <w:rPr>
                <w:rFonts w:ascii="Arial" w:cs="Arial" w:eastAsia="Arial" w:hAnsi="Arial"/>
                <w:sz w:val="18"/>
                <w:szCs w:val="18"/>
                <w:color w:val="auto"/>
              </w:rPr>
              <w:t>Inventories</w:t>
            </w:r>
          </w:p>
        </w:tc>
        <w:tc>
          <w:tcPr>
            <w:tcW w:w="540" w:type="dxa"/>
            <w:vAlign w:val="bottom"/>
            <w:gridSpan w:val="2"/>
          </w:tcPr>
          <w:p>
            <w:pPr>
              <w:jc w:val="right"/>
              <w:ind w:right="8"/>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2,951</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6,197</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Trade receivables</w:t>
            </w:r>
          </w:p>
        </w:tc>
        <w:tc>
          <w:tcPr>
            <w:tcW w:w="5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w:t>
            </w:r>
          </w:p>
        </w:tc>
        <w:tc>
          <w:tcPr>
            <w:tcW w:w="22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5,476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20" w:type="dxa"/>
            <w:vAlign w:val="bottom"/>
            <w:gridSpan w:val="2"/>
          </w:tcPr>
          <w:p>
            <w:pPr>
              <w:ind w:left="180"/>
              <w:spacing w:after="0"/>
              <w:rPr>
                <w:sz w:val="20"/>
                <w:szCs w:val="20"/>
                <w:color w:val="auto"/>
              </w:rPr>
            </w:pPr>
            <w:r>
              <w:rPr>
                <w:rFonts w:ascii="Arial" w:cs="Arial" w:eastAsia="Arial" w:hAnsi="Arial"/>
                <w:sz w:val="18"/>
                <w:szCs w:val="18"/>
                <w:color w:val="auto"/>
              </w:rPr>
              <w:t>Contract assets</w:t>
            </w:r>
          </w:p>
        </w:tc>
        <w:tc>
          <w:tcPr>
            <w:tcW w:w="540" w:type="dxa"/>
            <w:vAlign w:val="bottom"/>
            <w:gridSpan w:val="2"/>
          </w:tcPr>
          <w:p>
            <w:pPr>
              <w:jc w:val="right"/>
              <w:ind w:right="8"/>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1,382</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30"/>
        </w:trPr>
        <w:tc>
          <w:tcPr>
            <w:tcW w:w="5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financial assets</w:t>
            </w:r>
          </w:p>
        </w:tc>
        <w:tc>
          <w:tcPr>
            <w:tcW w:w="5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w:t>
            </w:r>
          </w:p>
        </w:tc>
        <w:tc>
          <w:tcPr>
            <w:tcW w:w="220" w:type="dxa"/>
            <w:vAlign w:val="bottom"/>
            <w:tcBorders>
              <w:right w:val="single" w:sz="8" w:color="CCEEFF"/>
            </w:tcBorders>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39,253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assets</w:t>
            </w:r>
          </w:p>
        </w:tc>
        <w:tc>
          <w:tcPr>
            <w:tcW w:w="540" w:type="dxa"/>
            <w:vAlign w:val="bottom"/>
            <w:gridSpan w:val="2"/>
          </w:tcPr>
          <w:p>
            <w:pPr>
              <w:jc w:val="right"/>
              <w:ind w:right="8"/>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2,628</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57"/>
        </w:trPr>
        <w:tc>
          <w:tcPr>
            <w:tcW w:w="5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21,380</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30,684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73,070</w:t>
            </w:r>
          </w:p>
        </w:tc>
        <w:tc>
          <w:tcPr>
            <w:tcW w:w="220" w:type="dxa"/>
            <w:vAlign w:val="bottom"/>
          </w:tcPr>
          <w:p>
            <w:pPr>
              <w:spacing w:after="0"/>
              <w:rPr>
                <w:sz w:val="21"/>
                <w:szCs w:val="21"/>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57,175</w:t>
            </w:r>
          </w:p>
        </w:tc>
        <w:tc>
          <w:tcPr>
            <w:tcW w:w="0" w:type="dxa"/>
            <w:vAlign w:val="bottom"/>
          </w:tcPr>
          <w:p>
            <w:pPr>
              <w:spacing w:after="0"/>
              <w:rPr>
                <w:sz w:val="1"/>
                <w:szCs w:val="1"/>
                <w:color w:val="auto"/>
              </w:rPr>
            </w:pPr>
          </w:p>
        </w:tc>
      </w:tr>
      <w:tr>
        <w:trPr>
          <w:trHeight w:val="250"/>
        </w:trPr>
        <w:tc>
          <w:tcPr>
            <w:tcW w:w="59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125,659</w:t>
            </w:r>
          </w:p>
        </w:tc>
        <w:tc>
          <w:tcPr>
            <w:tcW w:w="2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130,620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9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20" w:type="dxa"/>
            <w:vAlign w:val="bottom"/>
            <w:gridSpan w:val="2"/>
          </w:tcPr>
          <w:p>
            <w:pPr>
              <w:ind w:left="180"/>
              <w:spacing w:after="0"/>
              <w:rPr>
                <w:sz w:val="20"/>
                <w:szCs w:val="20"/>
                <w:color w:val="auto"/>
              </w:rPr>
            </w:pPr>
            <w:r>
              <w:rPr>
                <w:rFonts w:ascii="Arial" w:cs="Arial" w:eastAsia="Arial" w:hAnsi="Arial"/>
                <w:sz w:val="18"/>
                <w:szCs w:val="18"/>
                <w:color w:val="auto"/>
              </w:rPr>
              <w:t>Issued capital*</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11,610</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11,610</w:t>
            </w:r>
          </w:p>
        </w:tc>
        <w:tc>
          <w:tcPr>
            <w:tcW w:w="0" w:type="dxa"/>
            <w:vAlign w:val="bottom"/>
          </w:tcPr>
          <w:p>
            <w:pPr>
              <w:spacing w:after="0"/>
              <w:rPr>
                <w:sz w:val="1"/>
                <w:szCs w:val="1"/>
                <w:color w:val="auto"/>
              </w:rPr>
            </w:pPr>
          </w:p>
        </w:tc>
      </w:tr>
      <w:tr>
        <w:trPr>
          <w:trHeight w:val="243"/>
        </w:trPr>
        <w:tc>
          <w:tcPr>
            <w:tcW w:w="5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Capital reserve*</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436,557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461,513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2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(416,074)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(515,947)</w:t>
            </w:r>
          </w:p>
        </w:tc>
        <w:tc>
          <w:tcPr>
            <w:tcW w:w="0" w:type="dxa"/>
            <w:vAlign w:val="bottom"/>
          </w:tcPr>
          <w:p>
            <w:pPr>
              <w:spacing w:after="0"/>
              <w:rPr>
                <w:sz w:val="1"/>
                <w:szCs w:val="1"/>
                <w:color w:val="auto"/>
              </w:rPr>
            </w:pPr>
          </w:p>
        </w:tc>
      </w:tr>
      <w:tr>
        <w:trPr>
          <w:trHeight w:val="256"/>
        </w:trPr>
        <w:tc>
          <w:tcPr>
            <w:tcW w:w="5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00" w:type="dxa"/>
            <w:vAlign w:val="bottom"/>
            <w:shd w:val="clear" w:color="auto" w:fill="CCEEFF"/>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Total equity</w:t>
            </w:r>
          </w:p>
        </w:tc>
        <w:tc>
          <w:tcPr>
            <w:tcW w:w="540" w:type="dxa"/>
            <w:vAlign w:val="bottom"/>
            <w:gridSpan w:val="2"/>
          </w:tcPr>
          <w:p>
            <w:pPr>
              <w:jc w:val="right"/>
              <w:ind w:right="8"/>
              <w:spacing w:after="0"/>
              <w:rPr>
                <w:sz w:val="20"/>
                <w:szCs w:val="20"/>
                <w:color w:val="auto"/>
              </w:rPr>
            </w:pPr>
            <w:r>
              <w:rPr>
                <w:rFonts w:ascii="Arial" w:cs="Arial" w:eastAsia="Arial" w:hAnsi="Arial"/>
                <w:sz w:val="18"/>
                <w:szCs w:val="18"/>
                <w:b w:val="1"/>
                <w:bCs w:val="1"/>
                <w:color w:val="auto"/>
              </w:rPr>
              <w:t>8</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32,083</w:t>
            </w:r>
          </w:p>
        </w:tc>
        <w:tc>
          <w:tcPr>
            <w:tcW w:w="22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(42,802)</w:t>
            </w:r>
          </w:p>
        </w:tc>
        <w:tc>
          <w:tcPr>
            <w:tcW w:w="0" w:type="dxa"/>
            <w:vAlign w:val="bottom"/>
          </w:tcPr>
          <w:p>
            <w:pPr>
              <w:spacing w:after="0"/>
              <w:rPr>
                <w:sz w:val="1"/>
                <w:szCs w:val="1"/>
                <w:color w:val="auto"/>
              </w:rPr>
            </w:pPr>
          </w:p>
        </w:tc>
      </w:tr>
      <w:tr>
        <w:trPr>
          <w:trHeight w:val="237"/>
        </w:trPr>
        <w:tc>
          <w:tcPr>
            <w:tcW w:w="5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2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right w:val="single" w:sz="8" w:color="CCEEFF"/>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right w:val="single" w:sz="8" w:color="CCEEFF"/>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20" w:type="dxa"/>
            <w:vAlign w:val="bottom"/>
            <w:gridSpan w:val="2"/>
          </w:tcPr>
          <w:p>
            <w:pPr>
              <w:ind w:left="180"/>
              <w:spacing w:after="0"/>
              <w:rPr>
                <w:sz w:val="20"/>
                <w:szCs w:val="20"/>
                <w:color w:val="auto"/>
              </w:rPr>
            </w:pPr>
            <w:r>
              <w:rPr>
                <w:rFonts w:ascii="Arial" w:cs="Arial" w:eastAsia="Arial" w:hAnsi="Arial"/>
                <w:sz w:val="18"/>
                <w:szCs w:val="18"/>
                <w:color w:val="auto"/>
              </w:rPr>
              <w:t>Convertible loans</w:t>
            </w:r>
          </w:p>
        </w:tc>
        <w:tc>
          <w:tcPr>
            <w:tcW w:w="540" w:type="dxa"/>
            <w:vAlign w:val="bottom"/>
            <w:gridSpan w:val="2"/>
          </w:tcPr>
          <w:p>
            <w:pPr>
              <w:jc w:val="right"/>
              <w:ind w:right="8"/>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65,018</w:t>
            </w:r>
          </w:p>
        </w:tc>
        <w:tc>
          <w:tcPr>
            <w:tcW w:w="0" w:type="dxa"/>
            <w:vAlign w:val="bottom"/>
          </w:tcPr>
          <w:p>
            <w:pPr>
              <w:spacing w:after="0"/>
              <w:rPr>
                <w:sz w:val="1"/>
                <w:szCs w:val="1"/>
                <w:color w:val="auto"/>
              </w:rPr>
            </w:pPr>
          </w:p>
        </w:tc>
      </w:tr>
      <w:tr>
        <w:trPr>
          <w:trHeight w:val="243"/>
        </w:trPr>
        <w:tc>
          <w:tcPr>
            <w:tcW w:w="5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Lease liabilities</w:t>
            </w:r>
          </w:p>
        </w:tc>
        <w:tc>
          <w:tcPr>
            <w:tcW w:w="5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w:t>
            </w:r>
          </w:p>
        </w:tc>
        <w:tc>
          <w:tcPr>
            <w:tcW w:w="220" w:type="dxa"/>
            <w:vAlign w:val="bottom"/>
            <w:tcBorders>
              <w:right w:val="single" w:sz="8" w:color="CCEEFF"/>
            </w:tcBorders>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20" w:type="dxa"/>
            <w:vAlign w:val="bottom"/>
            <w:gridSpan w:val="2"/>
          </w:tcPr>
          <w:p>
            <w:pPr>
              <w:ind w:left="180"/>
              <w:spacing w:after="0"/>
              <w:rPr>
                <w:sz w:val="20"/>
                <w:szCs w:val="20"/>
                <w:color w:val="auto"/>
              </w:rPr>
            </w:pPr>
            <w:r>
              <w:rPr>
                <w:rFonts w:ascii="Arial" w:cs="Arial" w:eastAsia="Arial" w:hAnsi="Arial"/>
                <w:sz w:val="18"/>
                <w:szCs w:val="18"/>
                <w:color w:val="auto"/>
              </w:rPr>
              <w:t>Contract liabilities</w:t>
            </w:r>
          </w:p>
        </w:tc>
        <w:tc>
          <w:tcPr>
            <w:tcW w:w="540" w:type="dxa"/>
            <w:vAlign w:val="bottom"/>
            <w:gridSpan w:val="2"/>
          </w:tcPr>
          <w:p>
            <w:pPr>
              <w:jc w:val="right"/>
              <w:ind w:right="8"/>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64,583</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66,040</w:t>
            </w:r>
          </w:p>
        </w:tc>
        <w:tc>
          <w:tcPr>
            <w:tcW w:w="0" w:type="dxa"/>
            <w:vAlign w:val="bottom"/>
          </w:tcPr>
          <w:p>
            <w:pPr>
              <w:spacing w:after="0"/>
              <w:rPr>
                <w:sz w:val="1"/>
                <w:szCs w:val="1"/>
                <w:color w:val="auto"/>
              </w:rPr>
            </w:pPr>
          </w:p>
        </w:tc>
      </w:tr>
      <w:tr>
        <w:trPr>
          <w:trHeight w:val="243"/>
        </w:trPr>
        <w:tc>
          <w:tcPr>
            <w:tcW w:w="5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5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13</w:t>
            </w:r>
          </w:p>
        </w:tc>
        <w:tc>
          <w:tcPr>
            <w:tcW w:w="220" w:type="dxa"/>
            <w:vAlign w:val="bottom"/>
            <w:tcBorders>
              <w:right w:val="single" w:sz="8" w:color="CCEEFF"/>
            </w:tcBorders>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92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863</w:t>
            </w:r>
          </w:p>
        </w:tc>
        <w:tc>
          <w:tcPr>
            <w:tcW w:w="22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50"/>
        </w:trPr>
        <w:tc>
          <w:tcPr>
            <w:tcW w:w="59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65,446</w:t>
            </w:r>
          </w:p>
        </w:tc>
        <w:tc>
          <w:tcPr>
            <w:tcW w:w="2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145,336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financial liabilities</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20" w:type="dxa"/>
            <w:vAlign w:val="bottom"/>
            <w:gridSpan w:val="2"/>
          </w:tcPr>
          <w:p>
            <w:pPr>
              <w:ind w:left="180"/>
              <w:spacing w:after="0"/>
              <w:rPr>
                <w:sz w:val="20"/>
                <w:szCs w:val="20"/>
                <w:color w:val="auto"/>
              </w:rPr>
            </w:pPr>
            <w:r>
              <w:rPr>
                <w:rFonts w:ascii="Arial" w:cs="Arial" w:eastAsia="Arial" w:hAnsi="Arial"/>
                <w:sz w:val="18"/>
                <w:szCs w:val="18"/>
                <w:color w:val="auto"/>
              </w:rPr>
              <w:t>Lease liabilities</w:t>
            </w:r>
          </w:p>
        </w:tc>
        <w:tc>
          <w:tcPr>
            <w:tcW w:w="540" w:type="dxa"/>
            <w:vAlign w:val="bottom"/>
            <w:gridSpan w:val="2"/>
          </w:tcPr>
          <w:p>
            <w:pPr>
              <w:jc w:val="right"/>
              <w:ind w:right="8"/>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43"/>
        </w:trPr>
        <w:tc>
          <w:tcPr>
            <w:tcW w:w="5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Trade and other payables</w:t>
            </w:r>
          </w:p>
        </w:tc>
        <w:tc>
          <w:tcPr>
            <w:tcW w:w="5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11</w:t>
            </w:r>
          </w:p>
        </w:tc>
        <w:tc>
          <w:tcPr>
            <w:tcW w:w="220" w:type="dxa"/>
            <w:vAlign w:val="bottom"/>
            <w:tcBorders>
              <w:right w:val="single" w:sz="8" w:color="CCEEFF"/>
            </w:tcBorders>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2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540" w:type="dxa"/>
            <w:vAlign w:val="bottom"/>
            <w:gridSpan w:val="2"/>
          </w:tcPr>
          <w:p>
            <w:pPr>
              <w:jc w:val="right"/>
              <w:ind w:right="8"/>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11,146</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12,015</w:t>
            </w:r>
          </w:p>
        </w:tc>
        <w:tc>
          <w:tcPr>
            <w:tcW w:w="0" w:type="dxa"/>
            <w:vAlign w:val="bottom"/>
          </w:tcPr>
          <w:p>
            <w:pPr>
              <w:spacing w:after="0"/>
              <w:rPr>
                <w:sz w:val="1"/>
                <w:szCs w:val="1"/>
                <w:color w:val="auto"/>
              </w:rPr>
            </w:pPr>
          </w:p>
        </w:tc>
      </w:tr>
      <w:tr>
        <w:trPr>
          <w:trHeight w:val="243"/>
        </w:trPr>
        <w:tc>
          <w:tcPr>
            <w:tcW w:w="5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5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13</w:t>
            </w:r>
          </w:p>
        </w:tc>
        <w:tc>
          <w:tcPr>
            <w:tcW w:w="220" w:type="dxa"/>
            <w:vAlign w:val="bottom"/>
            <w:tcBorders>
              <w:right w:val="single" w:sz="8" w:color="CCEEFF"/>
            </w:tcBorders>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20" w:type="dxa"/>
            <w:vAlign w:val="bottom"/>
            <w:gridSpan w:val="2"/>
          </w:tcPr>
          <w:p>
            <w:pPr>
              <w:ind w:left="180"/>
              <w:spacing w:after="0"/>
              <w:rPr>
                <w:sz w:val="20"/>
                <w:szCs w:val="20"/>
                <w:color w:val="auto"/>
              </w:rPr>
            </w:pPr>
            <w:r>
              <w:rPr>
                <w:rFonts w:ascii="Arial" w:cs="Arial" w:eastAsia="Arial" w:hAnsi="Arial"/>
                <w:sz w:val="18"/>
                <w:szCs w:val="18"/>
                <w:color w:val="auto"/>
              </w:rPr>
              <w:t>Contract liabilities</w:t>
            </w:r>
          </w:p>
        </w:tc>
        <w:tc>
          <w:tcPr>
            <w:tcW w:w="540" w:type="dxa"/>
            <w:vAlign w:val="bottom"/>
            <w:gridSpan w:val="2"/>
          </w:tcPr>
          <w:p>
            <w:pPr>
              <w:jc w:val="right"/>
              <w:ind w:right="8"/>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5,777</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7,481</w:t>
            </w:r>
          </w:p>
        </w:tc>
        <w:tc>
          <w:tcPr>
            <w:tcW w:w="0" w:type="dxa"/>
            <w:vAlign w:val="bottom"/>
          </w:tcPr>
          <w:p>
            <w:pPr>
              <w:spacing w:after="0"/>
              <w:rPr>
                <w:sz w:val="1"/>
                <w:szCs w:val="1"/>
                <w:color w:val="auto"/>
              </w:rPr>
            </w:pPr>
          </w:p>
        </w:tc>
      </w:tr>
      <w:tr>
        <w:trPr>
          <w:trHeight w:val="256"/>
        </w:trPr>
        <w:tc>
          <w:tcPr>
            <w:tcW w:w="5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28,130</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28,086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93,576</w:t>
            </w:r>
          </w:p>
        </w:tc>
        <w:tc>
          <w:tcPr>
            <w:tcW w:w="220" w:type="dxa"/>
            <w:vAlign w:val="bottom"/>
          </w:tcPr>
          <w:p>
            <w:pPr>
              <w:spacing w:after="0"/>
              <w:rPr>
                <w:sz w:val="21"/>
                <w:szCs w:val="21"/>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5"/>
              </w:rPr>
              <w:t>173,422</w:t>
            </w:r>
          </w:p>
        </w:tc>
        <w:tc>
          <w:tcPr>
            <w:tcW w:w="0" w:type="dxa"/>
            <w:vAlign w:val="bottom"/>
          </w:tcPr>
          <w:p>
            <w:pPr>
              <w:spacing w:after="0"/>
              <w:rPr>
                <w:sz w:val="1"/>
                <w:szCs w:val="1"/>
                <w:color w:val="auto"/>
              </w:rPr>
            </w:pPr>
          </w:p>
        </w:tc>
      </w:tr>
      <w:tr>
        <w:trPr>
          <w:trHeight w:val="250"/>
        </w:trPr>
        <w:tc>
          <w:tcPr>
            <w:tcW w:w="59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equity and liabilities</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125,659</w:t>
            </w:r>
          </w:p>
        </w:tc>
        <w:tc>
          <w:tcPr>
            <w:tcW w:w="2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130,620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600" w:type="dxa"/>
            <w:vAlign w:val="bottom"/>
            <w:tcBorders>
              <w:bottom w:val="single" w:sz="8" w:color="auto"/>
            </w:tcBorders>
          </w:tcPr>
          <w:p>
            <w:pPr>
              <w:spacing w:after="0"/>
              <w:rPr>
                <w:sz w:val="6"/>
                <w:szCs w:val="6"/>
                <w:color w:val="auto"/>
              </w:rPr>
            </w:pPr>
          </w:p>
        </w:tc>
        <w:tc>
          <w:tcPr>
            <w:tcW w:w="3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-265430</wp:posOffset>
            </wp:positionV>
            <wp:extent cx="48006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480060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-1859280</wp:posOffset>
            </wp:positionV>
            <wp:extent cx="48006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480060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-2802255</wp:posOffset>
            </wp:positionV>
            <wp:extent cx="48006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480060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-4070985</wp:posOffset>
            </wp:positionV>
            <wp:extent cx="480060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48006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-5262880</wp:posOffset>
            </wp:positionV>
            <wp:extent cx="480060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48006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-6411595</wp:posOffset>
            </wp:positionV>
            <wp:extent cx="479171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4791710" cy="8255"/>
                    </a:xfrm>
                    <a:prstGeom prst="rect">
                      <a:avLst/>
                    </a:prstGeom>
                    <a:noFill/>
                  </pic:spPr>
                </pic:pic>
              </a:graphicData>
            </a:graphic>
          </wp:anchor>
        </w:drawing>
      </w:r>
    </w:p>
    <w:p>
      <w:pPr>
        <w:spacing w:after="0" w:line="123" w:lineRule="exact"/>
        <w:rPr>
          <w:sz w:val="20"/>
          <w:szCs w:val="20"/>
          <w:color w:val="auto"/>
        </w:rPr>
      </w:pPr>
    </w:p>
    <w:p>
      <w:pPr>
        <w:ind w:left="1440" w:right="839" w:hanging="180"/>
        <w:spacing w:after="0" w:line="293" w:lineRule="auto"/>
        <w:tabs>
          <w:tab w:leader="none" w:pos="1440" w:val="left"/>
        </w:tabs>
        <w:numPr>
          <w:ilvl w:val="0"/>
          <w:numId w:val="208"/>
        </w:numPr>
        <w:rPr>
          <w:rFonts w:ascii="Arial" w:cs="Arial" w:eastAsia="Arial" w:hAnsi="Arial"/>
          <w:sz w:val="14"/>
          <w:szCs w:val="14"/>
          <w:color w:val="auto"/>
        </w:rPr>
      </w:pPr>
      <w:r>
        <w:rPr>
          <w:rFonts w:ascii="Arial" w:cs="Arial" w:eastAsia="Arial" w:hAnsi="Arial"/>
          <w:sz w:val="14"/>
          <w:szCs w:val="14"/>
          <w:color w:val="auto"/>
        </w:rPr>
        <w:t>Amounts have been retrospectively adjusted to reflect the impact of the share split resulting from the corporate reorganization described in Note 1.</w:t>
      </w:r>
    </w:p>
    <w:p>
      <w:pPr>
        <w:spacing w:after="0" w:line="43"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9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34" w:name="page335"/>
    <w:bookmarkEnd w:id="334"/>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CureVac AG</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19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4"/>
              </w:rPr>
              <w:t>Currency</w:t>
            </w:r>
          </w:p>
        </w:tc>
        <w:tc>
          <w:tcPr>
            <w:tcW w:w="660" w:type="dxa"/>
            <w:vAlign w:val="bottom"/>
          </w:tcPr>
          <w:p>
            <w:pPr>
              <w:spacing w:after="0"/>
              <w:rPr>
                <w:sz w:val="14"/>
                <w:szCs w:val="14"/>
                <w:color w:val="auto"/>
              </w:rPr>
            </w:pPr>
          </w:p>
        </w:tc>
      </w:tr>
      <w:tr>
        <w:trPr>
          <w:trHeight w:val="162"/>
        </w:trPr>
        <w:tc>
          <w:tcPr>
            <w:tcW w:w="2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Issued</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Capital</w:t>
            </w:r>
          </w:p>
        </w:tc>
        <w:tc>
          <w:tcPr>
            <w:tcW w:w="10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8"/>
              </w:rPr>
              <w:t>Accumulated</w:t>
            </w:r>
          </w:p>
        </w:tc>
        <w:tc>
          <w:tcPr>
            <w:tcW w:w="9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translation</w:t>
            </w:r>
          </w:p>
        </w:tc>
        <w:tc>
          <w:tcPr>
            <w:tcW w:w="660" w:type="dxa"/>
            <w:vAlign w:val="bottom"/>
          </w:tcPr>
          <w:p>
            <w:pPr>
              <w:spacing w:after="0"/>
              <w:rPr>
                <w:sz w:val="14"/>
                <w:szCs w:val="14"/>
                <w:color w:val="auto"/>
              </w:rPr>
            </w:pPr>
          </w:p>
        </w:tc>
      </w:tr>
      <w:tr>
        <w:trPr>
          <w:trHeight w:val="186"/>
        </w:trPr>
        <w:tc>
          <w:tcPr>
            <w:tcW w:w="4060" w:type="dxa"/>
            <w:vAlign w:val="bottom"/>
            <w:gridSpan w:val="2"/>
          </w:tcPr>
          <w:p>
            <w:pPr>
              <w:spacing w:after="0"/>
              <w:rPr>
                <w:sz w:val="20"/>
                <w:szCs w:val="20"/>
                <w:color w:val="auto"/>
              </w:rPr>
            </w:pPr>
            <w:r>
              <w:rPr>
                <w:rFonts w:ascii="Arial" w:cs="Arial" w:eastAsia="Arial" w:hAnsi="Arial"/>
                <w:sz w:val="14"/>
                <w:szCs w:val="14"/>
                <w:b w:val="1"/>
                <w:bCs w:val="1"/>
                <w:color w:val="auto"/>
              </w:rPr>
              <w:t>(in thousands of EUR)</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capital*</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reserve*</w:t>
            </w:r>
          </w:p>
        </w:tc>
        <w:tc>
          <w:tcPr>
            <w:tcW w:w="80" w:type="dxa"/>
            <w:vAlign w:val="bottom"/>
          </w:tcPr>
          <w:p>
            <w:pPr>
              <w:spacing w:after="0"/>
              <w:rPr>
                <w:sz w:val="16"/>
                <w:szCs w:val="16"/>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deficit</w:t>
            </w:r>
          </w:p>
        </w:tc>
        <w:tc>
          <w:tcPr>
            <w:tcW w:w="9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4"/>
              </w:rPr>
              <w:t>reserve</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1"/>
              </w:rPr>
              <w:t>Total equity</w:t>
            </w:r>
          </w:p>
        </w:tc>
      </w:tr>
      <w:tr>
        <w:trPr>
          <w:trHeight w:val="26"/>
        </w:trPr>
        <w:tc>
          <w:tcPr>
            <w:tcW w:w="26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7"/>
        </w:trPr>
        <w:tc>
          <w:tcPr>
            <w:tcW w:w="40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2018</w:t>
            </w: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3"/>
              </w:rPr>
              <w:t>11,610</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6"/>
              </w:rPr>
              <w:t>436,555</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(345,320)</w:t>
            </w:r>
          </w:p>
        </w:tc>
        <w:tc>
          <w:tcPr>
            <w:tcW w:w="20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(76)</w:t>
            </w:r>
          </w:p>
        </w:tc>
        <w:tc>
          <w:tcPr>
            <w:tcW w:w="280" w:type="dxa"/>
            <w:vAlign w:val="bottom"/>
            <w:tcBorders>
              <w:right w:val="single" w:sz="8" w:color="CCEEFF"/>
            </w:tcBorders>
            <w:shd w:val="clear" w:color="auto" w:fill="CCEEFF"/>
          </w:tcPr>
          <w:p>
            <w:pPr>
              <w:spacing w:after="0"/>
              <w:rPr>
                <w:sz w:val="22"/>
                <w:szCs w:val="22"/>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102,769</w:t>
            </w: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Effects from the first-time adoption of IFRS 9</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(183)</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63"/>
        </w:trPr>
        <w:tc>
          <w:tcPr>
            <w:tcW w:w="40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Effects from the first-time adoption of IFRS 15</w:t>
            </w: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670</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tcBorders>
              <w:right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r>
      <w:tr>
        <w:trPr>
          <w:trHeight w:val="20"/>
        </w:trPr>
        <w:tc>
          <w:tcPr>
            <w:tcW w:w="2600" w:type="dxa"/>
            <w:vAlign w:val="bottom"/>
            <w:shd w:val="clear" w:color="auto" w:fill="CCEEFF"/>
          </w:tcPr>
          <w:p>
            <w:pPr>
              <w:spacing w:after="0" w:line="20" w:lineRule="exact"/>
              <w:rPr>
                <w:sz w:val="1"/>
                <w:szCs w:val="1"/>
                <w:color w:val="auto"/>
              </w:rPr>
            </w:pPr>
          </w:p>
        </w:tc>
        <w:tc>
          <w:tcPr>
            <w:tcW w:w="146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r>
      <w:tr>
        <w:trPr>
          <w:trHeight w:val="283"/>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Adjusted balance as of January 1, 2018</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3"/>
              </w:rPr>
              <w:t>11,610</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436,555</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(344,833)</w:t>
            </w:r>
          </w:p>
        </w:tc>
        <w:tc>
          <w:tcPr>
            <w:tcW w:w="200" w:type="dxa"/>
            <w:vAlign w:val="bottom"/>
          </w:tcPr>
          <w:p>
            <w:pPr>
              <w:spacing w:after="0"/>
              <w:rPr>
                <w:sz w:val="24"/>
                <w:szCs w:val="24"/>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(76)</w:t>
            </w: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89"/>
              </w:rPr>
              <w:t>103,256</w:t>
            </w:r>
          </w:p>
        </w:tc>
      </w:tr>
      <w:tr>
        <w:trPr>
          <w:trHeight w:val="20"/>
        </w:trPr>
        <w:tc>
          <w:tcPr>
            <w:tcW w:w="26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right w:val="single" w:sz="8" w:color="CCEEFF"/>
            </w:tcBorders>
            <w:shd w:val="clear" w:color="auto" w:fill="000000"/>
          </w:tcPr>
          <w:p>
            <w:pPr>
              <w:spacing w:after="0" w:line="20" w:lineRule="exact"/>
              <w:rPr>
                <w:sz w:val="1"/>
                <w:szCs w:val="1"/>
                <w:color w:val="auto"/>
              </w:rPr>
            </w:pPr>
          </w:p>
        </w:tc>
      </w:tr>
      <w:tr>
        <w:trPr>
          <w:trHeight w:val="230"/>
        </w:trPr>
        <w:tc>
          <w:tcPr>
            <w:tcW w:w="40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(71,241)</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tcBorders>
              <w:right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(71,241)</w:t>
            </w:r>
          </w:p>
        </w:tc>
      </w:tr>
      <w:tr>
        <w:trPr>
          <w:trHeight w:val="263"/>
        </w:trPr>
        <w:tc>
          <w:tcPr>
            <w:tcW w:w="406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220"/>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2600" w:type="dxa"/>
            <w:vAlign w:val="bottom"/>
            <w:shd w:val="clear" w:color="auto" w:fill="CCEEFF"/>
          </w:tcPr>
          <w:p>
            <w:pPr>
              <w:spacing w:after="0" w:line="20" w:lineRule="exact"/>
              <w:rPr>
                <w:sz w:val="1"/>
                <w:szCs w:val="1"/>
                <w:color w:val="auto"/>
              </w:rPr>
            </w:pPr>
          </w:p>
        </w:tc>
        <w:tc>
          <w:tcPr>
            <w:tcW w:w="146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r>
      <w:tr>
        <w:trPr>
          <w:trHeight w:val="257"/>
        </w:trPr>
        <w:tc>
          <w:tcPr>
            <w:tcW w:w="40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(loss)</w:t>
            </w: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(71,241)</w:t>
            </w:r>
          </w:p>
        </w:tc>
        <w:tc>
          <w:tcPr>
            <w:tcW w:w="20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66</w:t>
            </w:r>
          </w:p>
        </w:tc>
        <w:tc>
          <w:tcPr>
            <w:tcW w:w="280" w:type="dxa"/>
            <w:vAlign w:val="bottom"/>
            <w:tcBorders>
              <w:right w:val="single" w:sz="8" w:color="CCEEFF"/>
            </w:tcBorders>
            <w:shd w:val="clear" w:color="auto" w:fill="CCEEFF"/>
          </w:tcPr>
          <w:p>
            <w:pPr>
              <w:spacing w:after="0"/>
              <w:rPr>
                <w:sz w:val="22"/>
                <w:szCs w:val="22"/>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(71,175)</w:t>
            </w:r>
          </w:p>
        </w:tc>
      </w:tr>
      <w:tr>
        <w:trPr>
          <w:trHeight w:val="263"/>
        </w:trPr>
        <w:tc>
          <w:tcPr>
            <w:tcW w:w="4060" w:type="dxa"/>
            <w:vAlign w:val="bottom"/>
            <w:gridSpan w:val="2"/>
          </w:tcPr>
          <w:p>
            <w:pPr>
              <w:spacing w:after="0"/>
              <w:rPr>
                <w:sz w:val="20"/>
                <w:szCs w:val="20"/>
                <w:color w:val="auto"/>
              </w:rPr>
            </w:pPr>
            <w:r>
              <w:rPr>
                <w:rFonts w:ascii="Arial" w:cs="Arial" w:eastAsia="Arial" w:hAnsi="Arial"/>
                <w:sz w:val="18"/>
                <w:szCs w:val="18"/>
                <w:color w:val="auto"/>
              </w:rPr>
              <w:t>Expenses from share-based payment plan</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2"/>
                <w:szCs w:val="22"/>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7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600" w:type="dxa"/>
            <w:vAlign w:val="bottom"/>
            <w:shd w:val="clear" w:color="auto" w:fill="CCEEFF"/>
          </w:tcPr>
          <w:p>
            <w:pPr>
              <w:spacing w:after="0" w:line="20" w:lineRule="exact"/>
              <w:rPr>
                <w:sz w:val="1"/>
                <w:szCs w:val="1"/>
                <w:color w:val="auto"/>
              </w:rPr>
            </w:pPr>
          </w:p>
        </w:tc>
        <w:tc>
          <w:tcPr>
            <w:tcW w:w="146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r>
      <w:tr>
        <w:trPr>
          <w:trHeight w:val="264"/>
        </w:trPr>
        <w:tc>
          <w:tcPr>
            <w:tcW w:w="40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2018</w:t>
            </w: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3"/>
              </w:rPr>
              <w:t>11,610</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6"/>
              </w:rPr>
              <w:t>436,557</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(416,074)</w:t>
            </w:r>
          </w:p>
        </w:tc>
        <w:tc>
          <w:tcPr>
            <w:tcW w:w="20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w:t>
            </w:r>
          </w:p>
        </w:tc>
        <w:tc>
          <w:tcPr>
            <w:tcW w:w="280" w:type="dxa"/>
            <w:vAlign w:val="bottom"/>
            <w:tcBorders>
              <w:right w:val="single" w:sz="8" w:color="CCEEFF"/>
            </w:tcBorders>
            <w:shd w:val="clear" w:color="auto" w:fill="CCEEFF"/>
          </w:tcPr>
          <w:p>
            <w:pPr>
              <w:spacing w:after="0"/>
              <w:rPr>
                <w:sz w:val="22"/>
                <w:szCs w:val="22"/>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32,083</w:t>
            </w: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(99,873)</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(99,873)</w:t>
            </w:r>
          </w:p>
        </w:tc>
      </w:tr>
      <w:tr>
        <w:trPr>
          <w:trHeight w:val="263"/>
        </w:trPr>
        <w:tc>
          <w:tcPr>
            <w:tcW w:w="40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280" w:type="dxa"/>
            <w:vAlign w:val="bottom"/>
            <w:tcBorders>
              <w:right w:val="single" w:sz="8" w:color="CCEEFF"/>
            </w:tcBorders>
            <w:shd w:val="clear" w:color="auto" w:fill="CCEEFF"/>
          </w:tcPr>
          <w:p>
            <w:pPr>
              <w:spacing w:after="0"/>
              <w:rPr>
                <w:sz w:val="22"/>
                <w:szCs w:val="22"/>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2600" w:type="dxa"/>
            <w:vAlign w:val="bottom"/>
            <w:shd w:val="clear" w:color="auto" w:fill="CCEEFF"/>
          </w:tcPr>
          <w:p>
            <w:pPr>
              <w:spacing w:after="0" w:line="20" w:lineRule="exact"/>
              <w:rPr>
                <w:sz w:val="1"/>
                <w:szCs w:val="1"/>
                <w:color w:val="auto"/>
              </w:rPr>
            </w:pPr>
          </w:p>
        </w:tc>
        <w:tc>
          <w:tcPr>
            <w:tcW w:w="146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r>
      <w:tr>
        <w:trPr>
          <w:trHeight w:val="263"/>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(loss)</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(99,873)</w:t>
            </w:r>
          </w:p>
        </w:tc>
        <w:tc>
          <w:tcPr>
            <w:tcW w:w="200" w:type="dxa"/>
            <w:vAlign w:val="bottom"/>
          </w:tcPr>
          <w:p>
            <w:pPr>
              <w:spacing w:after="0"/>
              <w:rPr>
                <w:sz w:val="22"/>
                <w:szCs w:val="22"/>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32</w:t>
            </w:r>
          </w:p>
        </w:tc>
        <w:tc>
          <w:tcPr>
            <w:tcW w:w="2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5"/>
              </w:rPr>
              <w:t>(99,841)</w:t>
            </w:r>
          </w:p>
        </w:tc>
      </w:tr>
      <w:tr>
        <w:trPr>
          <w:trHeight w:val="20"/>
        </w:trPr>
        <w:tc>
          <w:tcPr>
            <w:tcW w:w="2600" w:type="dxa"/>
            <w:vAlign w:val="bottom"/>
            <w:shd w:val="clear" w:color="auto" w:fill="CCEEFF"/>
          </w:tcPr>
          <w:p>
            <w:pPr>
              <w:spacing w:after="0" w:line="20" w:lineRule="exact"/>
              <w:rPr>
                <w:sz w:val="1"/>
                <w:szCs w:val="1"/>
                <w:color w:val="auto"/>
              </w:rPr>
            </w:pPr>
          </w:p>
        </w:tc>
        <w:tc>
          <w:tcPr>
            <w:tcW w:w="146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r>
      <w:tr>
        <w:trPr>
          <w:trHeight w:val="257"/>
        </w:trPr>
        <w:tc>
          <w:tcPr>
            <w:tcW w:w="40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Equity component of convertible loans</w:t>
            </w: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7,604</w:t>
            </w:r>
          </w:p>
        </w:tc>
        <w:tc>
          <w:tcPr>
            <w:tcW w:w="8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740" w:type="dxa"/>
            <w:vAlign w:val="bottom"/>
            <w:tcBorders>
              <w:right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7,604</w:t>
            </w:r>
          </w:p>
        </w:tc>
      </w:tr>
      <w:tr>
        <w:trPr>
          <w:trHeight w:val="256"/>
        </w:trPr>
        <w:tc>
          <w:tcPr>
            <w:tcW w:w="4060" w:type="dxa"/>
            <w:vAlign w:val="bottom"/>
            <w:gridSpan w:val="2"/>
          </w:tcPr>
          <w:p>
            <w:pPr>
              <w:spacing w:after="0"/>
              <w:rPr>
                <w:sz w:val="20"/>
                <w:szCs w:val="20"/>
                <w:color w:val="auto"/>
              </w:rPr>
            </w:pPr>
            <w:r>
              <w:rPr>
                <w:rFonts w:ascii="Arial" w:cs="Arial" w:eastAsia="Arial" w:hAnsi="Arial"/>
                <w:sz w:val="18"/>
                <w:szCs w:val="18"/>
                <w:color w:val="auto"/>
              </w:rPr>
              <w:t>Deferred taxes on convertible loans</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(2,212)</w:t>
            </w:r>
          </w:p>
        </w:tc>
        <w:tc>
          <w:tcPr>
            <w:tcW w:w="80" w:type="dxa"/>
            <w:vAlign w:val="bottom"/>
          </w:tcPr>
          <w:p>
            <w:pPr>
              <w:spacing w:after="0"/>
              <w:rPr>
                <w:sz w:val="22"/>
                <w:szCs w:val="22"/>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7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(2,212)</w:t>
            </w:r>
          </w:p>
        </w:tc>
      </w:tr>
      <w:tr>
        <w:trPr>
          <w:trHeight w:val="263"/>
        </w:trPr>
        <w:tc>
          <w:tcPr>
            <w:tcW w:w="40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Expenses from share-based payment plan</w:t>
            </w: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19,564</w:t>
            </w:r>
          </w:p>
        </w:tc>
        <w:tc>
          <w:tcPr>
            <w:tcW w:w="8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740" w:type="dxa"/>
            <w:vAlign w:val="bottom"/>
            <w:tcBorders>
              <w:right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19,564</w:t>
            </w:r>
          </w:p>
        </w:tc>
      </w:tr>
      <w:tr>
        <w:trPr>
          <w:trHeight w:val="20"/>
        </w:trPr>
        <w:tc>
          <w:tcPr>
            <w:tcW w:w="2600" w:type="dxa"/>
            <w:vAlign w:val="bottom"/>
            <w:shd w:val="clear" w:color="auto" w:fill="CCEEFF"/>
          </w:tcPr>
          <w:p>
            <w:pPr>
              <w:spacing w:after="0" w:line="20" w:lineRule="exact"/>
              <w:rPr>
                <w:sz w:val="1"/>
                <w:szCs w:val="1"/>
                <w:color w:val="auto"/>
              </w:rPr>
            </w:pPr>
          </w:p>
        </w:tc>
        <w:tc>
          <w:tcPr>
            <w:tcW w:w="146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r>
      <w:tr>
        <w:trPr>
          <w:trHeight w:val="263"/>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Balance as of December 31, 2019</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3"/>
              </w:rPr>
              <w:t>11,610</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461,513</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(515,947)</w:t>
            </w:r>
          </w:p>
        </w:tc>
        <w:tc>
          <w:tcPr>
            <w:tcW w:w="200" w:type="dxa"/>
            <w:vAlign w:val="bottom"/>
          </w:tcPr>
          <w:p>
            <w:pPr>
              <w:spacing w:after="0"/>
              <w:rPr>
                <w:sz w:val="22"/>
                <w:szCs w:val="22"/>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22</w:t>
            </w:r>
          </w:p>
        </w:tc>
        <w:tc>
          <w:tcPr>
            <w:tcW w:w="2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5"/>
              </w:rPr>
              <w:t>(42,802)</w:t>
            </w:r>
          </w:p>
        </w:tc>
      </w:tr>
      <w:tr>
        <w:trPr>
          <w:trHeight w:val="20"/>
        </w:trPr>
        <w:tc>
          <w:tcPr>
            <w:tcW w:w="2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81"/>
        </w:trPr>
        <w:tc>
          <w:tcPr>
            <w:tcW w:w="2600" w:type="dxa"/>
            <w:vAlign w:val="bottom"/>
            <w:tcBorders>
              <w:bottom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5969000</wp:posOffset>
            </wp:positionH>
            <wp:positionV relativeFrom="paragraph">
              <wp:posOffset>-779145</wp:posOffset>
            </wp:positionV>
            <wp:extent cx="4318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-779145</wp:posOffset>
            </wp:positionV>
            <wp:extent cx="79692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969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-779145</wp:posOffset>
            </wp:positionV>
            <wp:extent cx="356616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5969000</wp:posOffset>
            </wp:positionH>
            <wp:positionV relativeFrom="paragraph">
              <wp:posOffset>-1490980</wp:posOffset>
            </wp:positionV>
            <wp:extent cx="4318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-1490980</wp:posOffset>
            </wp:positionV>
            <wp:extent cx="79692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969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-1490980</wp:posOffset>
            </wp:positionV>
            <wp:extent cx="356616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5969000</wp:posOffset>
            </wp:positionH>
            <wp:positionV relativeFrom="paragraph">
              <wp:posOffset>-1833880</wp:posOffset>
            </wp:positionV>
            <wp:extent cx="4318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-1833880</wp:posOffset>
            </wp:positionV>
            <wp:extent cx="79692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969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-1833880</wp:posOffset>
            </wp:positionV>
            <wp:extent cx="356616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5412105</wp:posOffset>
            </wp:positionH>
            <wp:positionV relativeFrom="paragraph">
              <wp:posOffset>-2896870</wp:posOffset>
            </wp:positionV>
            <wp:extent cx="13716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-2896870</wp:posOffset>
            </wp:positionV>
            <wp:extent cx="13716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-2896870</wp:posOffset>
            </wp:positionV>
            <wp:extent cx="352298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123" w:lineRule="exact"/>
        <w:rPr>
          <w:sz w:val="20"/>
          <w:szCs w:val="20"/>
          <w:color w:val="auto"/>
        </w:rPr>
      </w:pPr>
    </w:p>
    <w:p>
      <w:pPr>
        <w:ind w:left="1440" w:right="839" w:hanging="180"/>
        <w:spacing w:after="0" w:line="293" w:lineRule="auto"/>
        <w:tabs>
          <w:tab w:leader="none" w:pos="1440" w:val="left"/>
        </w:tabs>
        <w:numPr>
          <w:ilvl w:val="0"/>
          <w:numId w:val="209"/>
        </w:numPr>
        <w:rPr>
          <w:rFonts w:ascii="Arial" w:cs="Arial" w:eastAsia="Arial" w:hAnsi="Arial"/>
          <w:sz w:val="14"/>
          <w:szCs w:val="14"/>
          <w:color w:val="auto"/>
        </w:rPr>
      </w:pPr>
      <w:r>
        <w:rPr>
          <w:rFonts w:ascii="Arial" w:cs="Arial" w:eastAsia="Arial" w:hAnsi="Arial"/>
          <w:sz w:val="14"/>
          <w:szCs w:val="14"/>
          <w:color w:val="auto"/>
        </w:rPr>
        <w:t>Amounts have been retrospectively adjusted to reflect the impact of the share split resulting from the corporate reorganization described in Note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35" w:name="page336"/>
    <w:bookmarkEnd w:id="335"/>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CureVac AG</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84"/>
              </w:rPr>
              <w:t>Years ended December 31,</w:t>
            </w:r>
          </w:p>
        </w:tc>
        <w:tc>
          <w:tcPr>
            <w:tcW w:w="0" w:type="dxa"/>
            <w:vAlign w:val="bottom"/>
          </w:tcPr>
          <w:p>
            <w:pPr>
              <w:spacing w:after="0"/>
              <w:rPr>
                <w:sz w:val="1"/>
                <w:szCs w:val="1"/>
                <w:color w:val="auto"/>
              </w:rPr>
            </w:pPr>
          </w:p>
        </w:tc>
      </w:tr>
      <w:tr>
        <w:trPr>
          <w:trHeight w:val="26"/>
        </w:trPr>
        <w:tc>
          <w:tcPr>
            <w:tcW w:w="6660" w:type="dxa"/>
            <w:vAlign w:val="bottom"/>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6660" w:type="dxa"/>
            <w:vAlign w:val="bottom"/>
            <w:gridSpan w:val="2"/>
          </w:tcPr>
          <w:p>
            <w:pPr>
              <w:spacing w:after="0"/>
              <w:rPr>
                <w:sz w:val="20"/>
                <w:szCs w:val="20"/>
                <w:color w:val="auto"/>
              </w:rPr>
            </w:pPr>
            <w:r>
              <w:rPr>
                <w:rFonts w:ascii="Arial" w:cs="Arial" w:eastAsia="Arial" w:hAnsi="Arial"/>
                <w:sz w:val="14"/>
                <w:szCs w:val="14"/>
                <w:b w:val="1"/>
                <w:bCs w:val="1"/>
                <w:color w:val="auto"/>
              </w:rPr>
              <w:t>(in thousands of EUR)</w:t>
            </w:r>
          </w:p>
        </w:tc>
        <w:tc>
          <w:tcPr>
            <w:tcW w:w="600" w:type="dxa"/>
            <w:vAlign w:val="bottom"/>
          </w:tcPr>
          <w:p>
            <w:pPr>
              <w:jc w:val="right"/>
              <w:ind w:right="91"/>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7"/>
                <w:szCs w:val="17"/>
                <w:color w:val="auto"/>
              </w:rPr>
            </w:pPr>
          </w:p>
        </w:tc>
        <w:tc>
          <w:tcPr>
            <w:tcW w:w="680" w:type="dxa"/>
            <w:vAlign w:val="bottom"/>
          </w:tcPr>
          <w:p>
            <w:pPr>
              <w:jc w:val="right"/>
              <w:ind w:right="131"/>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4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600" w:type="dxa"/>
            <w:vAlign w:val="bottom"/>
            <w:tcBorders>
              <w:right w:val="single" w:sz="8" w:color="CCEEFF"/>
            </w:tcBorders>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60" w:type="dxa"/>
            <w:vAlign w:val="bottom"/>
            <w:gridSpan w:val="2"/>
          </w:tcPr>
          <w:p>
            <w:pPr>
              <w:spacing w:after="0"/>
              <w:rPr>
                <w:sz w:val="20"/>
                <w:szCs w:val="20"/>
                <w:color w:val="auto"/>
              </w:rPr>
            </w:pPr>
            <w:r>
              <w:rPr>
                <w:rFonts w:ascii="Arial" w:cs="Arial" w:eastAsia="Arial" w:hAnsi="Arial"/>
                <w:sz w:val="18"/>
                <w:szCs w:val="18"/>
                <w:color w:val="auto"/>
              </w:rPr>
              <w:t>Loss before income tax</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(71,131)</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(100,125)</w:t>
            </w:r>
          </w:p>
        </w:tc>
        <w:tc>
          <w:tcPr>
            <w:tcW w:w="0" w:type="dxa"/>
            <w:vAlign w:val="bottom"/>
          </w:tcPr>
          <w:p>
            <w:pPr>
              <w:spacing w:after="0"/>
              <w:rPr>
                <w:sz w:val="1"/>
                <w:szCs w:val="1"/>
                <w:color w:val="auto"/>
              </w:rPr>
            </w:pPr>
          </w:p>
        </w:tc>
      </w:tr>
      <w:tr>
        <w:trPr>
          <w:trHeight w:val="257"/>
        </w:trPr>
        <w:tc>
          <w:tcPr>
            <w:tcW w:w="666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Adjustments to reconcile loss before tax to net cash flows</w:t>
            </w:r>
          </w:p>
        </w:tc>
        <w:tc>
          <w:tcPr>
            <w:tcW w:w="600" w:type="dxa"/>
            <w:vAlign w:val="bottom"/>
            <w:tcBorders>
              <w:top w:val="single" w:sz="8" w:color="auto"/>
              <w:right w:val="single" w:sz="8" w:color="CCEEFF"/>
            </w:tcBorders>
            <w:shd w:val="clear" w:color="auto" w:fill="CCEEFF"/>
          </w:tcPr>
          <w:p>
            <w:pPr>
              <w:spacing w:after="0"/>
              <w:rPr>
                <w:sz w:val="22"/>
                <w:szCs w:val="22"/>
                <w:color w:val="auto"/>
              </w:rPr>
            </w:pPr>
          </w:p>
        </w:tc>
        <w:tc>
          <w:tcPr>
            <w:tcW w:w="260" w:type="dxa"/>
            <w:vAlign w:val="bottom"/>
            <w:tcBorders>
              <w:top w:val="single" w:sz="8" w:color="CCEEFF"/>
              <w:right w:val="single" w:sz="8" w:color="CCEEFF"/>
            </w:tcBorders>
            <w:shd w:val="clear" w:color="auto" w:fill="CCEEFF"/>
          </w:tcPr>
          <w:p>
            <w:pPr>
              <w:spacing w:after="0"/>
              <w:rPr>
                <w:sz w:val="22"/>
                <w:szCs w:val="22"/>
                <w:color w:val="auto"/>
              </w:rPr>
            </w:pPr>
          </w:p>
        </w:tc>
        <w:tc>
          <w:tcPr>
            <w:tcW w:w="680" w:type="dxa"/>
            <w:vAlign w:val="bottom"/>
            <w:tcBorders>
              <w:top w:val="single" w:sz="8" w:color="auto"/>
              <w:right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Finance income</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(1,968)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57"/>
        </w:trPr>
        <w:tc>
          <w:tcPr>
            <w:tcW w:w="66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Finance expense</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60" w:type="dxa"/>
            <w:vAlign w:val="bottom"/>
            <w:tcBorders>
              <w:right w:val="single" w:sz="8" w:color="CCEEFF"/>
            </w:tcBorders>
            <w:shd w:val="clear" w:color="auto" w:fill="CCEEFF"/>
          </w:tcPr>
          <w:p>
            <w:pPr>
              <w:spacing w:after="0"/>
              <w:rPr>
                <w:sz w:val="22"/>
                <w:szCs w:val="22"/>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jc w:val="right"/>
              <w:spacing w:after="0"/>
              <w:rPr>
                <w:sz w:val="20"/>
                <w:szCs w:val="20"/>
                <w:color w:val="auto"/>
              </w:rPr>
            </w:pPr>
            <w:r>
              <w:rPr>
                <w:rFonts w:ascii="Arial" w:cs="Arial" w:eastAsia="Arial" w:hAnsi="Arial"/>
                <w:sz w:val="18"/>
                <w:szCs w:val="18"/>
                <w:color w:val="auto"/>
              </w:rPr>
              <w:t>3,781</w:t>
            </w:r>
          </w:p>
        </w:tc>
        <w:tc>
          <w:tcPr>
            <w:tcW w:w="2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7,164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Loss on disposal of fixed assets</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60" w:type="dxa"/>
            <w:vAlign w:val="bottom"/>
            <w:tcBorders>
              <w:right w:val="single" w:sz="8" w:color="CCEEFF"/>
            </w:tcBorders>
            <w:shd w:val="clear" w:color="auto" w:fill="CCEEFF"/>
          </w:tcPr>
          <w:p>
            <w:pPr>
              <w:spacing w:after="0"/>
              <w:rPr>
                <w:sz w:val="22"/>
                <w:szCs w:val="22"/>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Share-based payment expense</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(4,248)</w:t>
            </w:r>
          </w:p>
        </w:tc>
        <w:tc>
          <w:tcPr>
            <w:tcW w:w="680" w:type="dxa"/>
            <w:vAlign w:val="bottom"/>
          </w:tcPr>
          <w:p>
            <w:pPr>
              <w:jc w:val="right"/>
              <w:spacing w:after="0"/>
              <w:rPr>
                <w:sz w:val="20"/>
                <w:szCs w:val="20"/>
                <w:color w:val="auto"/>
              </w:rPr>
            </w:pPr>
            <w:r>
              <w:rPr>
                <w:rFonts w:ascii="Arial" w:cs="Arial" w:eastAsia="Arial" w:hAnsi="Arial"/>
                <w:sz w:val="18"/>
                <w:szCs w:val="18"/>
                <w:color w:val="auto"/>
              </w:rPr>
              <w:t>19,564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Working capital changes</w:t>
            </w:r>
          </w:p>
        </w:tc>
        <w:tc>
          <w:tcPr>
            <w:tcW w:w="600" w:type="dxa"/>
            <w:vAlign w:val="bottom"/>
            <w:tcBorders>
              <w:right w:val="single" w:sz="8" w:color="CCEEFF"/>
            </w:tcBorders>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680" w:type="dxa"/>
            <w:vAlign w:val="bottom"/>
            <w:tcBorders>
              <w:right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Decrease / (increase) in trade receivables and contract assets</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(5,595)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(10,117)</w:t>
            </w:r>
          </w:p>
        </w:tc>
        <w:tc>
          <w:tcPr>
            <w:tcW w:w="0" w:type="dxa"/>
            <w:vAlign w:val="bottom"/>
          </w:tcPr>
          <w:p>
            <w:pPr>
              <w:spacing w:after="0"/>
              <w:rPr>
                <w:sz w:val="1"/>
                <w:szCs w:val="1"/>
                <w:color w:val="auto"/>
              </w:rPr>
            </w:pPr>
          </w:p>
        </w:tc>
      </w:tr>
      <w:tr>
        <w:trPr>
          <w:trHeight w:val="256"/>
        </w:trPr>
        <w:tc>
          <w:tcPr>
            <w:tcW w:w="66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Decrease / (increase) in inventory</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260" w:type="dxa"/>
            <w:vAlign w:val="bottom"/>
            <w:tcBorders>
              <w:right w:val="single" w:sz="8" w:color="CCEEFF"/>
            </w:tcBorders>
            <w:shd w:val="clear" w:color="auto" w:fill="CCEEFF"/>
          </w:tcPr>
          <w:p>
            <w:pPr>
              <w:spacing w:after="0"/>
              <w:rPr>
                <w:sz w:val="22"/>
                <w:szCs w:val="22"/>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Decrease / (increase) in other assets</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(6,106)</w:t>
            </w:r>
          </w:p>
        </w:tc>
        <w:tc>
          <w:tcPr>
            <w:tcW w:w="680" w:type="dxa"/>
            <w:vAlign w:val="bottom"/>
          </w:tcPr>
          <w:p>
            <w:pPr>
              <w:jc w:val="right"/>
              <w:spacing w:after="0"/>
              <w:rPr>
                <w:sz w:val="20"/>
                <w:szCs w:val="20"/>
                <w:color w:val="auto"/>
              </w:rPr>
            </w:pPr>
            <w:r>
              <w:rPr>
                <w:rFonts w:ascii="Arial" w:cs="Arial" w:eastAsia="Arial" w:hAnsi="Arial"/>
                <w:sz w:val="18"/>
                <w:szCs w:val="18"/>
                <w:color w:val="auto"/>
              </w:rPr>
              <w:t>630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Receipts from grants from government agencies and similar bodies</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60" w:type="dxa"/>
            <w:vAlign w:val="bottom"/>
            <w:tcBorders>
              <w:right w:val="single" w:sz="8" w:color="CCEEFF"/>
            </w:tcBorders>
            <w:shd w:val="clear" w:color="auto" w:fill="CCEEFF"/>
          </w:tcPr>
          <w:p>
            <w:pPr>
              <w:spacing w:after="0"/>
              <w:rPr>
                <w:sz w:val="23"/>
                <w:szCs w:val="23"/>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(Decrease) / increase in trade and other payables and contract liabilities</w:t>
            </w:r>
          </w:p>
        </w:tc>
        <w:tc>
          <w:tcPr>
            <w:tcW w:w="600" w:type="dxa"/>
            <w:vAlign w:val="bottom"/>
          </w:tcPr>
          <w:p>
            <w:pPr>
              <w:jc w:val="right"/>
              <w:spacing w:after="0"/>
              <w:rPr>
                <w:sz w:val="20"/>
                <w:szCs w:val="20"/>
                <w:color w:val="auto"/>
              </w:rPr>
            </w:pPr>
            <w:r>
              <w:rPr>
                <w:rFonts w:ascii="Arial" w:cs="Arial" w:eastAsia="Arial" w:hAnsi="Arial"/>
                <w:sz w:val="18"/>
                <w:szCs w:val="18"/>
                <w:color w:val="auto"/>
              </w:rPr>
              <w:t>9,402</w:t>
            </w:r>
          </w:p>
        </w:tc>
        <w:tc>
          <w:tcPr>
            <w:tcW w:w="26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(9,584)</w:t>
            </w:r>
          </w:p>
        </w:tc>
        <w:tc>
          <w:tcPr>
            <w:tcW w:w="0" w:type="dxa"/>
            <w:vAlign w:val="bottom"/>
          </w:tcPr>
          <w:p>
            <w:pPr>
              <w:spacing w:after="0"/>
              <w:rPr>
                <w:sz w:val="1"/>
                <w:szCs w:val="1"/>
                <w:color w:val="auto"/>
              </w:rPr>
            </w:pPr>
          </w:p>
        </w:tc>
      </w:tr>
      <w:tr>
        <w:trPr>
          <w:trHeight w:val="270"/>
        </w:trPr>
        <w:tc>
          <w:tcPr>
            <w:tcW w:w="66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(Decrease) / Increase in other current financial and other liabilities</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60" w:type="dxa"/>
            <w:vAlign w:val="bottom"/>
            <w:tcBorders>
              <w:right w:val="single" w:sz="8" w:color="CCEEFF"/>
            </w:tcBorders>
            <w:shd w:val="clear" w:color="auto" w:fill="CCEEFF"/>
          </w:tcPr>
          <w:p>
            <w:pPr>
              <w:spacing w:after="0"/>
              <w:rPr>
                <w:sz w:val="23"/>
                <w:szCs w:val="23"/>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Income taxes paid</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70"/>
        </w:trPr>
        <w:tc>
          <w:tcPr>
            <w:tcW w:w="66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received</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right w:val="single" w:sz="8" w:color="CCEEFF"/>
            </w:tcBorders>
            <w:shd w:val="clear" w:color="auto" w:fill="CCEEFF"/>
          </w:tcPr>
          <w:p>
            <w:pPr>
              <w:spacing w:after="0"/>
              <w:rPr>
                <w:sz w:val="23"/>
                <w:szCs w:val="23"/>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Interest paid</w:t>
            </w: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0"/>
        </w:trPr>
        <w:tc>
          <w:tcPr>
            <w:tcW w:w="64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6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flow (used in) operating activities</w:t>
            </w:r>
          </w:p>
        </w:tc>
        <w:tc>
          <w:tcPr>
            <w:tcW w:w="8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9"/>
              </w:rPr>
              <w:t>(74,110)</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(86,963)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Investing activities</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6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6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Purchase of property, plant and equipment</w:t>
            </w:r>
          </w:p>
        </w:tc>
        <w:tc>
          <w:tcPr>
            <w:tcW w:w="8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(9,406)</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(11,172)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60" w:type="dxa"/>
            <w:vAlign w:val="bottom"/>
            <w:gridSpan w:val="2"/>
          </w:tcPr>
          <w:p>
            <w:pPr>
              <w:spacing w:after="0"/>
              <w:rPr>
                <w:sz w:val="20"/>
                <w:szCs w:val="20"/>
                <w:color w:val="auto"/>
              </w:rPr>
            </w:pPr>
            <w:r>
              <w:rPr>
                <w:rFonts w:ascii="Arial" w:cs="Arial" w:eastAsia="Arial" w:hAnsi="Arial"/>
                <w:sz w:val="18"/>
                <w:szCs w:val="18"/>
                <w:color w:val="auto"/>
              </w:rPr>
              <w:t>Purchase of intangible assets</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(5,317)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70"/>
        </w:trPr>
        <w:tc>
          <w:tcPr>
            <w:tcW w:w="66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Proceeds from asset-related grants</w:t>
            </w:r>
          </w:p>
        </w:tc>
        <w:tc>
          <w:tcPr>
            <w:tcW w:w="8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6660" w:type="dxa"/>
            <w:vAlign w:val="bottom"/>
            <w:gridSpan w:val="2"/>
          </w:tcPr>
          <w:p>
            <w:pPr>
              <w:spacing w:after="0"/>
              <w:rPr>
                <w:sz w:val="20"/>
                <w:szCs w:val="20"/>
                <w:color w:val="auto"/>
              </w:rPr>
            </w:pPr>
            <w:r>
              <w:rPr>
                <w:rFonts w:ascii="Arial" w:cs="Arial" w:eastAsia="Arial" w:hAnsi="Arial"/>
                <w:sz w:val="18"/>
                <w:szCs w:val="18"/>
                <w:color w:val="auto"/>
              </w:rPr>
              <w:t>Proceeds from other financial assets</w:t>
            </w: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10,459</w:t>
            </w: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38,080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6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flow from (used in) investing activities</w:t>
            </w:r>
          </w:p>
        </w:tc>
        <w:tc>
          <w:tcPr>
            <w:tcW w:w="8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(4,264)</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28,181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Financing activities</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6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6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Payments on lease obligation</w:t>
            </w:r>
          </w:p>
        </w:tc>
        <w:tc>
          <w:tcPr>
            <w:tcW w:w="8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6660" w:type="dxa"/>
            <w:vAlign w:val="bottom"/>
            <w:gridSpan w:val="2"/>
          </w:tcPr>
          <w:p>
            <w:pPr>
              <w:spacing w:after="0"/>
              <w:rPr>
                <w:sz w:val="20"/>
                <w:szCs w:val="20"/>
                <w:color w:val="auto"/>
              </w:rPr>
            </w:pPr>
            <w:r>
              <w:rPr>
                <w:rFonts w:ascii="Arial" w:cs="Arial" w:eastAsia="Arial" w:hAnsi="Arial"/>
                <w:sz w:val="18"/>
                <w:szCs w:val="18"/>
                <w:color w:val="auto"/>
              </w:rPr>
              <w:t>Proceeds from the convertible loans</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69,889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6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flow from (used in) financing activities</w:t>
            </w:r>
          </w:p>
        </w:tc>
        <w:tc>
          <w:tcPr>
            <w:tcW w:w="8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(112)</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67,979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66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(78,486)</w:t>
            </w:r>
          </w:p>
        </w:tc>
        <w:tc>
          <w:tcPr>
            <w:tcW w:w="680" w:type="dxa"/>
            <w:vAlign w:val="bottom"/>
          </w:tcPr>
          <w:p>
            <w:pPr>
              <w:jc w:val="right"/>
              <w:spacing w:after="0"/>
              <w:rPr>
                <w:sz w:val="20"/>
                <w:szCs w:val="20"/>
                <w:color w:val="auto"/>
              </w:rPr>
            </w:pPr>
            <w:r>
              <w:rPr>
                <w:rFonts w:ascii="Arial" w:cs="Arial" w:eastAsia="Arial" w:hAnsi="Arial"/>
                <w:sz w:val="18"/>
                <w:szCs w:val="18"/>
                <w:color w:val="auto"/>
              </w:rPr>
              <w:t>9,197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6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Effect of currency translation gains on cash and cash equivalents</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60" w:type="dxa"/>
            <w:vAlign w:val="bottom"/>
            <w:tcBorders>
              <w:right w:val="single" w:sz="8" w:color="CCEEFF"/>
            </w:tcBorders>
            <w:shd w:val="clear" w:color="auto" w:fill="CCEEFF"/>
          </w:tcPr>
          <w:p>
            <w:pPr>
              <w:spacing w:after="0"/>
              <w:rPr>
                <w:sz w:val="23"/>
                <w:szCs w:val="23"/>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666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period</w:t>
            </w:r>
          </w:p>
        </w:tc>
        <w:tc>
          <w:tcPr>
            <w:tcW w:w="600" w:type="dxa"/>
            <w:vAlign w:val="bottom"/>
          </w:tcPr>
          <w:p>
            <w:pPr>
              <w:jc w:val="right"/>
              <w:spacing w:after="0"/>
              <w:rPr>
                <w:sz w:val="20"/>
                <w:szCs w:val="20"/>
                <w:color w:val="auto"/>
              </w:rPr>
            </w:pPr>
            <w:r>
              <w:rPr>
                <w:rFonts w:ascii="Arial" w:cs="Arial" w:eastAsia="Arial" w:hAnsi="Arial"/>
                <w:sz w:val="18"/>
                <w:szCs w:val="18"/>
                <w:color w:val="auto"/>
                <w:w w:val="98"/>
              </w:rPr>
              <w:t>99,653</w:t>
            </w: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21,380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6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21,380</w:t>
            </w:r>
          </w:p>
        </w:tc>
        <w:tc>
          <w:tcPr>
            <w:tcW w:w="260" w:type="dxa"/>
            <w:vAlign w:val="bottom"/>
            <w:tcBorders>
              <w:right w:val="single" w:sz="8" w:color="CCEEFF"/>
            </w:tcBorders>
            <w:shd w:val="clear" w:color="auto" w:fill="CCEEFF"/>
          </w:tcPr>
          <w:p>
            <w:pPr>
              <w:spacing w:after="0"/>
              <w:rPr>
                <w:sz w:val="24"/>
                <w:szCs w:val="24"/>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30,684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521208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-942340</wp:posOffset>
            </wp:positionV>
            <wp:extent cx="521208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-1653540</wp:posOffset>
            </wp:positionV>
            <wp:extent cx="521208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-2708275</wp:posOffset>
            </wp:positionV>
            <wp:extent cx="521208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-5391150</wp:posOffset>
            </wp:positionV>
            <wp:extent cx="521208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5412105</wp:posOffset>
            </wp:positionH>
            <wp:positionV relativeFrom="paragraph">
              <wp:posOffset>-5734050</wp:posOffset>
            </wp:positionV>
            <wp:extent cx="13716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4863465</wp:posOffset>
            </wp:positionH>
            <wp:positionV relativeFrom="paragraph">
              <wp:posOffset>-5734050</wp:posOffset>
            </wp:positionV>
            <wp:extent cx="13716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36" w:name="page337"/>
    <w:bookmarkEnd w:id="336"/>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CureVac AG</w:t>
      </w:r>
    </w:p>
    <w:p>
      <w:pPr>
        <w:spacing w:after="0" w:line="11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 Corporate Information</w:t>
      </w:r>
    </w:p>
    <w:p>
      <w:pPr>
        <w:spacing w:after="0" w:line="162" w:lineRule="exact"/>
        <w:rPr>
          <w:sz w:val="20"/>
          <w:szCs w:val="20"/>
          <w:color w:val="auto"/>
        </w:rPr>
      </w:pPr>
    </w:p>
    <w:p>
      <w:pPr>
        <w:ind w:left="1260" w:right="539" w:firstLine="648"/>
        <w:spacing w:after="0" w:line="253" w:lineRule="auto"/>
        <w:rPr>
          <w:sz w:val="20"/>
          <w:szCs w:val="20"/>
          <w:color w:val="auto"/>
        </w:rPr>
      </w:pPr>
      <w:r>
        <w:rPr>
          <w:rFonts w:ascii="Arial" w:cs="Arial" w:eastAsia="Arial" w:hAnsi="Arial"/>
          <w:sz w:val="18"/>
          <w:szCs w:val="18"/>
          <w:color w:val="auto"/>
        </w:rPr>
        <w:t>CureVac AG, (“CureVac” or “CV” or the “Company”) is the parent company of CureVac Group (“Group”). The Company’s registered headquarters is Friedrich-Miescher-Strasse 15, 72076 Tuebingen, Germany and the Company is registered in the commercial register (Handelsregister) at the local court (Amtsgericht) of Stuttgart, Germany under HRB 754041. CureVac is a global biopharmaceutical company developing a new class of transformative medicines based on the messenger ribonucleic acid (mRNA) that has the potential to improve the lives of people. The Group was spun out of the University of Tuebingen (Germany) and is primarily funded by its major shareholder, the dievini Hopp BioTech holding GmbH &amp; Co. KG (dievini), which is an investment company dedicated to the support of companies in health and life sciences.</w:t>
      </w:r>
    </w:p>
    <w:p>
      <w:pPr>
        <w:spacing w:after="0" w:line="129" w:lineRule="exact"/>
        <w:rPr>
          <w:sz w:val="20"/>
          <w:szCs w:val="20"/>
          <w:color w:val="auto"/>
        </w:rPr>
      </w:pPr>
    </w:p>
    <w:p>
      <w:pPr>
        <w:ind w:left="1260" w:right="459" w:firstLine="648"/>
        <w:spacing w:after="0" w:line="252" w:lineRule="auto"/>
        <w:rPr>
          <w:sz w:val="20"/>
          <w:szCs w:val="20"/>
          <w:color w:val="auto"/>
        </w:rPr>
      </w:pPr>
      <w:r>
        <w:rPr>
          <w:rFonts w:ascii="Arial" w:cs="Arial" w:eastAsia="Arial" w:hAnsi="Arial"/>
          <w:sz w:val="18"/>
          <w:szCs w:val="18"/>
          <w:color w:val="auto"/>
        </w:rPr>
        <w:t>On August 14, 2020, the Company completed an initial public offering (IPO) on the Nasdaq Global Market; in connection with the IPO, the Company underwent a corporate reorganization by which CureVac N.V. became the parent holding company with 100% interest in CureVac AG. Prior to the reorganization, CureVac AG was the parent holding company of the Group; as part of the reorganization, CureVac B.V. was formed and existing shareholders of CureVac AG subscribed for new common shares in CureVac B.V. and agreed to transfer their respective shares in CureVac AG to CureVac B.V. as a contribution in kind against issuance of the common shares in CureVac B.V. shares (share split) on a 1-to-133.0778 basis. As a result, CureVac B.V. became the holding company of CureVac AG, while the existing shareholders had a 100% shareholding in CureVac B.V. Effective with the IPO, CureVac B.V. changed its legal form and became CureVac N.V. and the common shares of CureVac B.V. were converted to common shares of CureVac N.V. These consolidated financial statements and corresponding financial statement notes have been retrospectively adjusted, where applicable, to reflect the impact of the share split resulting from the corporate reorganization.</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 Significant accounting policies</w:t>
      </w:r>
    </w:p>
    <w:p>
      <w:pPr>
        <w:spacing w:after="0" w:line="148" w:lineRule="exact"/>
        <w:rPr>
          <w:sz w:val="20"/>
          <w:szCs w:val="20"/>
          <w:color w:val="auto"/>
        </w:rPr>
      </w:pPr>
    </w:p>
    <w:p>
      <w:pPr>
        <w:ind w:left="1260" w:right="699" w:firstLine="648"/>
        <w:spacing w:after="0" w:line="259" w:lineRule="auto"/>
        <w:rPr>
          <w:sz w:val="20"/>
          <w:szCs w:val="20"/>
          <w:color w:val="auto"/>
        </w:rPr>
      </w:pPr>
      <w:r>
        <w:rPr>
          <w:rFonts w:ascii="Arial" w:cs="Arial" w:eastAsia="Arial" w:hAnsi="Arial"/>
          <w:sz w:val="18"/>
          <w:szCs w:val="18"/>
          <w:color w:val="auto"/>
        </w:rPr>
        <w:t>These consolidated financial statements are prepared on a historical cost basis under the going concern assumption. The significant accounting policies adopted in the preparation of these consolidated financial statements are described below. These accounting policies have been consistently applied to all years presented, unless otherwise stated.</w:t>
      </w:r>
    </w:p>
    <w:p>
      <w:pPr>
        <w:spacing w:after="0" w:line="119" w:lineRule="exact"/>
        <w:rPr>
          <w:sz w:val="20"/>
          <w:szCs w:val="20"/>
          <w:color w:val="auto"/>
        </w:rPr>
      </w:pPr>
    </w:p>
    <w:p>
      <w:pPr>
        <w:ind w:left="1260" w:right="459" w:firstLine="648"/>
        <w:spacing w:after="0" w:line="259" w:lineRule="auto"/>
        <w:rPr>
          <w:sz w:val="20"/>
          <w:szCs w:val="20"/>
          <w:color w:val="auto"/>
        </w:rPr>
      </w:pPr>
      <w:r>
        <w:rPr>
          <w:rFonts w:ascii="Arial" w:cs="Arial" w:eastAsia="Arial" w:hAnsi="Arial"/>
          <w:sz w:val="18"/>
          <w:szCs w:val="18"/>
          <w:color w:val="auto"/>
        </w:rPr>
        <w:t>The preparation of financial statements requires the use of certain accounting estimates. It also requires management to exercise its judgment in applying the Group’s accounting policies. The areas that require a higher degree of judgment or complexity, or areas where assumptions and estimates are significant to the financial statements, are disclosed below.</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Basis of preparation</w:t>
      </w:r>
    </w:p>
    <w:p>
      <w:pPr>
        <w:spacing w:after="0" w:line="158" w:lineRule="exact"/>
        <w:rPr>
          <w:sz w:val="20"/>
          <w:szCs w:val="20"/>
          <w:color w:val="auto"/>
        </w:rPr>
      </w:pPr>
    </w:p>
    <w:p>
      <w:pPr>
        <w:ind w:left="1260" w:right="519" w:firstLine="648"/>
        <w:spacing w:after="0" w:line="255" w:lineRule="auto"/>
        <w:rPr>
          <w:sz w:val="20"/>
          <w:szCs w:val="20"/>
          <w:color w:val="auto"/>
        </w:rPr>
      </w:pPr>
      <w:r>
        <w:rPr>
          <w:rFonts w:ascii="Arial" w:cs="Arial" w:eastAsia="Arial" w:hAnsi="Arial"/>
          <w:sz w:val="18"/>
          <w:szCs w:val="18"/>
          <w:color w:val="auto"/>
        </w:rPr>
        <w:t>The consolidated financial statements of the Group have been prepared in accordance with International Financial Reporting Standards (IFRS) as issued by the International Accounting Standards Board (IASB) and were authorized by the Management Board for presentation to the Supervisory Board on April 29, 2020. The Group’s consolidated financial statements are presented in Euros (“EUR”), which is also the parent company’s functional currency. Unless otherwise stated, the numbers are rounded to thousands of Euros, except per share amounts.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44" w:lineRule="exact"/>
        <w:rPr>
          <w:sz w:val="20"/>
          <w:szCs w:val="20"/>
          <w:color w:val="auto"/>
        </w:rPr>
      </w:pPr>
    </w:p>
    <w:p>
      <w:pPr>
        <w:ind w:left="1260" w:right="599" w:firstLine="648"/>
        <w:spacing w:after="0" w:line="279" w:lineRule="auto"/>
        <w:rPr>
          <w:sz w:val="20"/>
          <w:szCs w:val="20"/>
          <w:color w:val="auto"/>
        </w:rPr>
      </w:pPr>
      <w:r>
        <w:rPr>
          <w:rFonts w:ascii="Arial" w:cs="Arial" w:eastAsia="Arial" w:hAnsi="Arial"/>
          <w:sz w:val="17"/>
          <w:szCs w:val="17"/>
          <w:color w:val="auto"/>
        </w:rPr>
        <w:t>The consolidated financial statements include the Company’s wholly owned subsidiaries CureVac Inc. (Cambridge, Massachusetts, USA) and CureVac Real Estate GmbH (Tuebingen, Germany). Control is achieved when the Company is exposed, or has rights, to variable returns from its involvement with the investee and has the ability to affect those returns through its power over the investee.</w:t>
      </w:r>
    </w:p>
    <w:p>
      <w:pPr>
        <w:spacing w:after="0" w:line="36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37" w:name="page338"/>
    <w:bookmarkEnd w:id="337"/>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299" w:firstLine="648"/>
        <w:spacing w:after="0" w:line="277" w:lineRule="auto"/>
        <w:rPr>
          <w:sz w:val="20"/>
          <w:szCs w:val="20"/>
          <w:color w:val="auto"/>
        </w:rPr>
      </w:pPr>
      <w:r>
        <w:rPr>
          <w:rFonts w:ascii="Arial" w:cs="Arial" w:eastAsia="Arial" w:hAnsi="Arial"/>
          <w:sz w:val="18"/>
          <w:szCs w:val="18"/>
          <w:color w:val="auto"/>
        </w:rPr>
        <w:t>All intra-group assets and liabilities, equity, income, expenses and cash flows relating to transactions between members of the Group are eliminated upon consolidation.</w:t>
      </w:r>
    </w:p>
    <w:p>
      <w:pPr>
        <w:spacing w:after="0" w:line="10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fiscal year of all Group entities corresponds to the calendar year ending December 31.</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58" w:lineRule="exact"/>
        <w:rPr>
          <w:sz w:val="20"/>
          <w:szCs w:val="20"/>
          <w:color w:val="auto"/>
        </w:rPr>
      </w:pPr>
    </w:p>
    <w:p>
      <w:pPr>
        <w:ind w:left="1260" w:right="659" w:firstLine="648"/>
        <w:spacing w:after="0" w:line="270" w:lineRule="auto"/>
        <w:rPr>
          <w:sz w:val="20"/>
          <w:szCs w:val="20"/>
          <w:color w:val="auto"/>
        </w:rPr>
      </w:pPr>
      <w:r>
        <w:rPr>
          <w:rFonts w:ascii="Arial" w:cs="Arial" w:eastAsia="Arial" w:hAnsi="Arial"/>
          <w:sz w:val="17"/>
          <w:szCs w:val="17"/>
          <w:color w:val="auto"/>
        </w:rPr>
        <w:t>For each entity, the Group determines the functional currency and items included in the financial statements of each entity are measured using that functional currency. Foreign currency transactions are initially translated at the spot rate applicable between the functional currency and the foreign currency on the date of the transaction. Monetary assets and liabilities in foreign currencies are translated to the functional currency using the prevailing rate at the reporting date. Foreign currency exchange differences are recorded to the statement of operations. Upon consolidation, the assets and liabilities of foreign operations are translated into Euro at the rate of exchange prevailing at the reporting date and their statements of operations are translated at the average exchange rate of the fiscal period. The exchange differences arising on translation for consolidation are recognized in other comprehensive income (loss).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44" w:lineRule="exact"/>
        <w:rPr>
          <w:sz w:val="20"/>
          <w:szCs w:val="20"/>
          <w:color w:val="auto"/>
        </w:rPr>
      </w:pPr>
    </w:p>
    <w:p>
      <w:pPr>
        <w:ind w:left="1260" w:right="519" w:firstLine="648"/>
        <w:spacing w:after="0" w:line="254" w:lineRule="auto"/>
        <w:rPr>
          <w:sz w:val="20"/>
          <w:szCs w:val="20"/>
          <w:color w:val="auto"/>
        </w:rPr>
      </w:pPr>
      <w:r>
        <w:rPr>
          <w:rFonts w:ascii="Arial" w:cs="Arial" w:eastAsia="Arial" w:hAnsi="Arial"/>
          <w:sz w:val="18"/>
          <w:szCs w:val="18"/>
          <w:color w:val="auto"/>
        </w:rPr>
        <w:t>Revenue from the sale of products and services is recognized when the Group transfers control to the customer. Control generally transfers when the customer gains the ability to direct the use of and obtain substantially all of the remaining benefits from the good or service. If the contract contains more than one performance obligation, the consideration which the Group expects to receive is allocated to each of the performance obligations, using the relative stand-along selling price method. Revenue is recognized at the amount of consideration that the Group is expected to receive in exchange for these goods or services. The Group has concluded that it acts as a principal in sales transactions as it has control over the goods or services before transferring control to the customer.</w:t>
      </w:r>
    </w:p>
    <w:p>
      <w:pPr>
        <w:spacing w:after="0" w:line="124" w:lineRule="exact"/>
        <w:rPr>
          <w:sz w:val="20"/>
          <w:szCs w:val="20"/>
          <w:color w:val="auto"/>
        </w:rPr>
      </w:pPr>
    </w:p>
    <w:p>
      <w:pPr>
        <w:ind w:left="1260" w:right="579" w:firstLine="648"/>
        <w:spacing w:after="0" w:line="253" w:lineRule="auto"/>
        <w:rPr>
          <w:sz w:val="20"/>
          <w:szCs w:val="20"/>
          <w:color w:val="auto"/>
        </w:rPr>
      </w:pPr>
      <w:r>
        <w:rPr>
          <w:rFonts w:ascii="Arial" w:cs="Arial" w:eastAsia="Arial" w:hAnsi="Arial"/>
          <w:sz w:val="18"/>
          <w:szCs w:val="18"/>
          <w:color w:val="auto"/>
        </w:rPr>
        <w:t>The Group primarily generates revenue from its licensing and development agreements with collaboration partners for the development of mRNA medicines against a variety of targets in diseases and conditions. These arrangements contain multiple contractual promises, including (i) licenses, or options to obtain licenses, to the Group’s mRNA technology, (ii) delivery of products and (iii) research and development services. Such arrangements provide for various types of payments to the Group, including upfront fees, funding of research and development services, payment for delivered products, development, regulatory and commercial milestone payments, license fees and royalties on product sales, all of which may be satisfied at different points in time. Outlicensing agreements may be entered into with or without any further significant contractual obligations.</w:t>
      </w:r>
    </w:p>
    <w:p>
      <w:pPr>
        <w:spacing w:after="0" w:line="129" w:lineRule="exact"/>
        <w:rPr>
          <w:sz w:val="20"/>
          <w:szCs w:val="20"/>
          <w:color w:val="auto"/>
        </w:rPr>
      </w:pPr>
    </w:p>
    <w:p>
      <w:pPr>
        <w:ind w:left="1260" w:right="419" w:firstLine="648"/>
        <w:spacing w:after="0" w:line="259" w:lineRule="auto"/>
        <w:rPr>
          <w:sz w:val="20"/>
          <w:szCs w:val="20"/>
          <w:color w:val="auto"/>
        </w:rPr>
      </w:pPr>
      <w:r>
        <w:rPr>
          <w:rFonts w:ascii="Arial" w:cs="Arial" w:eastAsia="Arial" w:hAnsi="Arial"/>
          <w:sz w:val="18"/>
          <w:szCs w:val="18"/>
          <w:color w:val="auto"/>
        </w:rPr>
        <w:t>Goods or services promised in collaborative arrangement are accounted for as separate performance obligations if such promises are distinct (i.e., if the customer can benefit from the good or service on its own or together with other resources readily available to it and if the promise is separately identifiable from other promises in the contract).</w:t>
      </w:r>
    </w:p>
    <w:p>
      <w:pPr>
        <w:spacing w:after="0" w:line="106" w:lineRule="exact"/>
        <w:rPr>
          <w:sz w:val="20"/>
          <w:szCs w:val="20"/>
          <w:color w:val="auto"/>
        </w:rPr>
      </w:pPr>
    </w:p>
    <w:p>
      <w:pPr>
        <w:ind w:left="1260" w:right="979" w:firstLine="648"/>
        <w:spacing w:after="0" w:line="277" w:lineRule="auto"/>
        <w:rPr>
          <w:sz w:val="20"/>
          <w:szCs w:val="20"/>
          <w:color w:val="auto"/>
        </w:rPr>
      </w:pPr>
      <w:r>
        <w:rPr>
          <w:rFonts w:ascii="Arial" w:cs="Arial" w:eastAsia="Arial" w:hAnsi="Arial"/>
          <w:sz w:val="18"/>
          <w:szCs w:val="18"/>
          <w:color w:val="auto"/>
        </w:rPr>
        <w:t>In determining whether contractual promises are separately identifiable, the Group considers whether:</w:t>
      </w:r>
    </w:p>
    <w:p>
      <w:pPr>
        <w:spacing w:after="0" w:line="62" w:lineRule="exact"/>
        <w:rPr>
          <w:sz w:val="20"/>
          <w:szCs w:val="20"/>
          <w:color w:val="auto"/>
        </w:rPr>
      </w:pPr>
    </w:p>
    <w:p>
      <w:pPr>
        <w:ind w:left="2260" w:right="459" w:hanging="352"/>
        <w:spacing w:after="0" w:line="308" w:lineRule="auto"/>
        <w:tabs>
          <w:tab w:leader="none" w:pos="226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It provides a significant service of integrating the goods or services with other goods or services that represent the combined output or outputs for which the other party has contracted</w:t>
      </w:r>
    </w:p>
    <w:p>
      <w:pPr>
        <w:spacing w:after="0" w:line="38" w:lineRule="exact"/>
        <w:rPr>
          <w:rFonts w:ascii="Arial" w:cs="Arial" w:eastAsia="Arial" w:hAnsi="Arial"/>
          <w:sz w:val="17"/>
          <w:szCs w:val="17"/>
          <w:color w:val="auto"/>
        </w:rPr>
      </w:pPr>
    </w:p>
    <w:p>
      <w:pPr>
        <w:ind w:left="2260" w:right="579" w:hanging="352"/>
        <w:spacing w:after="0" w:line="277" w:lineRule="auto"/>
        <w:tabs>
          <w:tab w:leader="none" w:pos="22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One or more of the goods or services significantly modifies or customizes one or more of the other goods or services promised in the agreement.</w:t>
      </w:r>
    </w:p>
    <w:p>
      <w:pPr>
        <w:spacing w:after="0" w:line="62" w:lineRule="exact"/>
        <w:rPr>
          <w:rFonts w:ascii="Arial" w:cs="Arial" w:eastAsia="Arial" w:hAnsi="Arial"/>
          <w:sz w:val="18"/>
          <w:szCs w:val="18"/>
          <w:color w:val="auto"/>
        </w:rPr>
      </w:pPr>
    </w:p>
    <w:p>
      <w:pPr>
        <w:ind w:left="2260" w:right="459" w:hanging="352"/>
        <w:spacing w:after="0" w:line="277" w:lineRule="auto"/>
        <w:tabs>
          <w:tab w:leader="none" w:pos="22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good or services the Group promised to transfer or to provide are highly interdependent or highly interrelated.</w:t>
      </w:r>
    </w:p>
    <w:p>
      <w:pPr>
        <w:spacing w:after="0" w:line="103" w:lineRule="exact"/>
        <w:rPr>
          <w:sz w:val="20"/>
          <w:szCs w:val="20"/>
          <w:color w:val="auto"/>
        </w:rPr>
      </w:pPr>
    </w:p>
    <w:p>
      <w:pPr>
        <w:ind w:left="1260" w:right="959" w:firstLine="648"/>
        <w:spacing w:after="0" w:line="301" w:lineRule="auto"/>
        <w:rPr>
          <w:sz w:val="20"/>
          <w:szCs w:val="20"/>
          <w:color w:val="auto"/>
        </w:rPr>
      </w:pPr>
      <w:r>
        <w:rPr>
          <w:rFonts w:ascii="Arial" w:cs="Arial" w:eastAsia="Arial" w:hAnsi="Arial"/>
          <w:sz w:val="16"/>
          <w:szCs w:val="16"/>
          <w:color w:val="auto"/>
        </w:rPr>
        <w:t>Based on these criteria, management evaluates whether the intellectual property (IP) licenses granted, and to which further research and development activities may apply under the terms of a collaboration agreement, are distinct from the unperformed obligations to the collaboration partner, considering the relevant facts and circumstances of each arrangement. Factors considered in this</w:t>
      </w:r>
    </w:p>
    <w:p>
      <w:pPr>
        <w:sectPr>
          <w:pgSz w:w="11900" w:h="16838" w:orient="portrait"/>
          <w:cols w:equalWidth="0" w:num="1">
            <w:col w:w="9879"/>
          </w:cols>
          <w:pgMar w:left="580" w:top="131" w:right="1440" w:bottom="1440" w:gutter="0" w:footer="0" w:header="0"/>
        </w:sectPr>
      </w:pPr>
    </w:p>
    <w:p>
      <w:pPr>
        <w:spacing w:after="0" w:line="33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38" w:name="page339"/>
    <w:bookmarkEnd w:id="338"/>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63" w:lineRule="auto"/>
        <w:rPr>
          <w:sz w:val="20"/>
          <w:szCs w:val="20"/>
          <w:color w:val="auto"/>
        </w:rPr>
      </w:pPr>
      <w:r>
        <w:rPr>
          <w:rFonts w:ascii="Arial" w:cs="Arial" w:eastAsia="Arial" w:hAnsi="Arial"/>
          <w:sz w:val="18"/>
          <w:szCs w:val="18"/>
          <w:color w:val="auto"/>
        </w:rPr>
        <w:t>determination include the nature of the IP license, the stage of development of the IP license granted, the research capabilities of the partner and the availability of mRNA technology research expertise in the general marketplace.</w:t>
      </w:r>
    </w:p>
    <w:p>
      <w:pPr>
        <w:spacing w:after="0" w:line="116" w:lineRule="exact"/>
        <w:rPr>
          <w:sz w:val="20"/>
          <w:szCs w:val="20"/>
          <w:color w:val="auto"/>
        </w:rPr>
      </w:pPr>
    </w:p>
    <w:p>
      <w:pPr>
        <w:ind w:left="1260" w:right="419" w:firstLine="648"/>
        <w:spacing w:after="0" w:line="253" w:lineRule="auto"/>
        <w:rPr>
          <w:sz w:val="20"/>
          <w:szCs w:val="20"/>
          <w:color w:val="auto"/>
        </w:rPr>
      </w:pPr>
      <w:r>
        <w:rPr>
          <w:rFonts w:ascii="Arial" w:cs="Arial" w:eastAsia="Arial" w:hAnsi="Arial"/>
          <w:sz w:val="18"/>
          <w:szCs w:val="18"/>
          <w:color w:val="auto"/>
        </w:rPr>
        <w:t>When an IP license is not considered to be distinct from research services, the Group generally recognizes revenue, including any upfront payment, attributable to the license on a straight-line basis, which reflects the performance of services by the Group towards satisfaction of the obligation, over the contractual or estimated performance period, which is typically from the effective date of the related collaboration agreement through the estimated date of market entry of a product developed under the agreement. The determination of the estimated date of market entry requires a significant amount of judgment given the uncertainty inherent in developing innovative pharmaceutical products and is based upon development plans with the customer, which are subject to change, clinical trials and approval of regulatory authorities. Changes in the estimated date of market entry could have a material impact on the amount and timing of revenue the Group records in future periods.</w:t>
      </w:r>
    </w:p>
    <w:p>
      <w:pPr>
        <w:spacing w:after="0" w:line="127" w:lineRule="exact"/>
        <w:rPr>
          <w:sz w:val="20"/>
          <w:szCs w:val="20"/>
          <w:color w:val="auto"/>
        </w:rPr>
      </w:pPr>
    </w:p>
    <w:p>
      <w:pPr>
        <w:ind w:left="1260" w:right="459" w:firstLine="648"/>
        <w:spacing w:after="0" w:line="257" w:lineRule="auto"/>
        <w:rPr>
          <w:sz w:val="20"/>
          <w:szCs w:val="20"/>
          <w:color w:val="auto"/>
        </w:rPr>
      </w:pPr>
      <w:r>
        <w:rPr>
          <w:rFonts w:ascii="Arial" w:cs="Arial" w:eastAsia="Arial" w:hAnsi="Arial"/>
          <w:sz w:val="18"/>
          <w:szCs w:val="18"/>
          <w:color w:val="auto"/>
        </w:rPr>
        <w:t>When an IP license is considered to be distinct, the Group determines whether it provides the customer with either (1) a right to access the IP throughout the license period (for which revenue is recognized over the license period) or (2) a right to use the IP as it exists at the point in time that the license is granted (for which revenue is recognized at a point in time where the customer can first use and benefit from the license).</w:t>
      </w:r>
    </w:p>
    <w:p>
      <w:pPr>
        <w:spacing w:after="0" w:line="107" w:lineRule="exact"/>
        <w:rPr>
          <w:sz w:val="20"/>
          <w:szCs w:val="20"/>
          <w:color w:val="auto"/>
        </w:rPr>
      </w:pPr>
    </w:p>
    <w:p>
      <w:pPr>
        <w:ind w:left="1260" w:right="419" w:firstLine="648"/>
        <w:spacing w:after="0" w:line="272" w:lineRule="auto"/>
        <w:rPr>
          <w:sz w:val="20"/>
          <w:szCs w:val="20"/>
          <w:color w:val="auto"/>
        </w:rPr>
      </w:pPr>
      <w:r>
        <w:rPr>
          <w:rFonts w:ascii="Arial" w:cs="Arial" w:eastAsia="Arial" w:hAnsi="Arial"/>
          <w:sz w:val="17"/>
          <w:szCs w:val="17"/>
          <w:color w:val="auto"/>
        </w:rPr>
        <w:t>If the transaction price in an agreement includes a variable amount, the Group estimates the amount of consideration to which the Group will be entitled in exchange for transferring the goods to the customer. At contract inception, the variable consideration is estimated based on the most likely amount of consideration expected from the transaction and constrained until it is highly probable that a significant revenue reversal in the amount of cumulative revenue recognized will not occur when the associated uncertainty with respect the variable consideration is subsequently resolved. The estimated deferred contract liability is updated at each reporting date to reflect the current facts and circumstances.</w:t>
      </w:r>
    </w:p>
    <w:p>
      <w:pPr>
        <w:spacing w:after="0" w:line="110" w:lineRule="exact"/>
        <w:rPr>
          <w:sz w:val="20"/>
          <w:szCs w:val="20"/>
          <w:color w:val="auto"/>
        </w:rPr>
      </w:pPr>
    </w:p>
    <w:p>
      <w:pPr>
        <w:ind w:left="1260" w:right="519" w:firstLine="648"/>
        <w:spacing w:after="0" w:line="271" w:lineRule="auto"/>
        <w:rPr>
          <w:sz w:val="20"/>
          <w:szCs w:val="20"/>
          <w:color w:val="auto"/>
        </w:rPr>
      </w:pPr>
      <w:r>
        <w:rPr>
          <w:rFonts w:ascii="Arial" w:cs="Arial" w:eastAsia="Arial" w:hAnsi="Arial"/>
          <w:sz w:val="17"/>
          <w:szCs w:val="17"/>
          <w:color w:val="auto"/>
        </w:rPr>
        <w:t>Collaboration agreements may also provide a customer with the option to acquire additional goods or services. The accounting treatment for such options depends on the nature of these options. Options are considered to be substantive if, at the inception of an agreement, the Group is at risk as to whether the customer will choose to exercise the options to secure additional licenses. Factors that are considered in evaluating whether options are substantive include the overall objective of the arrangement, the benefit the customer might obtain from the agreement without exercising the options, the cost to exercise the options relative to the total upfront consideration, and the additional financial commitments or economic penalties imposed on the customer as a result of exercising the options.</w:t>
      </w:r>
    </w:p>
    <w:p>
      <w:pPr>
        <w:spacing w:after="0" w:line="111" w:lineRule="exact"/>
        <w:rPr>
          <w:sz w:val="20"/>
          <w:szCs w:val="20"/>
          <w:color w:val="auto"/>
        </w:rPr>
      </w:pPr>
    </w:p>
    <w:p>
      <w:pPr>
        <w:ind w:left="1260" w:right="479" w:firstLine="648"/>
        <w:spacing w:after="0" w:line="254" w:lineRule="auto"/>
        <w:rPr>
          <w:sz w:val="20"/>
          <w:szCs w:val="20"/>
          <w:color w:val="auto"/>
        </w:rPr>
      </w:pPr>
      <w:r>
        <w:rPr>
          <w:rFonts w:ascii="Arial" w:cs="Arial" w:eastAsia="Arial" w:hAnsi="Arial"/>
          <w:sz w:val="18"/>
          <w:szCs w:val="18"/>
          <w:color w:val="auto"/>
        </w:rPr>
        <w:t>Product sales related to collaboration agreements include RNA products and are recognized over time as goods are produced because such goods have no alternative use and the Group has enforceable right to payment. Otherwise, revenue for product sales is recognized at a point in time. In 2019 and 2018, no revenue from product sales was recognized on a point in time basis. Revenue from certain research and development services, delivered as a distinct performance obligation under the collaboration agreements, are recognized over time as the services provided have no alternative use and the Group has an enforceable right to payment.</w:t>
      </w:r>
    </w:p>
    <w:p>
      <w:pPr>
        <w:spacing w:after="0" w:line="114" w:lineRule="exact"/>
        <w:rPr>
          <w:sz w:val="20"/>
          <w:szCs w:val="20"/>
          <w:color w:val="auto"/>
        </w:rPr>
      </w:pPr>
    </w:p>
    <w:p>
      <w:pPr>
        <w:ind w:left="1260" w:right="539" w:firstLine="648"/>
        <w:spacing w:after="0" w:line="257" w:lineRule="auto"/>
        <w:rPr>
          <w:sz w:val="20"/>
          <w:szCs w:val="20"/>
          <w:color w:val="auto"/>
        </w:rPr>
      </w:pPr>
      <w:r>
        <w:rPr>
          <w:rFonts w:ascii="Arial" w:cs="Arial" w:eastAsia="Arial" w:hAnsi="Arial"/>
          <w:sz w:val="18"/>
          <w:szCs w:val="18"/>
          <w:color w:val="auto"/>
        </w:rPr>
        <w:t>A receivable is recognized when the consideration is unconditional and only the passage of time is required before payment is due. The transaction price is quoted in the relevant contractually agreed pricing in force at the date of customer placing the respective order for such goods or services. Amounts received prior to satisfying the above revenue recognition criteria are recorded as contract liability in the statements of financial position.</w:t>
      </w:r>
    </w:p>
    <w:p>
      <w:pPr>
        <w:spacing w:after="0" w:line="120"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Group may present the following contract balances:</w:t>
      </w:r>
    </w:p>
    <w:p>
      <w:pPr>
        <w:spacing w:after="0" w:line="131" w:lineRule="exact"/>
        <w:rPr>
          <w:sz w:val="20"/>
          <w:szCs w:val="20"/>
          <w:color w:val="auto"/>
        </w:rPr>
      </w:pPr>
    </w:p>
    <w:p>
      <w:pPr>
        <w:ind w:left="2260" w:right="859" w:hanging="352"/>
        <w:spacing w:after="0" w:line="263" w:lineRule="auto"/>
        <w:tabs>
          <w:tab w:leader="none" w:pos="22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Contract assets — Represents the Group’s right to consideration in exchange for goods or services that the Group has transferred to the customer when that right is conditioned on something other than the passage of time</w:t>
      </w:r>
    </w:p>
    <w:p>
      <w:pPr>
        <w:spacing w:after="0" w:line="35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271780</wp:posOffset>
            </wp:positionV>
            <wp:extent cx="6806565" cy="171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39" w:name="page340"/>
    <w:bookmarkEnd w:id="339"/>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60" w:right="499" w:hanging="352"/>
        <w:spacing w:after="0" w:line="263" w:lineRule="auto"/>
        <w:tabs>
          <w:tab w:leader="none" w:pos="22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Trade receivables — Represents the Group’s right to an amount of consideration that is unconditional (i.e., only the passage of time is required before payment of the consideration is due)</w:t>
      </w:r>
    </w:p>
    <w:p>
      <w:pPr>
        <w:spacing w:after="0" w:line="75" w:lineRule="exact"/>
        <w:rPr>
          <w:rFonts w:ascii="Arial" w:cs="Arial" w:eastAsia="Arial" w:hAnsi="Arial"/>
          <w:sz w:val="18"/>
          <w:szCs w:val="18"/>
          <w:color w:val="auto"/>
        </w:rPr>
      </w:pPr>
    </w:p>
    <w:p>
      <w:pPr>
        <w:ind w:left="2260" w:right="719" w:hanging="352"/>
        <w:spacing w:after="0" w:line="263" w:lineRule="auto"/>
        <w:tabs>
          <w:tab w:leader="none" w:pos="22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Contract liabilities — Represents the Group’s obligations to transfer goods or services to a customer for which the Group has received consideration (or consideration is due) from the customer</w:t>
      </w:r>
    </w:p>
    <w:p>
      <w:pPr>
        <w:spacing w:after="0" w:line="116" w:lineRule="exact"/>
        <w:rPr>
          <w:sz w:val="20"/>
          <w:szCs w:val="20"/>
          <w:color w:val="auto"/>
        </w:rPr>
      </w:pPr>
    </w:p>
    <w:p>
      <w:pPr>
        <w:ind w:left="1260" w:right="439" w:firstLine="648"/>
        <w:spacing w:after="0" w:line="277" w:lineRule="auto"/>
        <w:rPr>
          <w:sz w:val="20"/>
          <w:szCs w:val="20"/>
          <w:color w:val="auto"/>
        </w:rPr>
      </w:pPr>
      <w:r>
        <w:rPr>
          <w:rFonts w:ascii="Arial" w:cs="Arial" w:eastAsia="Arial" w:hAnsi="Arial"/>
          <w:sz w:val="18"/>
          <w:szCs w:val="18"/>
          <w:color w:val="auto"/>
        </w:rPr>
        <w:t>The Group recognizes revenue from contracts with customers relating to its core business. All other operating proceeds are presented as other operating income in the statements of operations.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Grants from government agencies and similar bodies</w:t>
      </w:r>
    </w:p>
    <w:p>
      <w:pPr>
        <w:spacing w:after="0" w:line="158" w:lineRule="exact"/>
        <w:rPr>
          <w:sz w:val="20"/>
          <w:szCs w:val="20"/>
          <w:color w:val="auto"/>
        </w:rPr>
      </w:pPr>
    </w:p>
    <w:p>
      <w:pPr>
        <w:ind w:left="1260" w:right="439" w:firstLine="648"/>
        <w:spacing w:after="0" w:line="253" w:lineRule="auto"/>
        <w:rPr>
          <w:sz w:val="20"/>
          <w:szCs w:val="20"/>
          <w:color w:val="auto"/>
        </w:rPr>
      </w:pPr>
      <w:r>
        <w:rPr>
          <w:rFonts w:ascii="Arial" w:cs="Arial" w:eastAsia="Arial" w:hAnsi="Arial"/>
          <w:sz w:val="18"/>
          <w:szCs w:val="18"/>
          <w:color w:val="auto"/>
        </w:rPr>
        <w:t>The Group receives grants from government agencies and similar bodies for the active participation in specific research and development projects. The grants are recognized when there is reasonable assurance that the grant will be received and all grant conditions will be met. If grant funds are received prior to qualifying expenses being incurred or assets purchased, they are recorded as a liability in other liabilities. If the funds reimburse expenses, the liability is amortized into other operating income on a systematic basis over the period in which the corresponding expenses are incurred. If the funds reimburse purchased assets, the liability is reduced with a corresponding amount deducted from the asset’s carrying amount upon recording of the qualified asset. According to the terms of the grants, grantors generally have the right to audit qualifying expenses submitted by the Group.</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44" w:lineRule="exact"/>
        <w:rPr>
          <w:sz w:val="20"/>
          <w:szCs w:val="20"/>
          <w:color w:val="auto"/>
        </w:rPr>
      </w:pPr>
    </w:p>
    <w:p>
      <w:pPr>
        <w:ind w:left="1260" w:right="1119" w:firstLine="648"/>
        <w:spacing w:after="0" w:line="277" w:lineRule="auto"/>
        <w:rPr>
          <w:sz w:val="20"/>
          <w:szCs w:val="20"/>
          <w:color w:val="auto"/>
        </w:rPr>
      </w:pPr>
      <w:r>
        <w:rPr>
          <w:rFonts w:ascii="Arial" w:cs="Arial" w:eastAsia="Arial" w:hAnsi="Arial"/>
          <w:sz w:val="18"/>
          <w:szCs w:val="18"/>
          <w:color w:val="auto"/>
        </w:rPr>
        <w:t>A financial instrument is any contract that gives rise to a financial asset of one entity and a financial liability or equity instrument of another entity.</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 Financial assets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Initial recognition and measurement</w:t>
      </w:r>
    </w:p>
    <w:p>
      <w:pPr>
        <w:spacing w:after="0" w:line="162" w:lineRule="exact"/>
        <w:rPr>
          <w:sz w:val="20"/>
          <w:szCs w:val="20"/>
          <w:color w:val="auto"/>
        </w:rPr>
      </w:pPr>
    </w:p>
    <w:p>
      <w:pPr>
        <w:ind w:left="1260" w:right="539" w:firstLine="648"/>
        <w:spacing w:after="0" w:line="263" w:lineRule="auto"/>
        <w:rPr>
          <w:sz w:val="20"/>
          <w:szCs w:val="20"/>
          <w:color w:val="auto"/>
        </w:rPr>
      </w:pPr>
      <w:r>
        <w:rPr>
          <w:rFonts w:ascii="Arial" w:cs="Arial" w:eastAsia="Arial" w:hAnsi="Arial"/>
          <w:sz w:val="18"/>
          <w:szCs w:val="18"/>
          <w:color w:val="auto"/>
        </w:rPr>
        <w:t>Financial assets are initially measured at fair value. After the initial measurement, the financial assets are subsequently classified as either amortized cost, fair value through other comprehensive income, or fair value through profit or loss.</w:t>
      </w:r>
    </w:p>
    <w:p>
      <w:pPr>
        <w:spacing w:after="0" w:line="116" w:lineRule="exact"/>
        <w:rPr>
          <w:sz w:val="20"/>
          <w:szCs w:val="20"/>
          <w:color w:val="auto"/>
        </w:rPr>
      </w:pPr>
    </w:p>
    <w:p>
      <w:pPr>
        <w:ind w:left="1260" w:right="879" w:firstLine="648"/>
        <w:spacing w:after="0" w:line="275" w:lineRule="auto"/>
        <w:rPr>
          <w:sz w:val="20"/>
          <w:szCs w:val="20"/>
          <w:color w:val="auto"/>
        </w:rPr>
      </w:pPr>
      <w:r>
        <w:rPr>
          <w:rFonts w:ascii="Arial" w:cs="Arial" w:eastAsia="Arial" w:hAnsi="Arial"/>
          <w:sz w:val="17"/>
          <w:szCs w:val="17"/>
          <w:color w:val="auto"/>
        </w:rPr>
        <w:t>The classification of financial assets at initial recognition depends on the financial asset’s contractual cash flow characteristics and the Group’s business model for managing them. The Group initially measures a financial asset at its fair value plus, in the case of a financial asset not at fair value through profit or loss, transaction costs. Trade receivables that do not contain a significant financing component are measured at the transaction price determined under IFRS 15.</w:t>
      </w:r>
    </w:p>
    <w:p>
      <w:pPr>
        <w:spacing w:after="0" w:line="95" w:lineRule="exact"/>
        <w:rPr>
          <w:sz w:val="20"/>
          <w:szCs w:val="20"/>
          <w:color w:val="auto"/>
        </w:rPr>
      </w:pPr>
    </w:p>
    <w:p>
      <w:pPr>
        <w:ind w:left="1260" w:right="459" w:firstLine="648"/>
        <w:spacing w:after="0" w:line="259" w:lineRule="auto"/>
        <w:rPr>
          <w:sz w:val="20"/>
          <w:szCs w:val="20"/>
          <w:color w:val="auto"/>
        </w:rPr>
      </w:pPr>
      <w:r>
        <w:rPr>
          <w:rFonts w:ascii="Arial" w:cs="Arial" w:eastAsia="Arial" w:hAnsi="Arial"/>
          <w:sz w:val="18"/>
          <w:szCs w:val="18"/>
          <w:color w:val="auto"/>
        </w:rPr>
        <w:t>For a financial asset to be classified and measured at amortized cost or fair value through other comprehensive income, it needs to give rise to cash flows that are “solely payments of principal and interest (SPPI)” on the principal amount outstanding. This assessment is referred to as the SPPI test and is performed at an instrument level.</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Subsequent measurement</w:t>
      </w:r>
    </w:p>
    <w:p>
      <w:pPr>
        <w:spacing w:after="0" w:line="16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For purposes of subsequent measurement, financial assets are classified into four categories:</w:t>
      </w:r>
    </w:p>
    <w:p>
      <w:pPr>
        <w:spacing w:after="0" w:line="117" w:lineRule="exact"/>
        <w:rPr>
          <w:sz w:val="20"/>
          <w:szCs w:val="20"/>
          <w:color w:val="auto"/>
        </w:rPr>
      </w:pPr>
    </w:p>
    <w:p>
      <w:pPr>
        <w:ind w:left="2260" w:hanging="352"/>
        <w:spacing w:after="0"/>
        <w:tabs>
          <w:tab w:leader="none" w:pos="22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financial assets at amortized cost (debt instruments);</w:t>
      </w:r>
    </w:p>
    <w:p>
      <w:pPr>
        <w:spacing w:after="0" w:line="117" w:lineRule="exact"/>
        <w:rPr>
          <w:rFonts w:ascii="Arial" w:cs="Arial" w:eastAsia="Arial" w:hAnsi="Arial"/>
          <w:sz w:val="18"/>
          <w:szCs w:val="18"/>
          <w:color w:val="auto"/>
        </w:rPr>
      </w:pPr>
    </w:p>
    <w:p>
      <w:pPr>
        <w:ind w:left="2260" w:right="439" w:hanging="352"/>
        <w:spacing w:after="0" w:line="277" w:lineRule="auto"/>
        <w:tabs>
          <w:tab w:leader="none" w:pos="22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financial assets at fair value through other comprehensive income with recycling of cumulative gains and losses (debt instruments);</w:t>
      </w:r>
    </w:p>
    <w:p>
      <w:pPr>
        <w:spacing w:after="0" w:line="62" w:lineRule="exact"/>
        <w:rPr>
          <w:rFonts w:ascii="Arial" w:cs="Arial" w:eastAsia="Arial" w:hAnsi="Arial"/>
          <w:sz w:val="18"/>
          <w:szCs w:val="18"/>
          <w:color w:val="auto"/>
        </w:rPr>
      </w:pPr>
    </w:p>
    <w:p>
      <w:pPr>
        <w:ind w:left="2260" w:right="439" w:hanging="352"/>
        <w:spacing w:after="0" w:line="277" w:lineRule="auto"/>
        <w:tabs>
          <w:tab w:leader="none" w:pos="22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financial assets designated at fair value through other comprehensive income with no recycling of cumulative gains and losses upon derecognition (equity instruments); or</w:t>
      </w:r>
    </w:p>
    <w:p>
      <w:pPr>
        <w:spacing w:after="0" w:line="62" w:lineRule="exact"/>
        <w:rPr>
          <w:rFonts w:ascii="Arial" w:cs="Arial" w:eastAsia="Arial" w:hAnsi="Arial"/>
          <w:sz w:val="18"/>
          <w:szCs w:val="18"/>
          <w:color w:val="auto"/>
        </w:rPr>
      </w:pPr>
    </w:p>
    <w:p>
      <w:pPr>
        <w:ind w:left="2260" w:hanging="352"/>
        <w:spacing w:after="0"/>
        <w:tabs>
          <w:tab w:leader="none" w:pos="22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financial assets at fair value through profit or loss.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279400</wp:posOffset>
            </wp:positionV>
            <wp:extent cx="6806565" cy="171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40" w:name="page341"/>
    <w:bookmarkEnd w:id="340"/>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99" w:firstLine="648"/>
        <w:spacing w:after="0" w:line="261" w:lineRule="auto"/>
        <w:rPr>
          <w:sz w:val="20"/>
          <w:szCs w:val="20"/>
          <w:color w:val="auto"/>
        </w:rPr>
      </w:pPr>
      <w:r>
        <w:rPr>
          <w:rFonts w:ascii="Arial" w:cs="Arial" w:eastAsia="Arial" w:hAnsi="Arial"/>
          <w:sz w:val="18"/>
          <w:szCs w:val="18"/>
          <w:color w:val="auto"/>
        </w:rPr>
        <w:t>In fiscal 2019 and 2018, the Group only had the following financial assets to be measured at amortized cost and/or at fair value through profit or loss:</w:t>
      </w:r>
    </w:p>
    <w:p>
      <w:pPr>
        <w:spacing w:after="0" w:line="63" w:lineRule="exact"/>
        <w:rPr>
          <w:sz w:val="20"/>
          <w:szCs w:val="20"/>
          <w:color w:val="auto"/>
        </w:rPr>
      </w:pPr>
    </w:p>
    <w:p>
      <w:pPr>
        <w:ind w:left="2260" w:hanging="352"/>
        <w:spacing w:after="0"/>
        <w:tabs>
          <w:tab w:leader="none" w:pos="22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Other financial assets</w:t>
      </w:r>
    </w:p>
    <w:p>
      <w:pPr>
        <w:spacing w:after="0" w:line="103" w:lineRule="exact"/>
        <w:rPr>
          <w:rFonts w:ascii="Arial" w:cs="Arial" w:eastAsia="Arial" w:hAnsi="Arial"/>
          <w:sz w:val="18"/>
          <w:szCs w:val="18"/>
          <w:color w:val="auto"/>
        </w:rPr>
      </w:pPr>
    </w:p>
    <w:p>
      <w:pPr>
        <w:ind w:left="2260" w:hanging="352"/>
        <w:spacing w:after="0"/>
        <w:tabs>
          <w:tab w:leader="none" w:pos="22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Trade receivables and contract assets</w:t>
      </w:r>
    </w:p>
    <w:p>
      <w:pPr>
        <w:spacing w:after="0" w:line="158" w:lineRule="exact"/>
        <w:rPr>
          <w:sz w:val="20"/>
          <w:szCs w:val="20"/>
          <w:color w:val="auto"/>
        </w:rPr>
      </w:pPr>
    </w:p>
    <w:p>
      <w:pPr>
        <w:ind w:left="1260" w:right="519" w:firstLine="648"/>
        <w:spacing w:after="0" w:line="248" w:lineRule="auto"/>
        <w:rPr>
          <w:sz w:val="20"/>
          <w:szCs w:val="20"/>
          <w:color w:val="auto"/>
        </w:rPr>
      </w:pPr>
      <w:r>
        <w:rPr>
          <w:rFonts w:ascii="Arial" w:cs="Arial" w:eastAsia="Arial" w:hAnsi="Arial"/>
          <w:sz w:val="18"/>
          <w:szCs w:val="18"/>
          <w:color w:val="auto"/>
        </w:rPr>
        <w:t>Financial assets at amortized cost are subsequently measured using the effective interest (EIR) method and are subject to impairment. Gains and losses are recognized in the statement of operations when the asset is derecognized, modified or impaired.</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Derecognition</w:t>
      </w:r>
    </w:p>
    <w:p>
      <w:pPr>
        <w:spacing w:after="0" w:line="148" w:lineRule="exact"/>
        <w:rPr>
          <w:sz w:val="20"/>
          <w:szCs w:val="20"/>
          <w:color w:val="auto"/>
        </w:rPr>
      </w:pPr>
    </w:p>
    <w:p>
      <w:pPr>
        <w:ind w:left="1260" w:right="559" w:firstLine="648"/>
        <w:spacing w:after="0" w:line="248" w:lineRule="auto"/>
        <w:rPr>
          <w:sz w:val="20"/>
          <w:szCs w:val="20"/>
          <w:color w:val="auto"/>
        </w:rPr>
      </w:pPr>
      <w:r>
        <w:rPr>
          <w:rFonts w:ascii="Arial" w:cs="Arial" w:eastAsia="Arial" w:hAnsi="Arial"/>
          <w:sz w:val="18"/>
          <w:szCs w:val="18"/>
          <w:color w:val="auto"/>
        </w:rPr>
        <w:t>A financial asset (or, where applicable, a part of a financial asset or part of a group of similar financial assets) is primarily derecognized when the Group no longer has the contractual rights to the asset or the right to receive cash flows from the asset have expired.</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Impairment of financial assets</w:t>
      </w:r>
    </w:p>
    <w:p>
      <w:pPr>
        <w:spacing w:after="0" w:line="162" w:lineRule="exact"/>
        <w:rPr>
          <w:sz w:val="20"/>
          <w:szCs w:val="20"/>
          <w:color w:val="auto"/>
        </w:rPr>
      </w:pPr>
    </w:p>
    <w:p>
      <w:pPr>
        <w:ind w:left="1260" w:right="439" w:firstLine="648"/>
        <w:spacing w:after="0" w:line="259" w:lineRule="auto"/>
        <w:rPr>
          <w:sz w:val="20"/>
          <w:szCs w:val="20"/>
          <w:color w:val="auto"/>
        </w:rPr>
      </w:pPr>
      <w:r>
        <w:rPr>
          <w:rFonts w:ascii="Arial" w:cs="Arial" w:eastAsia="Arial" w:hAnsi="Arial"/>
          <w:sz w:val="17"/>
          <w:szCs w:val="17"/>
          <w:color w:val="auto"/>
        </w:rPr>
        <w:t>An allowance for expected credit losses (ECLs) is be recognized for all debt instruments not held at fair value through profit or loss. ECLs are based on the difference between the contractual cash flows due in accordance with the contract and all of the cash flows that the Group expects to receive, discounted at an approximation of the original effective interest rate. The expected cash flows will include cash flows from the sale of collateral held or other credit enhancements that are integral to the contractual terms.</w:t>
      </w:r>
    </w:p>
    <w:p>
      <w:pPr>
        <w:spacing w:after="0" w:line="106" w:lineRule="exact"/>
        <w:rPr>
          <w:sz w:val="20"/>
          <w:szCs w:val="20"/>
          <w:color w:val="auto"/>
        </w:rPr>
      </w:pPr>
    </w:p>
    <w:p>
      <w:pPr>
        <w:ind w:left="1260" w:right="599" w:firstLine="648"/>
        <w:spacing w:after="0" w:line="259" w:lineRule="auto"/>
        <w:rPr>
          <w:sz w:val="20"/>
          <w:szCs w:val="20"/>
          <w:color w:val="auto"/>
        </w:rPr>
      </w:pPr>
      <w:r>
        <w:rPr>
          <w:rFonts w:ascii="Arial" w:cs="Arial" w:eastAsia="Arial" w:hAnsi="Arial"/>
          <w:sz w:val="17"/>
          <w:szCs w:val="17"/>
          <w:color w:val="auto"/>
        </w:rPr>
        <w:t>For credit exposures for which there has not been a significant increase in credit risk since initial recognition, ECLs are provided for credit losses that result from default events that are possible within the next 12- months (a 12- month ECL). For those credit exposures for which there has been a significant increase in credit risk since initial recognition, a loss allowance is required for credit losses expected over the remaining life of the exposure, irrespective of the timing of the default (a lifetime ECL).</w:t>
      </w:r>
    </w:p>
    <w:p>
      <w:pPr>
        <w:spacing w:after="0" w:line="93" w:lineRule="exact"/>
        <w:rPr>
          <w:sz w:val="20"/>
          <w:szCs w:val="20"/>
          <w:color w:val="auto"/>
        </w:rPr>
      </w:pPr>
    </w:p>
    <w:p>
      <w:pPr>
        <w:ind w:left="1260" w:right="499" w:firstLine="648"/>
        <w:spacing w:after="0" w:line="248" w:lineRule="auto"/>
        <w:rPr>
          <w:sz w:val="20"/>
          <w:szCs w:val="20"/>
          <w:color w:val="auto"/>
        </w:rPr>
      </w:pPr>
      <w:r>
        <w:rPr>
          <w:rFonts w:ascii="Arial" w:cs="Arial" w:eastAsia="Arial" w:hAnsi="Arial"/>
          <w:sz w:val="18"/>
          <w:szCs w:val="18"/>
          <w:color w:val="auto"/>
        </w:rPr>
        <w:t>For cash and cash equivalents, trade receivables and contract assets, the Group applies a simplified approach in calculating ECLs. Therefore, the Group does not track changes in credit risk, but instead recognizes a loss allowance based on lifetime ECLs at each reporting date.</w:t>
      </w:r>
    </w:p>
    <w:p>
      <w:pPr>
        <w:spacing w:after="0" w:line="114" w:lineRule="exact"/>
        <w:rPr>
          <w:sz w:val="20"/>
          <w:szCs w:val="20"/>
          <w:color w:val="auto"/>
        </w:rPr>
      </w:pPr>
    </w:p>
    <w:p>
      <w:pPr>
        <w:ind w:left="1260" w:right="539" w:firstLine="648"/>
        <w:spacing w:after="0" w:line="259" w:lineRule="auto"/>
        <w:rPr>
          <w:sz w:val="20"/>
          <w:szCs w:val="20"/>
          <w:color w:val="auto"/>
        </w:rPr>
      </w:pPr>
      <w:r>
        <w:rPr>
          <w:rFonts w:ascii="Arial" w:cs="Arial" w:eastAsia="Arial" w:hAnsi="Arial"/>
          <w:sz w:val="17"/>
          <w:szCs w:val="17"/>
          <w:color w:val="auto"/>
        </w:rPr>
        <w:t>The Group considers a financial asset in default when contractual payments are 180 days past due. However, in certain cases, the Group may also consider a financial asset to be in default when internal or external information indicates that the Group is unlikely to receive the outstanding contractual amounts in full before taking into account any credit enhancements held by the Group. A financial asset is written off when there is no reasonable expectation of recovering the contractual cash flows.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ii) Financial liabilities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Initial recognition and measurement</w:t>
      </w:r>
    </w:p>
    <w:p>
      <w:pPr>
        <w:spacing w:after="0" w:line="162" w:lineRule="exact"/>
        <w:rPr>
          <w:sz w:val="20"/>
          <w:szCs w:val="20"/>
          <w:color w:val="auto"/>
        </w:rPr>
      </w:pPr>
    </w:p>
    <w:p>
      <w:pPr>
        <w:ind w:left="1260" w:right="519" w:firstLine="648"/>
        <w:spacing w:after="0" w:line="261" w:lineRule="auto"/>
        <w:rPr>
          <w:sz w:val="20"/>
          <w:szCs w:val="20"/>
          <w:color w:val="auto"/>
        </w:rPr>
      </w:pPr>
      <w:r>
        <w:rPr>
          <w:rFonts w:ascii="Arial" w:cs="Arial" w:eastAsia="Arial" w:hAnsi="Arial"/>
          <w:sz w:val="18"/>
          <w:szCs w:val="18"/>
          <w:color w:val="auto"/>
        </w:rPr>
        <w:t>Financial liabilities are classified, at initial recognition, as financial liabilities at fair value through profit or loss, loans and borrowings or as payables.</w:t>
      </w:r>
    </w:p>
    <w:p>
      <w:pPr>
        <w:spacing w:after="0" w:line="90" w:lineRule="exact"/>
        <w:rPr>
          <w:sz w:val="20"/>
          <w:szCs w:val="20"/>
          <w:color w:val="auto"/>
        </w:rPr>
      </w:pPr>
    </w:p>
    <w:p>
      <w:pPr>
        <w:ind w:left="1260" w:right="419" w:firstLine="648"/>
        <w:spacing w:after="0" w:line="261" w:lineRule="auto"/>
        <w:rPr>
          <w:sz w:val="20"/>
          <w:szCs w:val="20"/>
          <w:color w:val="auto"/>
        </w:rPr>
      </w:pPr>
      <w:r>
        <w:rPr>
          <w:rFonts w:ascii="Arial" w:cs="Arial" w:eastAsia="Arial" w:hAnsi="Arial"/>
          <w:sz w:val="18"/>
          <w:szCs w:val="18"/>
          <w:color w:val="auto"/>
        </w:rPr>
        <w:t>All financial liabilities are recognized initially at fair value and, in the case of loans and borrowings and payables, net of directly attributable transaction costs.</w:t>
      </w:r>
    </w:p>
    <w:p>
      <w:pPr>
        <w:spacing w:after="0" w:line="10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Group’s financial liabilities include lease liabilities, convertible loans and trade payables.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Subsequent measurement</w:t>
      </w:r>
    </w:p>
    <w:p>
      <w:pPr>
        <w:spacing w:after="0" w:line="162" w:lineRule="exact"/>
        <w:rPr>
          <w:sz w:val="20"/>
          <w:szCs w:val="20"/>
          <w:color w:val="auto"/>
        </w:rPr>
      </w:pPr>
    </w:p>
    <w:p>
      <w:pPr>
        <w:ind w:left="1260" w:right="579" w:firstLine="648"/>
        <w:spacing w:after="0" w:line="243" w:lineRule="auto"/>
        <w:rPr>
          <w:sz w:val="20"/>
          <w:szCs w:val="20"/>
          <w:color w:val="auto"/>
        </w:rPr>
      </w:pPr>
      <w:r>
        <w:rPr>
          <w:rFonts w:ascii="Arial" w:cs="Arial" w:eastAsia="Arial" w:hAnsi="Arial"/>
          <w:sz w:val="18"/>
          <w:szCs w:val="18"/>
          <w:color w:val="auto"/>
        </w:rPr>
        <w:t>After initial recognition, interest-bearing loans and borrowings, trade payables and other financial liabilities are subsequently measured at amortized cost using the EIR method. Gains and losses are recognized in the statement of operations when the liabilities are derecognized as well as through the EIR amortization process.</w:t>
      </w:r>
    </w:p>
    <w:p>
      <w:pPr>
        <w:spacing w:after="0" w:line="36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41" w:name="page342"/>
    <w:bookmarkEnd w:id="341"/>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1560" w:firstLine="648"/>
        <w:spacing w:after="0" w:line="263" w:lineRule="auto"/>
        <w:rPr>
          <w:sz w:val="20"/>
          <w:szCs w:val="20"/>
          <w:color w:val="auto"/>
        </w:rPr>
      </w:pPr>
      <w:r>
        <w:rPr>
          <w:rFonts w:ascii="Arial" w:cs="Arial" w:eastAsia="Arial" w:hAnsi="Arial"/>
          <w:sz w:val="18"/>
          <w:szCs w:val="18"/>
          <w:color w:val="auto"/>
        </w:rPr>
        <w:t>Amortized cost is calculated by taking into account any discount or premium on acquisition and fees or costs that are an integral part of the EIR. The EIR amortization is included as finance costs in the statement of operations.</w:t>
      </w:r>
    </w:p>
    <w:p>
      <w:pPr>
        <w:spacing w:after="0" w:line="116"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This category generally applies to interest-bearing loans and borrowings, including the convertible</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loans.</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Derecognition</w:t>
      </w:r>
    </w:p>
    <w:p>
      <w:pPr>
        <w:spacing w:after="0" w:line="162" w:lineRule="exact"/>
        <w:rPr>
          <w:sz w:val="20"/>
          <w:szCs w:val="20"/>
          <w:color w:val="auto"/>
        </w:rPr>
      </w:pPr>
    </w:p>
    <w:p>
      <w:pPr>
        <w:ind w:left="1260" w:right="1920" w:firstLine="648"/>
        <w:spacing w:after="0" w:line="277" w:lineRule="auto"/>
        <w:rPr>
          <w:sz w:val="20"/>
          <w:szCs w:val="20"/>
          <w:color w:val="auto"/>
        </w:rPr>
      </w:pPr>
      <w:r>
        <w:rPr>
          <w:rFonts w:ascii="Arial" w:cs="Arial" w:eastAsia="Arial" w:hAnsi="Arial"/>
          <w:sz w:val="18"/>
          <w:szCs w:val="18"/>
          <w:color w:val="auto"/>
        </w:rPr>
        <w:t>A financial liability is derecognized when the obligation under the liability is discharged or cancelled or expires.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Acquired Intangible assets</w:t>
      </w:r>
    </w:p>
    <w:p>
      <w:pPr>
        <w:spacing w:after="0" w:line="144" w:lineRule="exact"/>
        <w:rPr>
          <w:sz w:val="20"/>
          <w:szCs w:val="20"/>
          <w:color w:val="auto"/>
        </w:rPr>
      </w:pPr>
    </w:p>
    <w:p>
      <w:pPr>
        <w:ind w:left="1260" w:right="1480" w:firstLine="648"/>
        <w:spacing w:after="0" w:line="308" w:lineRule="auto"/>
        <w:rPr>
          <w:sz w:val="20"/>
          <w:szCs w:val="20"/>
          <w:color w:val="auto"/>
        </w:rPr>
      </w:pPr>
      <w:r>
        <w:rPr>
          <w:rFonts w:ascii="Arial" w:cs="Arial" w:eastAsia="Arial" w:hAnsi="Arial"/>
          <w:sz w:val="17"/>
          <w:szCs w:val="17"/>
          <w:color w:val="auto"/>
        </w:rPr>
        <w:t>Acquired intangible assets are initially measured at cost. Following initial recognition, intangible assets are carried at cost less any accumulated amortization and any accumulated impairment losses.</w:t>
      </w:r>
    </w:p>
    <w:p>
      <w:pPr>
        <w:spacing w:after="0" w:line="79" w:lineRule="exact"/>
        <w:rPr>
          <w:sz w:val="20"/>
          <w:szCs w:val="20"/>
          <w:color w:val="auto"/>
        </w:rPr>
      </w:pPr>
    </w:p>
    <w:p>
      <w:pPr>
        <w:ind w:left="1260" w:right="1260" w:firstLine="648"/>
        <w:spacing w:after="0" w:line="254" w:lineRule="auto"/>
        <w:rPr>
          <w:sz w:val="20"/>
          <w:szCs w:val="20"/>
          <w:color w:val="auto"/>
        </w:rPr>
      </w:pPr>
      <w:r>
        <w:rPr>
          <w:rFonts w:ascii="Arial" w:cs="Arial" w:eastAsia="Arial" w:hAnsi="Arial"/>
          <w:sz w:val="18"/>
          <w:szCs w:val="18"/>
          <w:color w:val="auto"/>
        </w:rPr>
        <w:t>The useful lives of intangible assets are assessed to be either finite or indefinite. Intangible assets with finite useful lives are amortized over their useful life, generally using the straight-line method. The amortization period and the amortization method for an intangible asset with a finite useful life are reviewed at least annually at each fiscal year end. Changes in the expected useful life or the expected pattern of consumption of future economic benefits are accounted for prospectively. Amortization of an intangible asset is reported in the consolidated statement of operations in accordance with the function of the intangible asset.</w:t>
      </w:r>
    </w:p>
    <w:p>
      <w:pPr>
        <w:spacing w:after="0" w:line="127" w:lineRule="exact"/>
        <w:rPr>
          <w:sz w:val="20"/>
          <w:szCs w:val="20"/>
          <w:color w:val="auto"/>
        </w:rPr>
      </w:pPr>
    </w:p>
    <w:p>
      <w:pPr>
        <w:ind w:left="1260" w:right="1620" w:firstLine="648"/>
        <w:spacing w:after="0" w:line="286" w:lineRule="auto"/>
        <w:rPr>
          <w:sz w:val="20"/>
          <w:szCs w:val="20"/>
          <w:color w:val="auto"/>
        </w:rPr>
      </w:pPr>
      <w:r>
        <w:rPr>
          <w:rFonts w:ascii="Arial" w:cs="Arial" w:eastAsia="Arial" w:hAnsi="Arial"/>
          <w:sz w:val="17"/>
          <w:szCs w:val="17"/>
          <w:color w:val="auto"/>
        </w:rPr>
        <w:t>Gains or losses arising from derecognition of an intangible asset are measured as the difference between the net disposal proceeds and the carrying amount of the asset and are recognized in the consolidated statement of operations in the period in which the asset is derecognized.</w:t>
      </w:r>
    </w:p>
    <w:p>
      <w:pPr>
        <w:spacing w:after="0" w:line="84" w:lineRule="exact"/>
        <w:rPr>
          <w:sz w:val="20"/>
          <w:szCs w:val="20"/>
          <w:color w:val="auto"/>
        </w:rPr>
      </w:pPr>
    </w:p>
    <w:p>
      <w:pPr>
        <w:ind w:left="1260" w:right="1300" w:firstLine="648"/>
        <w:spacing w:after="0" w:line="271" w:lineRule="auto"/>
        <w:rPr>
          <w:sz w:val="20"/>
          <w:szCs w:val="20"/>
          <w:color w:val="auto"/>
        </w:rPr>
      </w:pPr>
      <w:r>
        <w:rPr>
          <w:rFonts w:ascii="Arial" w:cs="Arial" w:eastAsia="Arial" w:hAnsi="Arial"/>
          <w:sz w:val="17"/>
          <w:szCs w:val="17"/>
          <w:color w:val="auto"/>
        </w:rPr>
        <w:t>Acquired intangible assets are mainly comprised of software and licenses. The Group has entered into non-exclusive license agreements for patent rights and/or know-how with reputable universities, cancer research institutes and other research partners. The cost of these licenses includes fixed as well as contingent consideration mainly linked to specified events in the collaborations for which the licenses are used. The licenses are measured initially at cost which comprises the fixed purchase price components. The Group records a liability for contingent consideration and capitalizes such amounts as part of the cost of the acquired intangible asset, when the future event, upon which the contingent consideration depends, occurs or a present obligation exists.</w:t>
      </w:r>
    </w:p>
    <w:p>
      <w:pPr>
        <w:spacing w:after="0" w:line="111"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estimated useful lives for each intangible asset class are as follows:</w:t>
      </w:r>
    </w:p>
    <w:p>
      <w:pPr>
        <w:spacing w:after="0" w:line="167" w:lineRule="exact"/>
        <w:rPr>
          <w:sz w:val="20"/>
          <w:szCs w:val="20"/>
          <w:color w:val="auto"/>
        </w:rPr>
      </w:pPr>
    </w:p>
    <w:p>
      <w:pPr>
        <w:ind w:left="1980"/>
        <w:spacing w:after="0"/>
        <w:tabs>
          <w:tab w:leader="none" w:pos="7840" w:val="left"/>
        </w:tabs>
        <w:rPr>
          <w:sz w:val="20"/>
          <w:szCs w:val="20"/>
          <w:color w:val="auto"/>
        </w:rPr>
      </w:pPr>
      <w:r>
        <w:rPr>
          <w:rFonts w:ascii="Arial" w:cs="Arial" w:eastAsia="Arial" w:hAnsi="Arial"/>
          <w:sz w:val="18"/>
          <w:szCs w:val="18"/>
          <w:b w:val="1"/>
          <w:bCs w:val="1"/>
          <w:color w:val="auto"/>
        </w:rPr>
        <w:t>Software and Licenses</w:t>
      </w:r>
      <w:r>
        <w:rPr>
          <w:sz w:val="20"/>
          <w:szCs w:val="20"/>
          <w:color w:val="auto"/>
        </w:rPr>
        <w:tab/>
      </w:r>
      <w:r>
        <w:rPr>
          <w:rFonts w:ascii="Arial" w:cs="Arial" w:eastAsia="Arial" w:hAnsi="Arial"/>
          <w:sz w:val="16"/>
          <w:szCs w:val="16"/>
          <w:color w:val="auto"/>
        </w:rPr>
        <w:t>3 to 8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-110490</wp:posOffset>
            </wp:positionV>
            <wp:extent cx="4294505" cy="12001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4294505" cy="120015"/>
                    </a:xfrm>
                    <a:prstGeom prst="rect">
                      <a:avLst/>
                    </a:prstGeom>
                    <a:noFill/>
                  </pic:spPr>
                </pic:pic>
              </a:graphicData>
            </a:graphic>
          </wp:anchor>
        </w:drawing>
      </w:r>
    </w:p>
    <w:p>
      <w:pPr>
        <w:spacing w:after="0" w:line="128" w:lineRule="exact"/>
        <w:rPr>
          <w:sz w:val="20"/>
          <w:szCs w:val="20"/>
          <w:color w:val="auto"/>
        </w:rPr>
      </w:pPr>
    </w:p>
    <w:p>
      <w:pPr>
        <w:ind w:left="1260" w:right="1740" w:firstLine="648"/>
        <w:spacing w:after="0" w:line="277" w:lineRule="auto"/>
        <w:rPr>
          <w:sz w:val="20"/>
          <w:szCs w:val="20"/>
          <w:color w:val="auto"/>
        </w:rPr>
      </w:pPr>
      <w:r>
        <w:rPr>
          <w:rFonts w:ascii="Arial" w:cs="Arial" w:eastAsia="Arial" w:hAnsi="Arial"/>
          <w:sz w:val="18"/>
          <w:szCs w:val="18"/>
          <w:color w:val="auto"/>
        </w:rPr>
        <w:t>One intangible asset with a net carrying amount of EUR 3,108k and a remaining useful life of seven years, relates to the rights to access a third-party’s LNP formulation technology.</w:t>
      </w:r>
    </w:p>
    <w:p>
      <w:pPr>
        <w:spacing w:after="0" w:line="10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Group does not have any intangible assets with indefinite useful lives.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44" w:lineRule="exact"/>
        <w:rPr>
          <w:sz w:val="20"/>
          <w:szCs w:val="20"/>
          <w:color w:val="auto"/>
        </w:rPr>
      </w:pPr>
    </w:p>
    <w:p>
      <w:pPr>
        <w:jc w:val="both"/>
        <w:ind w:left="1260" w:right="1460" w:firstLine="648"/>
        <w:spacing w:after="0" w:line="257" w:lineRule="auto"/>
        <w:rPr>
          <w:sz w:val="20"/>
          <w:szCs w:val="20"/>
          <w:color w:val="auto"/>
        </w:rPr>
      </w:pPr>
      <w:r>
        <w:rPr>
          <w:rFonts w:ascii="Arial" w:cs="Arial" w:eastAsia="Arial" w:hAnsi="Arial"/>
          <w:sz w:val="18"/>
          <w:szCs w:val="18"/>
          <w:color w:val="auto"/>
        </w:rPr>
        <w:t>Property, plant and equipment are stated at cost less accumulated depreciation and accumulated impairments. These costs also comprise the costs for replacement parts, which are recognized at the time they are incurred, providing they meet the recognition criteria. All other repair and maintenance costs are expensed as incurred. Depreciation is recognized on a straight-line basis over the estimated useful lives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Buildings:</w:t>
            </w:r>
          </w:p>
        </w:tc>
        <w:tc>
          <w:tcPr>
            <w:tcW w:w="3660" w:type="dxa"/>
            <w:vAlign w:val="bottom"/>
            <w:shd w:val="clear" w:color="auto" w:fill="CCEEFF"/>
          </w:tcPr>
          <w:p>
            <w:pPr>
              <w:ind w:left="2700"/>
              <w:spacing w:after="0"/>
              <w:rPr>
                <w:sz w:val="20"/>
                <w:szCs w:val="20"/>
                <w:color w:val="auto"/>
              </w:rPr>
            </w:pPr>
            <w:r>
              <w:rPr>
                <w:rFonts w:ascii="Arial" w:cs="Arial" w:eastAsia="Arial" w:hAnsi="Arial"/>
                <w:sz w:val="18"/>
                <w:szCs w:val="18"/>
                <w:color w:val="auto"/>
                <w:w w:val="90"/>
              </w:rPr>
              <w:t>1 to 10 years</w:t>
            </w:r>
          </w:p>
        </w:tc>
        <w:tc>
          <w:tcPr>
            <w:tcW w:w="1980" w:type="dxa"/>
            <w:vAlign w:val="bottom"/>
          </w:tcPr>
          <w:p>
            <w:pPr>
              <w:spacing w:after="0"/>
              <w:rPr>
                <w:sz w:val="18"/>
                <w:szCs w:val="18"/>
                <w:color w:val="auto"/>
              </w:rPr>
            </w:pPr>
          </w:p>
        </w:tc>
      </w:tr>
      <w:tr>
        <w:trPr>
          <w:trHeight w:val="256"/>
        </w:trPr>
        <w:tc>
          <w:tcPr>
            <w:tcW w:w="1980" w:type="dxa"/>
            <w:vAlign w:val="bottom"/>
          </w:tcPr>
          <w:p>
            <w:pPr>
              <w:spacing w:after="0"/>
              <w:rPr>
                <w:sz w:val="22"/>
                <w:szCs w:val="22"/>
                <w:color w:val="auto"/>
              </w:rPr>
            </w:pPr>
          </w:p>
        </w:tc>
        <w:tc>
          <w:tcPr>
            <w:tcW w:w="3100" w:type="dxa"/>
            <w:vAlign w:val="bottom"/>
          </w:tcPr>
          <w:p>
            <w:pPr>
              <w:spacing w:after="0"/>
              <w:rPr>
                <w:sz w:val="20"/>
                <w:szCs w:val="20"/>
                <w:color w:val="auto"/>
              </w:rPr>
            </w:pPr>
            <w:r>
              <w:rPr>
                <w:rFonts w:ascii="Arial" w:cs="Arial" w:eastAsia="Arial" w:hAnsi="Arial"/>
                <w:sz w:val="18"/>
                <w:szCs w:val="18"/>
                <w:b w:val="1"/>
                <w:bCs w:val="1"/>
                <w:color w:val="auto"/>
                <w:w w:val="99"/>
              </w:rPr>
              <w:t>Technical equipment and machines:</w:t>
            </w:r>
          </w:p>
        </w:tc>
        <w:tc>
          <w:tcPr>
            <w:tcW w:w="5640" w:type="dxa"/>
            <w:vAlign w:val="bottom"/>
            <w:gridSpan w:val="2"/>
          </w:tcPr>
          <w:p>
            <w:pPr>
              <w:ind w:left="2700"/>
              <w:spacing w:after="0"/>
              <w:rPr>
                <w:sz w:val="20"/>
                <w:szCs w:val="20"/>
                <w:color w:val="auto"/>
              </w:rPr>
            </w:pPr>
            <w:r>
              <w:rPr>
                <w:rFonts w:ascii="Arial" w:cs="Arial" w:eastAsia="Arial" w:hAnsi="Arial"/>
                <w:sz w:val="18"/>
                <w:szCs w:val="18"/>
                <w:color w:val="auto"/>
              </w:rPr>
              <w:t>3 to 14 years</w:t>
            </w:r>
          </w:p>
        </w:tc>
      </w:tr>
      <w:tr>
        <w:trPr>
          <w:trHeight w:val="256"/>
        </w:trPr>
        <w:tc>
          <w:tcPr>
            <w:tcW w:w="1980" w:type="dxa"/>
            <w:vAlign w:val="bottom"/>
          </w:tcPr>
          <w:p>
            <w:pPr>
              <w:spacing w:after="0"/>
              <w:rPr>
                <w:sz w:val="22"/>
                <w:szCs w:val="22"/>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0"/>
              </w:rPr>
              <w:t>Other equipment, furniture and fixtures:</w:t>
            </w:r>
          </w:p>
        </w:tc>
        <w:tc>
          <w:tcPr>
            <w:tcW w:w="3660" w:type="dxa"/>
            <w:vAlign w:val="bottom"/>
            <w:shd w:val="clear" w:color="auto" w:fill="CCEEFF"/>
          </w:tcPr>
          <w:p>
            <w:pPr>
              <w:ind w:left="2700"/>
              <w:spacing w:after="0"/>
              <w:rPr>
                <w:sz w:val="20"/>
                <w:szCs w:val="20"/>
                <w:color w:val="auto"/>
              </w:rPr>
            </w:pPr>
            <w:r>
              <w:rPr>
                <w:rFonts w:ascii="Arial" w:cs="Arial" w:eastAsia="Arial" w:hAnsi="Arial"/>
                <w:sz w:val="18"/>
                <w:szCs w:val="18"/>
                <w:color w:val="auto"/>
                <w:w w:val="90"/>
              </w:rPr>
              <w:t>3 to 14 years</w:t>
            </w:r>
          </w:p>
        </w:tc>
        <w:tc>
          <w:tcPr>
            <w:tcW w:w="1980" w:type="dxa"/>
            <w:vAlign w:val="bottom"/>
          </w:tcPr>
          <w:p>
            <w:pPr>
              <w:spacing w:after="0"/>
              <w:rPr>
                <w:sz w:val="22"/>
                <w:szCs w:val="22"/>
                <w:color w:val="auto"/>
              </w:rPr>
            </w:pPr>
          </w:p>
        </w:tc>
      </w:tr>
      <w:tr>
        <w:trPr>
          <w:trHeight w:val="608"/>
        </w:trPr>
        <w:tc>
          <w:tcPr>
            <w:tcW w:w="19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640" w:type="dxa"/>
            <w:vAlign w:val="bottom"/>
            <w:gridSpan w:val="2"/>
          </w:tcPr>
          <w:p>
            <w:pPr>
              <w:ind w:left="80"/>
              <w:spacing w:after="0"/>
              <w:rPr>
                <w:sz w:val="20"/>
                <w:szCs w:val="20"/>
                <w:color w:val="auto"/>
              </w:rPr>
            </w:pPr>
            <w:r>
              <w:rPr>
                <w:rFonts w:ascii="Arial" w:cs="Arial" w:eastAsia="Arial" w:hAnsi="Arial"/>
                <w:sz w:val="18"/>
                <w:szCs w:val="18"/>
                <w:color w:val="auto"/>
              </w:rPr>
              <w:t>F-27</w:t>
            </w:r>
          </w:p>
        </w:tc>
      </w:tr>
      <w:tr>
        <w:trPr>
          <w:trHeight w:val="399"/>
        </w:trPr>
        <w:tc>
          <w:tcPr>
            <w:tcW w:w="198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6800850</wp:posOffset>
            </wp:positionH>
            <wp:positionV relativeFrom="paragraph">
              <wp:posOffset>-8255</wp:posOffset>
            </wp:positionV>
            <wp:extent cx="8255"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-16510</wp:posOffset>
            </wp:positionV>
            <wp:extent cx="8890" cy="171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342" w:name="page343"/>
    <w:bookmarkEnd w:id="342"/>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79" w:firstLine="648"/>
        <w:spacing w:after="0" w:line="243" w:lineRule="auto"/>
        <w:rPr>
          <w:sz w:val="20"/>
          <w:szCs w:val="20"/>
          <w:color w:val="auto"/>
        </w:rPr>
      </w:pPr>
      <w:r>
        <w:rPr>
          <w:rFonts w:ascii="Arial" w:cs="Arial" w:eastAsia="Arial" w:hAnsi="Arial"/>
          <w:sz w:val="18"/>
          <w:szCs w:val="18"/>
          <w:color w:val="auto"/>
        </w:rPr>
        <w:t>Property, plant and equipment are derecognized upon disposal or when no further economic benefits are expected from their continued use or sale. The gain or loss on derecognition is determined as the difference between the net disposal proceeds and the carrying amount and recognized in profit or loss in the period in which the item is derecognized.</w:t>
      </w:r>
    </w:p>
    <w:p>
      <w:pPr>
        <w:spacing w:after="0" w:line="120" w:lineRule="exact"/>
        <w:rPr>
          <w:sz w:val="20"/>
          <w:szCs w:val="20"/>
          <w:color w:val="auto"/>
        </w:rPr>
      </w:pPr>
    </w:p>
    <w:p>
      <w:pPr>
        <w:ind w:left="1260" w:right="579" w:firstLine="648"/>
        <w:spacing w:after="0" w:line="261" w:lineRule="auto"/>
        <w:rPr>
          <w:sz w:val="20"/>
          <w:szCs w:val="20"/>
          <w:color w:val="auto"/>
        </w:rPr>
      </w:pPr>
      <w:r>
        <w:rPr>
          <w:rFonts w:ascii="Arial" w:cs="Arial" w:eastAsia="Arial" w:hAnsi="Arial"/>
          <w:sz w:val="18"/>
          <w:szCs w:val="18"/>
          <w:color w:val="auto"/>
        </w:rPr>
        <w:t>The residual values of the assets, useful lives and depreciation methods are reviewed at the end of each fiscal year and any changes are accounted for prospectively.</w:t>
      </w:r>
    </w:p>
    <w:p>
      <w:pPr>
        <w:spacing w:after="0" w:line="103" w:lineRule="exact"/>
        <w:rPr>
          <w:sz w:val="20"/>
          <w:szCs w:val="20"/>
          <w:color w:val="auto"/>
        </w:rPr>
      </w:pPr>
    </w:p>
    <w:p>
      <w:pPr>
        <w:ind w:left="1260" w:right="459" w:firstLine="648"/>
        <w:spacing w:after="0" w:line="261" w:lineRule="auto"/>
        <w:rPr>
          <w:sz w:val="20"/>
          <w:szCs w:val="20"/>
          <w:color w:val="auto"/>
        </w:rPr>
      </w:pPr>
      <w:r>
        <w:rPr>
          <w:rFonts w:ascii="Arial" w:cs="Arial" w:eastAsia="Arial" w:hAnsi="Arial"/>
          <w:sz w:val="18"/>
          <w:szCs w:val="18"/>
          <w:color w:val="auto"/>
        </w:rPr>
        <w:t>The estimated useful lives and depreciation methods remained unchanged from fiscal 2018 to fiscal 2019. The residual values of the assets are generally considered to be zero.</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Non-current other assets — costs to obtain a contract</w:t>
      </w:r>
    </w:p>
    <w:p>
      <w:pPr>
        <w:spacing w:after="0" w:line="144" w:lineRule="exact"/>
        <w:rPr>
          <w:sz w:val="20"/>
          <w:szCs w:val="20"/>
          <w:color w:val="auto"/>
        </w:rPr>
      </w:pPr>
    </w:p>
    <w:p>
      <w:pPr>
        <w:ind w:left="1260" w:right="719" w:firstLine="648"/>
        <w:spacing w:after="0" w:line="291" w:lineRule="auto"/>
        <w:rPr>
          <w:sz w:val="20"/>
          <w:szCs w:val="20"/>
          <w:color w:val="auto"/>
        </w:rPr>
      </w:pPr>
      <w:r>
        <w:rPr>
          <w:rFonts w:ascii="Arial" w:cs="Arial" w:eastAsia="Arial" w:hAnsi="Arial"/>
          <w:sz w:val="17"/>
          <w:szCs w:val="17"/>
          <w:color w:val="auto"/>
        </w:rPr>
        <w:t>Amortization of assets recognized from the costs to obtain a contract with a customer within the scope of IFRS 15 is recognized on a straight-line basis over their associated estimated useful lives.</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Borrowing costs</w:t>
      </w:r>
    </w:p>
    <w:p>
      <w:pPr>
        <w:spacing w:after="0" w:line="158" w:lineRule="exact"/>
        <w:rPr>
          <w:sz w:val="20"/>
          <w:szCs w:val="20"/>
          <w:color w:val="auto"/>
        </w:rPr>
      </w:pPr>
    </w:p>
    <w:p>
      <w:pPr>
        <w:ind w:left="1260" w:right="439" w:firstLine="648"/>
        <w:spacing w:after="0" w:line="262" w:lineRule="auto"/>
        <w:rPr>
          <w:sz w:val="20"/>
          <w:szCs w:val="20"/>
          <w:color w:val="auto"/>
        </w:rPr>
      </w:pPr>
      <w:r>
        <w:rPr>
          <w:rFonts w:ascii="Arial" w:cs="Arial" w:eastAsia="Arial" w:hAnsi="Arial"/>
          <w:sz w:val="17"/>
          <w:szCs w:val="17"/>
          <w:color w:val="auto"/>
        </w:rPr>
        <w:t>Borrowing costs directly attributable to the acquisition, construction or production of an asset that necessarily takes a substantial period of time to get ready for its intended use or sale are capitalized as part of the cost of the asset. All other borrowing costs are expensed in the period in which they occur. Borrowing costs consist of interest and other costs that an entity incurs in connection with the borrowing of funds.</w:t>
      </w:r>
    </w:p>
    <w:p>
      <w:pPr>
        <w:spacing w:after="0" w:line="105" w:lineRule="exact"/>
        <w:rPr>
          <w:sz w:val="20"/>
          <w:szCs w:val="20"/>
          <w:color w:val="auto"/>
        </w:rPr>
      </w:pPr>
    </w:p>
    <w:p>
      <w:pPr>
        <w:ind w:left="1260" w:right="479" w:firstLine="648"/>
        <w:spacing w:after="0" w:line="248" w:lineRule="auto"/>
        <w:rPr>
          <w:sz w:val="20"/>
          <w:szCs w:val="20"/>
          <w:color w:val="auto"/>
        </w:rPr>
      </w:pPr>
      <w:r>
        <w:rPr>
          <w:rFonts w:ascii="Arial" w:cs="Arial" w:eastAsia="Arial" w:hAnsi="Arial"/>
          <w:sz w:val="18"/>
          <w:szCs w:val="18"/>
          <w:color w:val="auto"/>
        </w:rPr>
        <w:t>The Group capitalizes borrowing costs when it meets all the following conditions: (a) it incurs expenditures for the asset; (b) it incurs borrowing costs; and (c) it undertakes activities that are necessary to prepare the asset for its intended use or sale.</w:t>
      </w:r>
    </w:p>
    <w:p>
      <w:pPr>
        <w:spacing w:after="0" w:line="101" w:lineRule="exact"/>
        <w:rPr>
          <w:sz w:val="20"/>
          <w:szCs w:val="20"/>
          <w:color w:val="auto"/>
        </w:rPr>
      </w:pPr>
    </w:p>
    <w:p>
      <w:pPr>
        <w:ind w:left="1260" w:right="419" w:firstLine="648"/>
        <w:spacing w:after="0" w:line="248" w:lineRule="auto"/>
        <w:rPr>
          <w:sz w:val="20"/>
          <w:szCs w:val="20"/>
          <w:color w:val="auto"/>
        </w:rPr>
      </w:pPr>
      <w:r>
        <w:rPr>
          <w:rFonts w:ascii="Arial" w:cs="Arial" w:eastAsia="Arial" w:hAnsi="Arial"/>
          <w:sz w:val="18"/>
          <w:szCs w:val="18"/>
          <w:color w:val="auto"/>
        </w:rPr>
        <w:t>The Group capitalized EUR 2,188k borrowing costs during fiscal 2019 (2018: 0k). The capitalization rate used to determine the amount of the borrowing costs eligible for capitalization was during fiscal 2019 with a weighted average of 9.13%.</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Impairment of assets</w:t>
      </w:r>
    </w:p>
    <w:p>
      <w:pPr>
        <w:spacing w:after="0" w:line="158" w:lineRule="exact"/>
        <w:rPr>
          <w:sz w:val="20"/>
          <w:szCs w:val="20"/>
          <w:color w:val="auto"/>
        </w:rPr>
      </w:pPr>
    </w:p>
    <w:p>
      <w:pPr>
        <w:ind w:left="1260" w:right="419" w:firstLine="648"/>
        <w:spacing w:after="0" w:line="238" w:lineRule="auto"/>
        <w:rPr>
          <w:sz w:val="20"/>
          <w:szCs w:val="20"/>
          <w:color w:val="auto"/>
        </w:rPr>
      </w:pPr>
      <w:r>
        <w:rPr>
          <w:rFonts w:ascii="Arial" w:cs="Arial" w:eastAsia="Arial" w:hAnsi="Arial"/>
          <w:sz w:val="18"/>
          <w:szCs w:val="18"/>
          <w:color w:val="auto"/>
        </w:rPr>
        <w:t>At each reporting date, the Group assesses whether there is an indication that an asset may be impaired. If there is any indication of impairment or if an annual impairment test is required, the Group estimates the recoverable amount of the asset. The recoverable amount of an asset is the higher of the asset’s fair value less costs of disposal and its value-in-use. It is determined for an individual asset, unless the asset does not generate cash inflows that are largely independent of those from other assets or groups of assets, in which case it is determined at the level of the cash-generating unit. If the carrying amount of an asset exceeds its recoverable amount, the asset is impaired and written down to its recoverable amount. In assessing value in use, the estimated future cash flows are discounted to their present value using a pre -tax discount rate that reflects current market assessments of the time value of money and the risks specific to the asset.</w:t>
      </w:r>
    </w:p>
    <w:p>
      <w:pPr>
        <w:spacing w:after="0" w:line="121" w:lineRule="exact"/>
        <w:rPr>
          <w:sz w:val="20"/>
          <w:szCs w:val="20"/>
          <w:color w:val="auto"/>
        </w:rPr>
      </w:pPr>
    </w:p>
    <w:p>
      <w:pPr>
        <w:ind w:left="1260" w:right="579" w:firstLine="648"/>
        <w:spacing w:after="0" w:line="257" w:lineRule="auto"/>
        <w:rPr>
          <w:sz w:val="20"/>
          <w:szCs w:val="20"/>
          <w:color w:val="auto"/>
        </w:rPr>
      </w:pPr>
      <w:r>
        <w:rPr>
          <w:rFonts w:ascii="Arial" w:cs="Arial" w:eastAsia="Arial" w:hAnsi="Arial"/>
          <w:sz w:val="18"/>
          <w:szCs w:val="18"/>
          <w:color w:val="auto"/>
        </w:rPr>
        <w:t>When there has been a change in the estimates used to determine the asset’s recoverable amount since the last impairment loss was recognized, any impairment loss previously recognized is reversed. The reversal may not exceed the carrying amount that would have been determined after amortization or depreciation had no impairment loss been recognized for the asset in prior periods. The amount of the reversal is recognized in profit or loss for the period.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There were no impairments or reversals of impairments in fiscal 2019 and 2018.</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Leases</w:t>
      </w:r>
    </w:p>
    <w:p>
      <w:pPr>
        <w:spacing w:after="0" w:line="158" w:lineRule="exact"/>
        <w:rPr>
          <w:sz w:val="20"/>
          <w:szCs w:val="20"/>
          <w:color w:val="auto"/>
        </w:rPr>
      </w:pPr>
    </w:p>
    <w:p>
      <w:pPr>
        <w:ind w:left="1260" w:right="459" w:firstLine="648"/>
        <w:spacing w:after="0" w:line="254" w:lineRule="auto"/>
        <w:rPr>
          <w:sz w:val="20"/>
          <w:szCs w:val="20"/>
          <w:color w:val="auto"/>
        </w:rPr>
      </w:pPr>
      <w:r>
        <w:rPr>
          <w:rFonts w:ascii="Arial" w:cs="Arial" w:eastAsia="Arial" w:hAnsi="Arial"/>
          <w:sz w:val="18"/>
          <w:szCs w:val="18"/>
          <w:color w:val="auto"/>
        </w:rPr>
        <w:t>Through December 31, 2018, the Group applied the following policy: leases where the lessor retains substantially all the risks and benefits of ownership of the asset were classified as operating leases. Lease payments on operating leases were recorded as an expense in the income statement of operations on a straight-line basis over the term of the lease. However, a lease was classified as a finance lease if it transferred substantially all the risks and rewards incidental to ownership. If this were the case, the leased assets were initially recognized and measured at the fair value of the leased asset, or, if lower, the present value of the</w:t>
      </w:r>
    </w:p>
    <w:p>
      <w:pPr>
        <w:sectPr>
          <w:pgSz w:w="11900" w:h="16838" w:orient="portrait"/>
          <w:cols w:equalWidth="0" w:num="1">
            <w:col w:w="9879"/>
          </w:cols>
          <w:pgMar w:left="580" w:top="131" w:right="1440" w:bottom="1440" w:gutter="0" w:footer="0" w:header="0"/>
        </w:sectPr>
      </w:pPr>
    </w:p>
    <w:p>
      <w:pPr>
        <w:spacing w:after="0" w:line="37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43" w:name="page344"/>
    <w:bookmarkEnd w:id="343"/>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559"/>
        <w:spacing w:after="0" w:line="257" w:lineRule="auto"/>
        <w:rPr>
          <w:sz w:val="20"/>
          <w:szCs w:val="20"/>
          <w:color w:val="auto"/>
        </w:rPr>
      </w:pPr>
      <w:r>
        <w:rPr>
          <w:rFonts w:ascii="Arial" w:cs="Arial" w:eastAsia="Arial" w:hAnsi="Arial"/>
          <w:sz w:val="18"/>
          <w:szCs w:val="18"/>
          <w:color w:val="auto"/>
        </w:rPr>
        <w:t>future minimum lease payments and depreciated using the straight-line method over the minimum contract term, taking any existing residual value into consideration. When it was reasonably certain that ownership passed to the Group at the end of the lease period, such assets were depreciated over their useful lives. The present value of the payment obligations associated with the minimum future lease payments was recognized as a liability.</w:t>
      </w:r>
    </w:p>
    <w:p>
      <w:pPr>
        <w:spacing w:after="0" w:line="120" w:lineRule="exact"/>
        <w:rPr>
          <w:sz w:val="20"/>
          <w:szCs w:val="20"/>
          <w:color w:val="auto"/>
        </w:rPr>
      </w:pPr>
    </w:p>
    <w:p>
      <w:pPr>
        <w:ind w:left="1260" w:right="439" w:firstLine="648"/>
        <w:spacing w:after="0" w:line="263" w:lineRule="auto"/>
        <w:rPr>
          <w:sz w:val="20"/>
          <w:szCs w:val="20"/>
          <w:color w:val="auto"/>
        </w:rPr>
      </w:pPr>
      <w:r>
        <w:rPr>
          <w:rFonts w:ascii="Arial" w:cs="Arial" w:eastAsia="Arial" w:hAnsi="Arial"/>
          <w:sz w:val="18"/>
          <w:szCs w:val="18"/>
          <w:color w:val="auto"/>
        </w:rPr>
        <w:t>Effective January 1, 2019, the Group adopted IFRS 16, which affects the Group’s accounting policy for leases; refer to the section “Changes in accounting policies and disclosures — New and amended standards and interpretations” below for further information.</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Inventories</w:t>
      </w:r>
    </w:p>
    <w:p>
      <w:pPr>
        <w:spacing w:after="0" w:line="158" w:lineRule="exact"/>
        <w:rPr>
          <w:sz w:val="20"/>
          <w:szCs w:val="20"/>
          <w:color w:val="auto"/>
        </w:rPr>
      </w:pPr>
    </w:p>
    <w:p>
      <w:pPr>
        <w:ind w:left="1260" w:right="899" w:firstLine="648"/>
        <w:spacing w:after="0" w:line="263" w:lineRule="auto"/>
        <w:rPr>
          <w:sz w:val="20"/>
          <w:szCs w:val="20"/>
          <w:color w:val="auto"/>
        </w:rPr>
      </w:pPr>
      <w:r>
        <w:rPr>
          <w:rFonts w:ascii="Arial" w:cs="Arial" w:eastAsia="Arial" w:hAnsi="Arial"/>
          <w:sz w:val="18"/>
          <w:szCs w:val="18"/>
          <w:color w:val="auto"/>
        </w:rPr>
        <w:t>Inventories are valued at the lower of cost and net realizable value. Net realizable value is the estimated selling price in the ordinary course of business, less estimated costs of completion and the estimated costs necessary to make the sale.</w:t>
      </w:r>
    </w:p>
    <w:p>
      <w:pPr>
        <w:spacing w:after="0" w:line="103"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Costs incurred in bringing each product to its present location and condition are accounted for, as</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follows:</w:t>
      </w:r>
    </w:p>
    <w:p>
      <w:pPr>
        <w:spacing w:after="0" w:line="116" w:lineRule="exact"/>
        <w:rPr>
          <w:sz w:val="20"/>
          <w:szCs w:val="20"/>
          <w:color w:val="auto"/>
        </w:rPr>
      </w:pPr>
    </w:p>
    <w:p>
      <w:pPr>
        <w:ind w:left="2260" w:hanging="352"/>
        <w:spacing w:after="0"/>
        <w:tabs>
          <w:tab w:leader="none" w:pos="22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Raw materials: purchased cost on a first-in/first-out basis</w:t>
      </w:r>
    </w:p>
    <w:p>
      <w:pPr>
        <w:spacing w:after="0" w:line="144" w:lineRule="exact"/>
        <w:rPr>
          <w:rFonts w:ascii="Arial" w:cs="Arial" w:eastAsia="Arial" w:hAnsi="Arial"/>
          <w:sz w:val="18"/>
          <w:szCs w:val="18"/>
          <w:color w:val="auto"/>
        </w:rPr>
      </w:pPr>
    </w:p>
    <w:p>
      <w:pPr>
        <w:ind w:left="2260" w:right="679" w:hanging="352"/>
        <w:spacing w:after="0" w:line="308" w:lineRule="auto"/>
        <w:tabs>
          <w:tab w:leader="none" w:pos="226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Finished goods and work in progress: cost of direct materials and labor and a proportion of manufacturing overhead based on normal operating capacity, but excluding borrowing costs</w:t>
      </w:r>
    </w:p>
    <w:p>
      <w:pPr>
        <w:spacing w:after="0" w:line="65" w:lineRule="exact"/>
        <w:rPr>
          <w:sz w:val="20"/>
          <w:szCs w:val="20"/>
          <w:color w:val="auto"/>
        </w:rPr>
      </w:pPr>
    </w:p>
    <w:p>
      <w:pPr>
        <w:ind w:left="1260" w:right="659" w:firstLine="648"/>
        <w:spacing w:after="0" w:line="277" w:lineRule="auto"/>
        <w:rPr>
          <w:sz w:val="20"/>
          <w:szCs w:val="20"/>
          <w:color w:val="auto"/>
        </w:rPr>
      </w:pPr>
      <w:r>
        <w:rPr>
          <w:rFonts w:ascii="Arial" w:cs="Arial" w:eastAsia="Arial" w:hAnsi="Arial"/>
          <w:sz w:val="18"/>
          <w:szCs w:val="18"/>
          <w:color w:val="auto"/>
        </w:rPr>
        <w:t>Inventories are comprised of raw materials, work in progress and finished goods and are held for use in the fulfillment of collaboration agreements.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8" w:lineRule="exact"/>
        <w:rPr>
          <w:sz w:val="20"/>
          <w:szCs w:val="20"/>
          <w:color w:val="auto"/>
        </w:rPr>
      </w:pPr>
    </w:p>
    <w:p>
      <w:pPr>
        <w:ind w:left="1260" w:right="499" w:firstLine="648"/>
        <w:spacing w:after="0" w:line="277" w:lineRule="auto"/>
        <w:rPr>
          <w:sz w:val="20"/>
          <w:szCs w:val="20"/>
          <w:color w:val="auto"/>
        </w:rPr>
      </w:pPr>
      <w:r>
        <w:rPr>
          <w:rFonts w:ascii="Arial" w:cs="Arial" w:eastAsia="Arial" w:hAnsi="Arial"/>
          <w:sz w:val="18"/>
          <w:szCs w:val="18"/>
          <w:color w:val="auto"/>
        </w:rPr>
        <w:t>Cash and cash equivalents include cash on hand, bank balances on demand and short-term deposits with an original maturity of three months or less.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Share-based payment awards</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Group operates a number of share-based payment programs.</w:t>
      </w:r>
    </w:p>
    <w:p>
      <w:pPr>
        <w:spacing w:after="0" w:line="144" w:lineRule="exact"/>
        <w:rPr>
          <w:sz w:val="20"/>
          <w:szCs w:val="20"/>
          <w:color w:val="auto"/>
        </w:rPr>
      </w:pPr>
    </w:p>
    <w:p>
      <w:pPr>
        <w:ind w:left="1260" w:right="519" w:firstLine="648"/>
        <w:spacing w:after="0" w:line="255" w:lineRule="auto"/>
        <w:rPr>
          <w:sz w:val="20"/>
          <w:szCs w:val="20"/>
          <w:color w:val="auto"/>
        </w:rPr>
      </w:pPr>
      <w:r>
        <w:rPr>
          <w:rFonts w:ascii="Arial" w:cs="Arial" w:eastAsia="Arial" w:hAnsi="Arial"/>
          <w:sz w:val="18"/>
          <w:szCs w:val="18"/>
          <w:color w:val="auto"/>
        </w:rPr>
        <w:t>An equity-settled share-based payment award is accounted for by recognizing the related expense over the vesting period of the award, with corresponding increase recorded in equity. The expense is based on the fair value determined at the grant date of the award and the number of awards expected to vest. The fair value remains unchanged after grant date. If there is no final grant date due to terms that have yet to be implemented, the fair value is based on an estimated grant date. Once the award has vested, there is no reversal of expense related to the award.</w:t>
      </w:r>
    </w:p>
    <w:p>
      <w:pPr>
        <w:spacing w:after="0" w:line="125" w:lineRule="exact"/>
        <w:rPr>
          <w:sz w:val="20"/>
          <w:szCs w:val="20"/>
          <w:color w:val="auto"/>
        </w:rPr>
      </w:pPr>
    </w:p>
    <w:p>
      <w:pPr>
        <w:ind w:left="1260" w:right="599" w:firstLine="648"/>
        <w:spacing w:after="0" w:line="259" w:lineRule="auto"/>
        <w:rPr>
          <w:sz w:val="20"/>
          <w:szCs w:val="20"/>
          <w:color w:val="auto"/>
        </w:rPr>
      </w:pPr>
      <w:r>
        <w:rPr>
          <w:rFonts w:ascii="Arial" w:cs="Arial" w:eastAsia="Arial" w:hAnsi="Arial"/>
          <w:sz w:val="18"/>
          <w:szCs w:val="18"/>
          <w:color w:val="auto"/>
        </w:rPr>
        <w:t>When a share-based payment award provides for different ways of settlement (i.e. cash versus shares) depending on the occurrence of contingent events, the award is accounted for based on the manner of settlement that is most probable. A change in the expected manner of settlement is accounted for as a modification.</w:t>
      </w:r>
    </w:p>
    <w:p>
      <w:pPr>
        <w:spacing w:after="0" w:line="119" w:lineRule="exact"/>
        <w:rPr>
          <w:sz w:val="20"/>
          <w:szCs w:val="20"/>
          <w:color w:val="auto"/>
        </w:rPr>
      </w:pPr>
    </w:p>
    <w:p>
      <w:pPr>
        <w:ind w:left="1260" w:right="639" w:firstLine="648"/>
        <w:spacing w:after="0" w:line="277" w:lineRule="auto"/>
        <w:rPr>
          <w:sz w:val="20"/>
          <w:szCs w:val="20"/>
          <w:color w:val="auto"/>
        </w:rPr>
      </w:pPr>
      <w:r>
        <w:rPr>
          <w:rFonts w:ascii="Arial" w:cs="Arial" w:eastAsia="Arial" w:hAnsi="Arial"/>
          <w:sz w:val="18"/>
          <w:szCs w:val="18"/>
          <w:color w:val="auto"/>
        </w:rPr>
        <w:t>The related share-based payment expense is recorded in the functional cost category to which the award recipient’s costs are classified.</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Current tax assets and liabilities</w:t>
      </w:r>
    </w:p>
    <w:p>
      <w:pPr>
        <w:spacing w:after="0" w:line="144" w:lineRule="exact"/>
        <w:rPr>
          <w:sz w:val="20"/>
          <w:szCs w:val="20"/>
          <w:color w:val="auto"/>
        </w:rPr>
      </w:pPr>
    </w:p>
    <w:p>
      <w:pPr>
        <w:jc w:val="both"/>
        <w:ind w:left="1260" w:right="459" w:firstLine="648"/>
        <w:spacing w:after="0" w:line="263" w:lineRule="auto"/>
        <w:rPr>
          <w:sz w:val="20"/>
          <w:szCs w:val="20"/>
          <w:color w:val="auto"/>
        </w:rPr>
      </w:pPr>
      <w:r>
        <w:rPr>
          <w:rFonts w:ascii="Arial" w:cs="Arial" w:eastAsia="Arial" w:hAnsi="Arial"/>
          <w:sz w:val="18"/>
          <w:szCs w:val="18"/>
          <w:color w:val="auto"/>
        </w:rPr>
        <w:t>Current tax assets and liabilities are measured at the amount expected to be recovered from or paid to the taxation authorities based on the tax rates and tax laws that are enacted or substantively enacted at the end of the reporting period.</w:t>
      </w:r>
    </w:p>
    <w:p>
      <w:pPr>
        <w:spacing w:after="0" w:line="37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44" w:name="page345"/>
    <w:bookmarkEnd w:id="344"/>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Deferred taxes</w:t>
      </w:r>
    </w:p>
    <w:p>
      <w:pPr>
        <w:spacing w:after="0" w:line="158" w:lineRule="exact"/>
        <w:rPr>
          <w:sz w:val="20"/>
          <w:szCs w:val="20"/>
          <w:color w:val="auto"/>
        </w:rPr>
      </w:pPr>
    </w:p>
    <w:p>
      <w:pPr>
        <w:ind w:left="1260" w:right="599" w:firstLine="648"/>
        <w:spacing w:after="0" w:line="308" w:lineRule="auto"/>
        <w:rPr>
          <w:sz w:val="20"/>
          <w:szCs w:val="20"/>
          <w:color w:val="auto"/>
        </w:rPr>
      </w:pPr>
      <w:r>
        <w:rPr>
          <w:rFonts w:ascii="Arial" w:cs="Arial" w:eastAsia="Arial" w:hAnsi="Arial"/>
          <w:sz w:val="17"/>
          <w:szCs w:val="17"/>
          <w:color w:val="auto"/>
        </w:rPr>
        <w:t>Deferred tax is recognized using the liability method on all temporary differences as of the end of the reporting period between the carrying amounts of assets and liabilities and their tax bases.</w:t>
      </w:r>
    </w:p>
    <w:p>
      <w:pPr>
        <w:spacing w:after="0" w:line="79" w:lineRule="exact"/>
        <w:rPr>
          <w:sz w:val="20"/>
          <w:szCs w:val="20"/>
          <w:color w:val="auto"/>
        </w:rPr>
      </w:pPr>
    </w:p>
    <w:p>
      <w:pPr>
        <w:ind w:left="1260" w:right="419" w:firstLine="648"/>
        <w:spacing w:after="0" w:line="259" w:lineRule="auto"/>
        <w:rPr>
          <w:sz w:val="20"/>
          <w:szCs w:val="20"/>
          <w:color w:val="auto"/>
        </w:rPr>
      </w:pPr>
      <w:r>
        <w:rPr>
          <w:rFonts w:ascii="Arial" w:cs="Arial" w:eastAsia="Arial" w:hAnsi="Arial"/>
          <w:sz w:val="18"/>
          <w:szCs w:val="18"/>
          <w:color w:val="auto"/>
        </w:rPr>
        <w:t>Deferred tax liabilities are recognized for all taxable temporary differences. The only exception is if the deferred income tax arises from initial recognition of an asset or liability in a transaction other than a business combination which, at the time of the transaction, affects neither accounting profit nor loss nor taxable profit or loss.</w:t>
      </w:r>
    </w:p>
    <w:p>
      <w:pPr>
        <w:spacing w:after="0" w:line="106" w:lineRule="exact"/>
        <w:rPr>
          <w:sz w:val="20"/>
          <w:szCs w:val="20"/>
          <w:color w:val="auto"/>
        </w:rPr>
      </w:pPr>
    </w:p>
    <w:p>
      <w:pPr>
        <w:ind w:left="1260" w:right="599" w:firstLine="648"/>
        <w:spacing w:after="0" w:line="277" w:lineRule="auto"/>
        <w:rPr>
          <w:sz w:val="20"/>
          <w:szCs w:val="20"/>
          <w:color w:val="auto"/>
        </w:rPr>
      </w:pPr>
      <w:r>
        <w:rPr>
          <w:rFonts w:ascii="Arial" w:cs="Arial" w:eastAsia="Arial" w:hAnsi="Arial"/>
          <w:sz w:val="18"/>
          <w:szCs w:val="18"/>
          <w:color w:val="auto"/>
        </w:rPr>
        <w:t>Deferred tax assets are recognized for deductible temporary differences and to the extent that it is probable that future taxable income will allow the deferred tax asset to be realized.</w:t>
      </w:r>
    </w:p>
    <w:p>
      <w:pPr>
        <w:spacing w:after="0" w:line="103" w:lineRule="exact"/>
        <w:rPr>
          <w:sz w:val="20"/>
          <w:szCs w:val="20"/>
          <w:color w:val="auto"/>
        </w:rPr>
      </w:pPr>
    </w:p>
    <w:p>
      <w:pPr>
        <w:jc w:val="both"/>
        <w:ind w:left="1260" w:right="699" w:firstLine="648"/>
        <w:spacing w:after="0" w:line="263" w:lineRule="auto"/>
        <w:rPr>
          <w:sz w:val="20"/>
          <w:szCs w:val="20"/>
          <w:color w:val="auto"/>
        </w:rPr>
      </w:pPr>
      <w:r>
        <w:rPr>
          <w:rFonts w:ascii="Arial" w:cs="Arial" w:eastAsia="Arial" w:hAnsi="Arial"/>
          <w:sz w:val="18"/>
          <w:szCs w:val="18"/>
          <w:color w:val="auto"/>
        </w:rPr>
        <w:t>Deferred tax assets and deferred tax liabilities are measured at the tax rates that are expected to apply in the year when the asset is realized or the liability is settled based on tax rates (and tax laws) that have been enacted or substantively enacted by the end of the reporting period.</w:t>
      </w:r>
    </w:p>
    <w:p>
      <w:pPr>
        <w:spacing w:after="0" w:line="116" w:lineRule="exact"/>
        <w:rPr>
          <w:sz w:val="20"/>
          <w:szCs w:val="20"/>
          <w:color w:val="auto"/>
        </w:rPr>
      </w:pPr>
    </w:p>
    <w:p>
      <w:pPr>
        <w:ind w:left="1260" w:right="419" w:firstLine="648"/>
        <w:spacing w:after="0" w:line="277" w:lineRule="auto"/>
        <w:rPr>
          <w:sz w:val="20"/>
          <w:szCs w:val="20"/>
          <w:color w:val="auto"/>
        </w:rPr>
      </w:pPr>
      <w:r>
        <w:rPr>
          <w:rFonts w:ascii="Arial" w:cs="Arial" w:eastAsia="Arial" w:hAnsi="Arial"/>
          <w:sz w:val="18"/>
          <w:szCs w:val="18"/>
          <w:color w:val="auto"/>
        </w:rPr>
        <w:t>In the event that transactions and other events are recognized directly in equity, any related taxes on income are also recognized directly in equity.</w:t>
      </w:r>
    </w:p>
    <w:p>
      <w:pPr>
        <w:spacing w:after="0" w:line="89" w:lineRule="exact"/>
        <w:rPr>
          <w:sz w:val="20"/>
          <w:szCs w:val="20"/>
          <w:color w:val="auto"/>
        </w:rPr>
      </w:pPr>
    </w:p>
    <w:p>
      <w:pPr>
        <w:jc w:val="both"/>
        <w:ind w:left="1260" w:right="699" w:firstLine="648"/>
        <w:spacing w:after="0" w:line="263" w:lineRule="auto"/>
        <w:rPr>
          <w:sz w:val="20"/>
          <w:szCs w:val="20"/>
          <w:color w:val="auto"/>
        </w:rPr>
      </w:pPr>
      <w:r>
        <w:rPr>
          <w:rFonts w:ascii="Arial" w:cs="Arial" w:eastAsia="Arial" w:hAnsi="Arial"/>
          <w:sz w:val="18"/>
          <w:szCs w:val="18"/>
          <w:color w:val="auto"/>
        </w:rPr>
        <w:t>Deferred tax assets and deferred tax liabilities are offset if there is a legally enforceable right to offset current tax assets and current tax liabilities and these relate to income taxes levied by the same tax jurisdiction.</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Segments</w:t>
      </w:r>
    </w:p>
    <w:p>
      <w:pPr>
        <w:spacing w:after="0" w:line="158" w:lineRule="exact"/>
        <w:rPr>
          <w:sz w:val="20"/>
          <w:szCs w:val="20"/>
          <w:color w:val="auto"/>
        </w:rPr>
      </w:pPr>
    </w:p>
    <w:p>
      <w:pPr>
        <w:ind w:left="1260" w:right="439" w:firstLine="648"/>
        <w:spacing w:after="0" w:line="273" w:lineRule="auto"/>
        <w:rPr>
          <w:sz w:val="20"/>
          <w:szCs w:val="20"/>
          <w:color w:val="auto"/>
        </w:rPr>
      </w:pPr>
      <w:r>
        <w:rPr>
          <w:rFonts w:ascii="Arial" w:cs="Arial" w:eastAsia="Arial" w:hAnsi="Arial"/>
          <w:sz w:val="17"/>
          <w:szCs w:val="17"/>
          <w:color w:val="auto"/>
        </w:rPr>
        <w:t>An operating segment is defined as a component of an entity for which discrete financial information is available and whose operating results are regularly reviewed by the Chief Operating Decision Maker (CODM). The CODM is comprised of the Management Board of the Group. The Group operates as a single segment dedicated to the discovery and development of biotechnological applications and the CODM makes decisions about allocating resources and assessing performance based on the Group as a whole. Accordingly, the Group has determined it operates in one operating and reportable segment.</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Significant accounting judgments, estimates and assumptions</w:t>
      </w:r>
    </w:p>
    <w:p>
      <w:pPr>
        <w:spacing w:after="0" w:line="162" w:lineRule="exact"/>
        <w:rPr>
          <w:sz w:val="20"/>
          <w:szCs w:val="20"/>
          <w:color w:val="auto"/>
        </w:rPr>
      </w:pPr>
    </w:p>
    <w:p>
      <w:pPr>
        <w:ind w:left="1260" w:right="499" w:firstLine="648"/>
        <w:spacing w:after="0" w:line="271" w:lineRule="auto"/>
        <w:rPr>
          <w:sz w:val="20"/>
          <w:szCs w:val="20"/>
          <w:color w:val="auto"/>
        </w:rPr>
      </w:pPr>
      <w:r>
        <w:rPr>
          <w:rFonts w:ascii="Arial" w:cs="Arial" w:eastAsia="Arial" w:hAnsi="Arial"/>
          <w:sz w:val="17"/>
          <w:szCs w:val="17"/>
          <w:color w:val="auto"/>
        </w:rPr>
        <w:t>The preparation of financial statements in conformity with IFRS requires management to make judgments, estimates and assumptions that affect the reported amounts in the financial statements. Management continually evaluates its judgments and estimates in relation to assets, liabilities, contingent liabilities, revenues and expenses. Management bases its judgments and estimates on historical experience and on other various factors, it believes to be reasonable under the circumstances, the result of which forms the basis of the carrying values of assets and liabilities that are not readily apparent from other sources. Actual results may differ from these estimates under different assumptions and conditions and may materially affect the financial results or the financial position reported in future periods.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Significant judgments</w:t>
      </w:r>
    </w:p>
    <w:p>
      <w:pPr>
        <w:spacing w:after="0" w:line="144" w:lineRule="exact"/>
        <w:rPr>
          <w:sz w:val="20"/>
          <w:szCs w:val="20"/>
          <w:color w:val="auto"/>
        </w:rPr>
      </w:pPr>
    </w:p>
    <w:p>
      <w:pPr>
        <w:ind w:left="1260" w:right="479" w:firstLine="648"/>
        <w:spacing w:after="0" w:line="308" w:lineRule="auto"/>
        <w:rPr>
          <w:sz w:val="20"/>
          <w:szCs w:val="20"/>
          <w:color w:val="auto"/>
        </w:rPr>
      </w:pPr>
      <w:r>
        <w:rPr>
          <w:rFonts w:ascii="Arial" w:cs="Arial" w:eastAsia="Arial" w:hAnsi="Arial"/>
          <w:sz w:val="17"/>
          <w:szCs w:val="17"/>
          <w:color w:val="auto"/>
        </w:rPr>
        <w:t>In the process of applying the accounting policies, management has made the following judgments, which have the most significant effect on the amounts recognized in the consolidated financial statements.</w:t>
      </w:r>
    </w:p>
    <w:p>
      <w:pPr>
        <w:spacing w:after="0" w:line="14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Accounting for share-based payments</w:t>
      </w:r>
    </w:p>
    <w:p>
      <w:pPr>
        <w:spacing w:after="0" w:line="158" w:lineRule="exact"/>
        <w:rPr>
          <w:sz w:val="20"/>
          <w:szCs w:val="20"/>
          <w:color w:val="auto"/>
        </w:rPr>
      </w:pPr>
    </w:p>
    <w:p>
      <w:pPr>
        <w:ind w:left="1260" w:right="499" w:firstLine="648"/>
        <w:spacing w:after="0" w:line="263" w:lineRule="auto"/>
        <w:rPr>
          <w:sz w:val="20"/>
          <w:szCs w:val="20"/>
          <w:color w:val="auto"/>
        </w:rPr>
      </w:pPr>
      <w:r>
        <w:rPr>
          <w:rFonts w:ascii="Arial" w:cs="Arial" w:eastAsia="Arial" w:hAnsi="Arial"/>
          <w:sz w:val="18"/>
          <w:szCs w:val="18"/>
          <w:color w:val="auto"/>
        </w:rPr>
        <w:t>The Group has multiple share-based payment programs. Significant judgments include classification as cash or equity-settled awards of the share-based payments and the determination of the fair value of the awards.</w:t>
      </w:r>
    </w:p>
    <w:p>
      <w:pPr>
        <w:spacing w:after="0" w:line="116" w:lineRule="exact"/>
        <w:rPr>
          <w:sz w:val="20"/>
          <w:szCs w:val="20"/>
          <w:color w:val="auto"/>
        </w:rPr>
      </w:pPr>
    </w:p>
    <w:p>
      <w:pPr>
        <w:ind w:left="1260" w:right="559" w:firstLine="648"/>
        <w:spacing w:after="0" w:line="279" w:lineRule="auto"/>
        <w:rPr>
          <w:sz w:val="20"/>
          <w:szCs w:val="20"/>
          <w:color w:val="auto"/>
        </w:rPr>
      </w:pPr>
      <w:r>
        <w:rPr>
          <w:rFonts w:ascii="Arial" w:cs="Arial" w:eastAsia="Arial" w:hAnsi="Arial"/>
          <w:sz w:val="17"/>
          <w:szCs w:val="17"/>
          <w:color w:val="auto"/>
        </w:rPr>
        <w:t>Since 2009, members of management and other key employees were awarded rights in a virtual shares program. In 2019, rights were awarded in a new virtual shares program and other terms specific to certain individuals. Under the terms of these programs, participants are entitled to cash payments that are contingent on the occurrence of specified exit events, which includes an initial public offering (IPO) of the</w:t>
      </w:r>
    </w:p>
    <w:p>
      <w:pPr>
        <w:sectPr>
          <w:pgSz w:w="11900" w:h="16838" w:orient="portrait"/>
          <w:cols w:equalWidth="0" w:num="1">
            <w:col w:w="9879"/>
          </w:cols>
          <w:pgMar w:left="580" w:top="131" w:right="1440" w:bottom="1440" w:gutter="0" w:footer="0" w:header="0"/>
        </w:sectPr>
      </w:pPr>
    </w:p>
    <w:p>
      <w:pPr>
        <w:spacing w:after="0" w:line="34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45" w:name="page346"/>
    <w:bookmarkEnd w:id="345"/>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559"/>
        <w:spacing w:after="0" w:line="277" w:lineRule="auto"/>
        <w:rPr>
          <w:sz w:val="20"/>
          <w:szCs w:val="20"/>
          <w:color w:val="auto"/>
        </w:rPr>
      </w:pPr>
      <w:r>
        <w:rPr>
          <w:rFonts w:ascii="Arial" w:cs="Arial" w:eastAsia="Arial" w:hAnsi="Arial"/>
          <w:sz w:val="18"/>
          <w:szCs w:val="18"/>
          <w:color w:val="auto"/>
        </w:rPr>
        <w:t>Group. In the case of an IPO, the Group has a choice of setting the awards in either cash or shares. It is the Group’s intention to settle in shares if such scenario materializes.</w:t>
      </w:r>
    </w:p>
    <w:p>
      <w:pPr>
        <w:spacing w:after="0" w:line="103" w:lineRule="exact"/>
        <w:rPr>
          <w:sz w:val="20"/>
          <w:szCs w:val="20"/>
          <w:color w:val="auto"/>
        </w:rPr>
      </w:pPr>
    </w:p>
    <w:p>
      <w:pPr>
        <w:ind w:left="1260" w:right="899" w:firstLine="648"/>
        <w:spacing w:after="0" w:line="277" w:lineRule="auto"/>
        <w:rPr>
          <w:sz w:val="20"/>
          <w:szCs w:val="20"/>
          <w:color w:val="auto"/>
        </w:rPr>
      </w:pPr>
      <w:r>
        <w:rPr>
          <w:rFonts w:ascii="Arial" w:cs="Arial" w:eastAsia="Arial" w:hAnsi="Arial"/>
          <w:sz w:val="18"/>
          <w:szCs w:val="18"/>
          <w:color w:val="auto"/>
        </w:rPr>
        <w:t>The Group considers an IPO scenario as more probable than other, cash-settled, scenarios and accounts for the virtual shares program as equity-settled.</w:t>
      </w:r>
    </w:p>
    <w:p>
      <w:pPr>
        <w:spacing w:after="0" w:line="103" w:lineRule="exact"/>
        <w:rPr>
          <w:sz w:val="20"/>
          <w:szCs w:val="20"/>
          <w:color w:val="auto"/>
        </w:rPr>
      </w:pPr>
    </w:p>
    <w:p>
      <w:pPr>
        <w:ind w:left="1260" w:right="539" w:firstLine="648"/>
        <w:spacing w:after="0" w:line="275" w:lineRule="auto"/>
        <w:rPr>
          <w:sz w:val="20"/>
          <w:szCs w:val="20"/>
          <w:color w:val="auto"/>
        </w:rPr>
      </w:pPr>
      <w:r>
        <w:rPr>
          <w:rFonts w:ascii="Arial" w:cs="Arial" w:eastAsia="Arial" w:hAnsi="Arial"/>
          <w:sz w:val="17"/>
          <w:szCs w:val="17"/>
          <w:color w:val="auto"/>
        </w:rPr>
        <w:t>The new awards granted in 2019 are also accounted for as equity-settled share-based payments on that basis and thus requires an estimation of the grant date fair value of the awards at the time when they were granted. Such estimates require significant judgment and, depending on when the awards are granted, are subject to change in line with the Group’s development but are also dependent on the likelihood of occurrence of the exit scenario underlying the valuation. For further details, refer to Note 9.</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Revenue recognition and collaboration agreements</w:t>
      </w:r>
    </w:p>
    <w:p>
      <w:pPr>
        <w:spacing w:after="0" w:line="144" w:lineRule="exact"/>
        <w:rPr>
          <w:sz w:val="20"/>
          <w:szCs w:val="20"/>
          <w:color w:val="auto"/>
        </w:rPr>
      </w:pPr>
    </w:p>
    <w:p>
      <w:pPr>
        <w:ind w:left="1260" w:right="499" w:firstLine="648"/>
        <w:spacing w:after="0" w:line="277" w:lineRule="auto"/>
        <w:rPr>
          <w:sz w:val="20"/>
          <w:szCs w:val="20"/>
          <w:color w:val="auto"/>
        </w:rPr>
      </w:pPr>
      <w:r>
        <w:rPr>
          <w:rFonts w:ascii="Arial" w:cs="Arial" w:eastAsia="Arial" w:hAnsi="Arial"/>
          <w:sz w:val="18"/>
          <w:szCs w:val="18"/>
          <w:color w:val="auto"/>
        </w:rPr>
        <w:t>The Group applied the following judgments in determining the amount and timing of revenue from collaboration agreements:</w:t>
      </w:r>
    </w:p>
    <w:p>
      <w:pPr>
        <w:spacing w:after="0" w:line="76" w:lineRule="exact"/>
        <w:rPr>
          <w:sz w:val="20"/>
          <w:szCs w:val="20"/>
          <w:color w:val="auto"/>
        </w:rPr>
      </w:pPr>
    </w:p>
    <w:p>
      <w:pPr>
        <w:ind w:left="2260" w:right="519" w:hanging="352"/>
        <w:spacing w:after="0" w:line="277" w:lineRule="auto"/>
        <w:tabs>
          <w:tab w:leader="none" w:pos="22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Identification and determination of the nature of performance obligations in collaboration and license agreements.</w:t>
      </w:r>
    </w:p>
    <w:p>
      <w:pPr>
        <w:spacing w:after="0" w:line="89" w:lineRule="exact"/>
        <w:rPr>
          <w:sz w:val="20"/>
          <w:szCs w:val="20"/>
          <w:color w:val="auto"/>
        </w:rPr>
      </w:pPr>
    </w:p>
    <w:p>
      <w:pPr>
        <w:ind w:left="1260" w:right="499" w:firstLine="648"/>
        <w:spacing w:after="0" w:line="272" w:lineRule="auto"/>
        <w:rPr>
          <w:sz w:val="20"/>
          <w:szCs w:val="20"/>
          <w:color w:val="auto"/>
        </w:rPr>
      </w:pPr>
      <w:r>
        <w:rPr>
          <w:rFonts w:ascii="Arial" w:cs="Arial" w:eastAsia="Arial" w:hAnsi="Arial"/>
          <w:sz w:val="17"/>
          <w:szCs w:val="17"/>
          <w:color w:val="auto"/>
        </w:rPr>
        <w:t>The Group generates revenues from collaboration and license agreements under which the Group grants licenses to use, research, develop, manufacture and commercialize candidates and products. As these agreements comprise several promises, it must be assessed whether these promises are capable of being distinct within the context of the contract. If these promises are not distinct, they are combined until the bundle of promised goods and services is distinct. For some agreements, this results in the Group accounting for all goods and services promised in a collaboration and license agreement as a single performance obligation with a single measure of progress.</w:t>
      </w:r>
    </w:p>
    <w:p>
      <w:pPr>
        <w:spacing w:after="0" w:line="110" w:lineRule="exact"/>
        <w:rPr>
          <w:sz w:val="20"/>
          <w:szCs w:val="20"/>
          <w:color w:val="auto"/>
        </w:rPr>
      </w:pPr>
    </w:p>
    <w:p>
      <w:pPr>
        <w:ind w:left="1260" w:right="499" w:firstLine="648"/>
        <w:spacing w:after="0" w:line="275" w:lineRule="auto"/>
        <w:rPr>
          <w:sz w:val="20"/>
          <w:szCs w:val="20"/>
          <w:color w:val="auto"/>
        </w:rPr>
      </w:pPr>
      <w:r>
        <w:rPr>
          <w:rFonts w:ascii="Arial" w:cs="Arial" w:eastAsia="Arial" w:hAnsi="Arial"/>
          <w:sz w:val="17"/>
          <w:szCs w:val="17"/>
          <w:color w:val="auto"/>
        </w:rPr>
        <w:t>For these combined performance obligations, it must be assessed which of these promises is the predominant promise to determine the nature of the performance obligation. The Group determined that the grant of the license is the predominant promise within the (combined) performance obligation to grant a license to the customers. It was assessed that the Group grants its customers a right to access or a right to use the Group’s IP due to the collaboration and license agreements.</w:t>
      </w:r>
    </w:p>
    <w:p>
      <w:pPr>
        <w:spacing w:after="0" w:line="109" w:lineRule="exact"/>
        <w:rPr>
          <w:sz w:val="20"/>
          <w:szCs w:val="20"/>
          <w:color w:val="auto"/>
        </w:rPr>
      </w:pPr>
    </w:p>
    <w:p>
      <w:pPr>
        <w:ind w:left="1260" w:right="759" w:firstLine="648"/>
        <w:spacing w:after="0" w:line="263" w:lineRule="auto"/>
        <w:rPr>
          <w:sz w:val="20"/>
          <w:szCs w:val="20"/>
          <w:color w:val="auto"/>
        </w:rPr>
      </w:pPr>
      <w:r>
        <w:rPr>
          <w:rFonts w:ascii="Arial" w:cs="Arial" w:eastAsia="Arial" w:hAnsi="Arial"/>
          <w:sz w:val="18"/>
          <w:szCs w:val="18"/>
          <w:color w:val="auto"/>
        </w:rPr>
        <w:t>As a result, the promise to grant a license is accounted for as a performance obligation satisfied over time as the Group’s customer simultaneously receive and consumes the benefits from the Group’s performance.</w:t>
      </w:r>
    </w:p>
    <w:p>
      <w:pPr>
        <w:spacing w:after="0" w:line="76" w:lineRule="exact"/>
        <w:rPr>
          <w:sz w:val="20"/>
          <w:szCs w:val="20"/>
          <w:color w:val="auto"/>
        </w:rPr>
      </w:pPr>
    </w:p>
    <w:p>
      <w:pPr>
        <w:ind w:left="2260" w:right="699" w:hanging="352"/>
        <w:spacing w:after="0" w:line="277" w:lineRule="auto"/>
        <w:tabs>
          <w:tab w:leader="none" w:pos="22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Estimation of variable consideration and assessment of the constraint when determining the amount of revenue of which to defer recognition</w:t>
      </w:r>
    </w:p>
    <w:p>
      <w:pPr>
        <w:spacing w:after="0" w:line="89" w:lineRule="exact"/>
        <w:rPr>
          <w:sz w:val="20"/>
          <w:szCs w:val="20"/>
          <w:color w:val="auto"/>
        </w:rPr>
      </w:pPr>
    </w:p>
    <w:p>
      <w:pPr>
        <w:ind w:left="1260" w:right="539" w:firstLine="648"/>
        <w:spacing w:after="0" w:line="257" w:lineRule="auto"/>
        <w:rPr>
          <w:sz w:val="20"/>
          <w:szCs w:val="20"/>
          <w:color w:val="auto"/>
        </w:rPr>
      </w:pPr>
      <w:r>
        <w:rPr>
          <w:rFonts w:ascii="Arial" w:cs="Arial" w:eastAsia="Arial" w:hAnsi="Arial"/>
          <w:sz w:val="18"/>
          <w:szCs w:val="18"/>
          <w:color w:val="auto"/>
        </w:rPr>
        <w:t>The Group’s collaboration and license agreements comprise variable considerations which are contingent on the occurrence or non-occurrence of a future event (i.e., reaching a certain milestone). When determining the deferral of revenue in a collaboration and license agreement, the Group is required to estimate the amount of consideration to which it will be entitled in exchange for transferring the promised goods or services to the customer.</w:t>
      </w:r>
    </w:p>
    <w:p>
      <w:pPr>
        <w:spacing w:after="0" w:line="120" w:lineRule="exact"/>
        <w:rPr>
          <w:sz w:val="20"/>
          <w:szCs w:val="20"/>
          <w:color w:val="auto"/>
        </w:rPr>
      </w:pPr>
    </w:p>
    <w:p>
      <w:pPr>
        <w:ind w:left="1260" w:right="419" w:firstLine="648"/>
        <w:spacing w:after="0" w:line="263" w:lineRule="auto"/>
        <w:rPr>
          <w:sz w:val="20"/>
          <w:szCs w:val="20"/>
          <w:color w:val="auto"/>
        </w:rPr>
      </w:pPr>
      <w:r>
        <w:rPr>
          <w:rFonts w:ascii="Arial" w:cs="Arial" w:eastAsia="Arial" w:hAnsi="Arial"/>
          <w:sz w:val="18"/>
          <w:szCs w:val="18"/>
          <w:color w:val="auto"/>
        </w:rPr>
        <w:t>As there are usually only two possible outcomes (i.e., milestone is reached or not), the Group has assessed that the method of the most likely amount is the best method to predict the amount of consideration to which the Group will be entitled.</w:t>
      </w:r>
    </w:p>
    <w:p>
      <w:pPr>
        <w:spacing w:after="0" w:line="116" w:lineRule="exact"/>
        <w:rPr>
          <w:sz w:val="20"/>
          <w:szCs w:val="20"/>
          <w:color w:val="auto"/>
        </w:rPr>
      </w:pPr>
    </w:p>
    <w:p>
      <w:pPr>
        <w:ind w:left="1260" w:right="659" w:firstLine="648"/>
        <w:spacing w:after="0" w:line="259" w:lineRule="auto"/>
        <w:rPr>
          <w:sz w:val="20"/>
          <w:szCs w:val="20"/>
          <w:color w:val="auto"/>
        </w:rPr>
      </w:pPr>
      <w:r>
        <w:rPr>
          <w:rFonts w:ascii="Arial" w:cs="Arial" w:eastAsia="Arial" w:hAnsi="Arial"/>
          <w:sz w:val="18"/>
          <w:szCs w:val="18"/>
          <w:color w:val="auto"/>
        </w:rPr>
        <w:t>The most likely amount of these milestone payments (i.e., the full milestone payment) is only included in the transaction price if the occurrence of reaching future milestone is highly probable. The Group has assessed that the likelihood of achieving the respective milestone decreases depending on how far the expected date of achieving the milestone lies in the future.</w:t>
      </w:r>
    </w:p>
    <w:p>
      <w:pPr>
        <w:spacing w:after="0" w:line="106" w:lineRule="exact"/>
        <w:rPr>
          <w:sz w:val="20"/>
          <w:szCs w:val="20"/>
          <w:color w:val="auto"/>
        </w:rPr>
      </w:pPr>
    </w:p>
    <w:p>
      <w:pPr>
        <w:ind w:left="1260" w:right="779" w:firstLine="648"/>
        <w:spacing w:after="0" w:line="259" w:lineRule="auto"/>
        <w:rPr>
          <w:sz w:val="20"/>
          <w:szCs w:val="20"/>
          <w:color w:val="auto"/>
        </w:rPr>
      </w:pPr>
      <w:r>
        <w:rPr>
          <w:rFonts w:ascii="Arial" w:cs="Arial" w:eastAsia="Arial" w:hAnsi="Arial"/>
          <w:sz w:val="18"/>
          <w:szCs w:val="18"/>
          <w:color w:val="auto"/>
        </w:rPr>
        <w:t>The Group has concluded that future milestone payments are fully constrained at the end of the current fiscal year. Future milestone payments would become unconstrained at the satisfaction of the milestone event, specifically a development event, a regulatory approval or achievement of a sales milestone.</w:t>
      </w:r>
    </w:p>
    <w:p>
      <w:pPr>
        <w:sectPr>
          <w:pgSz w:w="11900" w:h="16838" w:orient="portrait"/>
          <w:cols w:equalWidth="0" w:num="1">
            <w:col w:w="9879"/>
          </w:cols>
          <w:pgMar w:left="580" w:top="131" w:right="1440" w:bottom="1440" w:gutter="0" w:footer="0" w:header="0"/>
        </w:sectPr>
      </w:pPr>
    </w:p>
    <w:p>
      <w:pPr>
        <w:spacing w:after="0" w:line="37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46" w:name="page347"/>
    <w:bookmarkEnd w:id="346"/>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Research and development costs and internally generated intangible assets</w:t>
      </w:r>
    </w:p>
    <w:p>
      <w:pPr>
        <w:spacing w:after="0" w:line="158" w:lineRule="exact"/>
        <w:rPr>
          <w:sz w:val="20"/>
          <w:szCs w:val="20"/>
          <w:color w:val="auto"/>
        </w:rPr>
      </w:pPr>
    </w:p>
    <w:p>
      <w:pPr>
        <w:ind w:left="1260" w:right="599" w:firstLine="648"/>
        <w:spacing w:after="0" w:line="277" w:lineRule="auto"/>
        <w:rPr>
          <w:sz w:val="20"/>
          <w:szCs w:val="20"/>
          <w:color w:val="auto"/>
        </w:rPr>
      </w:pPr>
      <w:r>
        <w:rPr>
          <w:rFonts w:ascii="Arial" w:cs="Arial" w:eastAsia="Arial" w:hAnsi="Arial"/>
          <w:sz w:val="18"/>
          <w:szCs w:val="18"/>
          <w:color w:val="auto"/>
        </w:rPr>
        <w:t>Research activities undertaken with the prospect of gaining new scientific or technical knowledge and understanding are expensed as incurred.</w:t>
      </w:r>
    </w:p>
    <w:p>
      <w:pPr>
        <w:spacing w:after="0" w:line="103" w:lineRule="exact"/>
        <w:rPr>
          <w:sz w:val="20"/>
          <w:szCs w:val="20"/>
          <w:color w:val="auto"/>
        </w:rPr>
      </w:pPr>
    </w:p>
    <w:p>
      <w:pPr>
        <w:ind w:left="1260" w:right="479" w:firstLine="648"/>
        <w:spacing w:after="0" w:line="275" w:lineRule="auto"/>
        <w:rPr>
          <w:sz w:val="20"/>
          <w:szCs w:val="20"/>
          <w:color w:val="auto"/>
        </w:rPr>
      </w:pPr>
      <w:r>
        <w:rPr>
          <w:rFonts w:ascii="Arial" w:cs="Arial" w:eastAsia="Arial" w:hAnsi="Arial"/>
          <w:sz w:val="17"/>
          <w:szCs w:val="17"/>
          <w:color w:val="auto"/>
        </w:rPr>
        <w:t>Development activities relate to the planning or designing of substantially improved products and processes. Development expenses are capitalized only if the cost involved can be measured reliably, the product or process under development is technically feasible, future economic benefits are probable and the Group has the intention and resources to complete development and use or sell it. Cost capitalized comprises costs of material and employee services as well as other directly attributable expenses.</w:t>
      </w:r>
    </w:p>
    <w:p>
      <w:pPr>
        <w:spacing w:after="0" w:line="95" w:lineRule="exact"/>
        <w:rPr>
          <w:sz w:val="20"/>
          <w:szCs w:val="20"/>
          <w:color w:val="auto"/>
        </w:rPr>
      </w:pPr>
    </w:p>
    <w:p>
      <w:pPr>
        <w:ind w:left="1260" w:right="499" w:firstLine="648"/>
        <w:spacing w:after="0" w:line="279" w:lineRule="auto"/>
        <w:rPr>
          <w:sz w:val="20"/>
          <w:szCs w:val="20"/>
          <w:color w:val="auto"/>
        </w:rPr>
      </w:pPr>
      <w:r>
        <w:rPr>
          <w:rFonts w:ascii="Arial" w:cs="Arial" w:eastAsia="Arial" w:hAnsi="Arial"/>
          <w:sz w:val="17"/>
          <w:szCs w:val="17"/>
          <w:color w:val="auto"/>
        </w:rPr>
        <w:t>Due to the regulatory environment and other types of uncertainty, management has determined that the criteria for capitalizing development costs to intangible assets, as set out in IAS 38, have not been met and therefore the Group has not capitalized any development costs in 2019 and 2018. See Note 3.4 for information relating to research and development expenses incurred in the reporting period.</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Accounting for convertible loans</w:t>
      </w:r>
    </w:p>
    <w:p>
      <w:pPr>
        <w:spacing w:after="0" w:line="158" w:lineRule="exact"/>
        <w:rPr>
          <w:sz w:val="20"/>
          <w:szCs w:val="20"/>
          <w:color w:val="auto"/>
        </w:rPr>
      </w:pPr>
    </w:p>
    <w:p>
      <w:pPr>
        <w:ind w:left="1260" w:right="519" w:firstLine="648"/>
        <w:spacing w:after="0" w:line="277" w:lineRule="auto"/>
        <w:rPr>
          <w:sz w:val="20"/>
          <w:szCs w:val="20"/>
          <w:color w:val="auto"/>
        </w:rPr>
      </w:pPr>
      <w:r>
        <w:rPr>
          <w:rFonts w:ascii="Arial" w:cs="Arial" w:eastAsia="Arial" w:hAnsi="Arial"/>
          <w:sz w:val="18"/>
          <w:szCs w:val="18"/>
          <w:color w:val="auto"/>
        </w:rPr>
        <w:t>IFRS requires that a convertible loan be bifurcated into a debt component and a conversion right if the latter is an equity instrument.</w:t>
      </w:r>
    </w:p>
    <w:p>
      <w:pPr>
        <w:spacing w:after="0" w:line="103" w:lineRule="exact"/>
        <w:rPr>
          <w:sz w:val="20"/>
          <w:szCs w:val="20"/>
          <w:color w:val="auto"/>
        </w:rPr>
      </w:pPr>
    </w:p>
    <w:p>
      <w:pPr>
        <w:ind w:left="1260" w:right="419" w:firstLine="648"/>
        <w:spacing w:after="0" w:line="277" w:lineRule="auto"/>
        <w:rPr>
          <w:sz w:val="20"/>
          <w:szCs w:val="20"/>
          <w:color w:val="auto"/>
        </w:rPr>
      </w:pPr>
      <w:r>
        <w:rPr>
          <w:rFonts w:ascii="Arial" w:cs="Arial" w:eastAsia="Arial" w:hAnsi="Arial"/>
          <w:sz w:val="18"/>
          <w:szCs w:val="18"/>
          <w:color w:val="auto"/>
        </w:rPr>
        <w:t>The Group assessed that the conversion right of the convertible loan is not an equity instrument, but a liability with an insignificant value.</w:t>
      </w:r>
    </w:p>
    <w:p>
      <w:pPr>
        <w:spacing w:after="0" w:line="89" w:lineRule="exact"/>
        <w:rPr>
          <w:sz w:val="20"/>
          <w:szCs w:val="20"/>
          <w:color w:val="auto"/>
        </w:rPr>
      </w:pPr>
    </w:p>
    <w:p>
      <w:pPr>
        <w:ind w:left="1260" w:right="419" w:firstLine="648"/>
        <w:spacing w:after="0" w:line="257" w:lineRule="auto"/>
        <w:rPr>
          <w:sz w:val="20"/>
          <w:szCs w:val="20"/>
          <w:color w:val="auto"/>
        </w:rPr>
      </w:pPr>
      <w:r>
        <w:rPr>
          <w:rFonts w:ascii="Arial" w:cs="Arial" w:eastAsia="Arial" w:hAnsi="Arial"/>
          <w:sz w:val="18"/>
          <w:szCs w:val="18"/>
          <w:color w:val="auto"/>
        </w:rPr>
        <w:t>The debt component of the convertible loan is measured using the market interest rate obtainable on similar debt instruments. The debt component is measured as liability at amortized cost until it is converted into equity or becomes due for repayment. The carrying amount of the debt component is based on an expected repayment in 2021, which is the earliest possible date at which repayment can be required by the lender, unless specified events occur.</w:t>
      </w:r>
    </w:p>
    <w:p>
      <w:pPr>
        <w:spacing w:after="0" w:line="120" w:lineRule="exact"/>
        <w:rPr>
          <w:sz w:val="20"/>
          <w:szCs w:val="20"/>
          <w:color w:val="auto"/>
        </w:rPr>
      </w:pPr>
    </w:p>
    <w:p>
      <w:pPr>
        <w:ind w:left="1260" w:right="519" w:firstLine="648"/>
        <w:spacing w:after="0" w:line="263" w:lineRule="auto"/>
        <w:rPr>
          <w:sz w:val="20"/>
          <w:szCs w:val="20"/>
          <w:color w:val="auto"/>
        </w:rPr>
      </w:pPr>
      <w:r>
        <w:rPr>
          <w:rFonts w:ascii="Arial" w:cs="Arial" w:eastAsia="Arial" w:hAnsi="Arial"/>
          <w:sz w:val="18"/>
          <w:szCs w:val="18"/>
          <w:color w:val="auto"/>
        </w:rPr>
        <w:t>The component of the loan proceeds allocated to equity represents the residual value between the consideration received for each single tranche and the fair value of the corresponding financial liabilities at initial recognition.</w:t>
      </w:r>
    </w:p>
    <w:p>
      <w:pPr>
        <w:spacing w:after="0" w:line="116" w:lineRule="exact"/>
        <w:rPr>
          <w:sz w:val="20"/>
          <w:szCs w:val="20"/>
          <w:color w:val="auto"/>
        </w:rPr>
      </w:pPr>
    </w:p>
    <w:p>
      <w:pPr>
        <w:ind w:left="1260" w:right="419" w:firstLine="648"/>
        <w:spacing w:after="0" w:line="286" w:lineRule="auto"/>
        <w:rPr>
          <w:sz w:val="20"/>
          <w:szCs w:val="20"/>
          <w:color w:val="auto"/>
        </w:rPr>
      </w:pPr>
      <w:r>
        <w:rPr>
          <w:rFonts w:ascii="Arial" w:cs="Arial" w:eastAsia="Arial" w:hAnsi="Arial"/>
          <w:sz w:val="17"/>
          <w:szCs w:val="17"/>
          <w:color w:val="auto"/>
        </w:rPr>
        <w:t>Based on these inputs, the carrying amount of the debt component was determined to be EUR 62,284k. The remainder of the proceeds is attributable to the below-market terms of the convertible loan. The amount is deemed to be a contribution by the related party and is recorded as such in equity (net of tax).</w:t>
      </w:r>
    </w:p>
    <w:p>
      <w:pPr>
        <w:spacing w:after="0" w:line="8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For further information on the convertible loan, see Note 12.</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Changes in accounting policies and disclosures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New and amended standards and interpretations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IFRS 16 Leases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 General</w:t>
      </w:r>
    </w:p>
    <w:p>
      <w:pPr>
        <w:spacing w:after="0" w:line="158" w:lineRule="exact"/>
        <w:rPr>
          <w:sz w:val="20"/>
          <w:szCs w:val="20"/>
          <w:color w:val="auto"/>
        </w:rPr>
      </w:pPr>
    </w:p>
    <w:p>
      <w:pPr>
        <w:ind w:left="1260" w:right="499" w:firstLine="648"/>
        <w:spacing w:after="0" w:line="257" w:lineRule="auto"/>
        <w:rPr>
          <w:sz w:val="20"/>
          <w:szCs w:val="20"/>
          <w:color w:val="auto"/>
        </w:rPr>
      </w:pPr>
      <w:r>
        <w:rPr>
          <w:rFonts w:ascii="Arial" w:cs="Arial" w:eastAsia="Arial" w:hAnsi="Arial"/>
          <w:sz w:val="18"/>
          <w:szCs w:val="18"/>
          <w:color w:val="auto"/>
        </w:rPr>
        <w:t>IFRS 16 supersedes IAS 17 Leases, IFRIC 4 Determining whether an Arrangement contains a Lease, SIC-15 Operating Leases-Incentives and SIC-27 Evaluating the Substance of Transactions Involving the Legal Form of a Lease. The standard sets out the principles for the recognition, measurement, presentation and disclosure of leases and requires lessees to account for all leases under a single on-balance sheet model.</w:t>
      </w:r>
    </w:p>
    <w:p>
      <w:pPr>
        <w:spacing w:after="0" w:line="120" w:lineRule="exact"/>
        <w:rPr>
          <w:sz w:val="20"/>
          <w:szCs w:val="20"/>
          <w:color w:val="auto"/>
        </w:rPr>
      </w:pPr>
    </w:p>
    <w:p>
      <w:pPr>
        <w:ind w:left="1260" w:right="579" w:firstLine="648"/>
        <w:spacing w:after="0" w:line="275" w:lineRule="auto"/>
        <w:rPr>
          <w:sz w:val="20"/>
          <w:szCs w:val="20"/>
          <w:color w:val="auto"/>
        </w:rPr>
      </w:pPr>
      <w:r>
        <w:rPr>
          <w:rFonts w:ascii="Arial" w:cs="Arial" w:eastAsia="Arial" w:hAnsi="Arial"/>
          <w:sz w:val="17"/>
          <w:szCs w:val="17"/>
          <w:color w:val="auto"/>
        </w:rPr>
        <w:t>The Group adopted IFRS 16 using the modified retrospective method of adoption with the date of initial application of January 1, 2019. Under this method, the standard is applied retrospectively with the cumulative effect of initially applying the standard recognized at the date of initial application. The Group elected to use certain transition practical expedients, including applying the standard only to contracts that were previously identified as leases applying IAS 17 and IFRIC 4 at the date of initial application.</w:t>
      </w:r>
    </w:p>
    <w:p>
      <w:pPr>
        <w:sectPr>
          <w:pgSz w:w="11900" w:h="16838" w:orient="portrait"/>
          <w:cols w:equalWidth="0" w:num="1">
            <w:col w:w="9879"/>
          </w:cols>
          <w:pgMar w:left="580" w:top="131" w:right="1440" w:bottom="1440" w:gutter="0" w:footer="0" w:header="0"/>
        </w:sectPr>
      </w:pPr>
    </w:p>
    <w:p>
      <w:pPr>
        <w:spacing w:after="0" w:line="35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47" w:name="page348"/>
    <w:bookmarkEnd w:id="347"/>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b) Nature of the effect of adoption of IFRS 16</w:t>
      </w:r>
    </w:p>
    <w:p>
      <w:pPr>
        <w:spacing w:after="0" w:line="158" w:lineRule="exact"/>
        <w:rPr>
          <w:sz w:val="20"/>
          <w:szCs w:val="20"/>
          <w:color w:val="auto"/>
        </w:rPr>
      </w:pPr>
    </w:p>
    <w:p>
      <w:pPr>
        <w:ind w:left="1260" w:right="479" w:firstLine="648"/>
        <w:spacing w:after="0" w:line="253" w:lineRule="auto"/>
        <w:rPr>
          <w:sz w:val="20"/>
          <w:szCs w:val="20"/>
          <w:color w:val="auto"/>
        </w:rPr>
      </w:pPr>
      <w:r>
        <w:rPr>
          <w:rFonts w:ascii="Arial" w:cs="Arial" w:eastAsia="Arial" w:hAnsi="Arial"/>
          <w:sz w:val="18"/>
          <w:szCs w:val="18"/>
          <w:color w:val="auto"/>
        </w:rPr>
        <w:t>The Group has lease contracts for the building, vehicles and equipment. Before the adoption of IFRS 16, the Group classified each of its leases (as lessee) at the inception date as either a finance lease or an operating lease. A lease was classified as a finance lease if it transferred substantially all of the risks and rewards incidental to ownership of the leased asset to the Group; otherwise it was classified as an operating lease. Finance leases were capitalized at the commencement of the lease at the inception date fair value of the leased property or, if lower, at the present value of the minimum lease payments. Lease payments were apportioned between interest (recognized as finance costs) and reduction of the lease liability. In an operating lease, the leased property was not capitalized and the lease payments were recognized as rent expense in the statement of operations on a straight-line basis over the lease term. Prepaid rent was recognized under “Non-current other assets.”</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Leases previously classified as finance leases</w:t>
      </w:r>
    </w:p>
    <w:p>
      <w:pPr>
        <w:spacing w:after="0" w:line="158" w:lineRule="exact"/>
        <w:rPr>
          <w:sz w:val="20"/>
          <w:szCs w:val="20"/>
          <w:color w:val="auto"/>
        </w:rPr>
      </w:pPr>
    </w:p>
    <w:p>
      <w:pPr>
        <w:ind w:left="1260" w:right="479" w:firstLine="648"/>
        <w:spacing w:after="0" w:line="259" w:lineRule="auto"/>
        <w:rPr>
          <w:sz w:val="20"/>
          <w:szCs w:val="20"/>
          <w:color w:val="auto"/>
        </w:rPr>
      </w:pPr>
      <w:r>
        <w:rPr>
          <w:rFonts w:ascii="Arial" w:cs="Arial" w:eastAsia="Arial" w:hAnsi="Arial"/>
          <w:sz w:val="18"/>
          <w:szCs w:val="18"/>
          <w:color w:val="auto"/>
        </w:rPr>
        <w:t>The Group utilized the carrying amounts of recognized assets and liabilities at the date of initial application for leases previously classified as finance leases (i.e., the right-of-use assets and lease liabilities equal the lease assets and liabilities recognized under IAS 17). The requirements of IFRS 16 was applied to these leases from January 1, 2019.</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Leases previously accounted for as operating leases</w:t>
      </w:r>
    </w:p>
    <w:p>
      <w:pPr>
        <w:spacing w:after="0" w:line="144" w:lineRule="exact"/>
        <w:rPr>
          <w:sz w:val="20"/>
          <w:szCs w:val="20"/>
          <w:color w:val="auto"/>
        </w:rPr>
      </w:pPr>
    </w:p>
    <w:p>
      <w:pPr>
        <w:ind w:left="1260" w:right="459" w:firstLine="648"/>
        <w:spacing w:after="0" w:line="257" w:lineRule="auto"/>
        <w:rPr>
          <w:sz w:val="20"/>
          <w:szCs w:val="20"/>
          <w:color w:val="auto"/>
        </w:rPr>
      </w:pPr>
      <w:r>
        <w:rPr>
          <w:rFonts w:ascii="Arial" w:cs="Arial" w:eastAsia="Arial" w:hAnsi="Arial"/>
          <w:sz w:val="18"/>
          <w:szCs w:val="18"/>
          <w:color w:val="auto"/>
        </w:rPr>
        <w:t>The Group recognized right-of-use assets and lease liabilities for those leases previously classified as operating leases, except for those exempted by the practical expedients listed below. The right-of-use assets for all leases were recognized based on the amount equal to the lease liabilities. Lease liabilities were recognized based on the present value of the remaining lease payments, discounted using the incremental borrowing rate at the date of initial application.</w:t>
      </w:r>
    </w:p>
    <w:p>
      <w:pPr>
        <w:spacing w:after="0" w:line="120"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Group also applied the available practical expedients wherein it:</w:t>
      </w:r>
    </w:p>
    <w:p>
      <w:pPr>
        <w:spacing w:after="0" w:line="117" w:lineRule="exact"/>
        <w:rPr>
          <w:sz w:val="20"/>
          <w:szCs w:val="20"/>
          <w:color w:val="auto"/>
        </w:rPr>
      </w:pPr>
    </w:p>
    <w:p>
      <w:pPr>
        <w:ind w:left="2260" w:right="639" w:hanging="352"/>
        <w:spacing w:after="0" w:line="277" w:lineRule="auto"/>
        <w:tabs>
          <w:tab w:leader="none" w:pos="22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Relied on its assessment of whether leases are onerous immediately before the date of initial application</w:t>
      </w:r>
    </w:p>
    <w:p>
      <w:pPr>
        <w:spacing w:after="0" w:line="62" w:lineRule="exact"/>
        <w:rPr>
          <w:rFonts w:ascii="Arial" w:cs="Arial" w:eastAsia="Arial" w:hAnsi="Arial"/>
          <w:sz w:val="18"/>
          <w:szCs w:val="18"/>
          <w:color w:val="auto"/>
        </w:rPr>
      </w:pPr>
    </w:p>
    <w:p>
      <w:pPr>
        <w:ind w:left="2260" w:right="499" w:hanging="352"/>
        <w:spacing w:after="0" w:line="277" w:lineRule="auto"/>
        <w:tabs>
          <w:tab w:leader="none" w:pos="22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Applied the short-term leases exemptions to leases with lease term that ends within 12 months at the date of initial application</w:t>
      </w:r>
    </w:p>
    <w:p>
      <w:pPr>
        <w:spacing w:after="0" w:line="62" w:lineRule="exact"/>
        <w:rPr>
          <w:rFonts w:ascii="Arial" w:cs="Arial" w:eastAsia="Arial" w:hAnsi="Arial"/>
          <w:sz w:val="18"/>
          <w:szCs w:val="18"/>
          <w:color w:val="auto"/>
        </w:rPr>
      </w:pPr>
    </w:p>
    <w:p>
      <w:pPr>
        <w:ind w:left="2260" w:right="619" w:hanging="352"/>
        <w:spacing w:after="0" w:line="277" w:lineRule="auto"/>
        <w:tabs>
          <w:tab w:leader="none" w:pos="22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Excluded the initial direct costs from the measurement of the right-of-use asset at the date of initial application</w:t>
      </w:r>
    </w:p>
    <w:p>
      <w:pPr>
        <w:spacing w:after="0" w:line="62" w:lineRule="exact"/>
        <w:rPr>
          <w:rFonts w:ascii="Arial" w:cs="Arial" w:eastAsia="Arial" w:hAnsi="Arial"/>
          <w:sz w:val="18"/>
          <w:szCs w:val="18"/>
          <w:color w:val="auto"/>
        </w:rPr>
      </w:pPr>
    </w:p>
    <w:p>
      <w:pPr>
        <w:ind w:left="2260" w:right="559" w:hanging="352"/>
        <w:spacing w:after="0" w:line="263" w:lineRule="auto"/>
        <w:tabs>
          <w:tab w:leader="none" w:pos="22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Used hindsight in determining the lease term where the contract contains options to extend or terminate the lease but did not use a single discount rate to a portfolio of leases with reasonably similar characteristics.</w:t>
      </w:r>
    </w:p>
    <w:p>
      <w:pPr>
        <w:spacing w:after="0" w:line="116"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Based on the foregoing, as of January 1, 2019:</w:t>
      </w:r>
    </w:p>
    <w:p>
      <w:pPr>
        <w:spacing w:after="0" w:line="117" w:lineRule="exact"/>
        <w:rPr>
          <w:sz w:val="20"/>
          <w:szCs w:val="20"/>
          <w:color w:val="auto"/>
        </w:rPr>
      </w:pPr>
    </w:p>
    <w:p>
      <w:pPr>
        <w:ind w:left="2260" w:right="459" w:hanging="352"/>
        <w:spacing w:after="0" w:line="301" w:lineRule="auto"/>
        <w:tabs>
          <w:tab w:leader="none" w:pos="226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Right-of-use assets of EUR 15,908k were recognized and presented separately in the statement of financial position. This includes the lease assets recognized previously under finance leases of EUR 69k that were reclassified from Property, plant and equipment and estimated costs to be incurred by the lessee for dismantling and removing the underlying asset.</w:t>
      </w:r>
    </w:p>
    <w:p>
      <w:pPr>
        <w:spacing w:after="0" w:line="49" w:lineRule="exact"/>
        <w:rPr>
          <w:rFonts w:ascii="Arial" w:cs="Arial" w:eastAsia="Arial" w:hAnsi="Arial"/>
          <w:sz w:val="16"/>
          <w:szCs w:val="16"/>
          <w:color w:val="auto"/>
        </w:rPr>
      </w:pPr>
    </w:p>
    <w:p>
      <w:pPr>
        <w:ind w:left="2260" w:right="799" w:hanging="352"/>
        <w:spacing w:after="0" w:line="308" w:lineRule="auto"/>
        <w:tabs>
          <w:tab w:leader="none" w:pos="226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Additional lease liabilities of EUR 15,810k (included in “lease liabilities” from January 1, 2019; included in “finance lease liabilities” at December 31, 2018) were recognized.</w:t>
      </w:r>
    </w:p>
    <w:p>
      <w:pPr>
        <w:spacing w:after="0" w:line="38" w:lineRule="exact"/>
        <w:rPr>
          <w:rFonts w:ascii="Arial" w:cs="Arial" w:eastAsia="Arial" w:hAnsi="Arial"/>
          <w:sz w:val="17"/>
          <w:szCs w:val="17"/>
          <w:color w:val="auto"/>
        </w:rPr>
      </w:pPr>
    </w:p>
    <w:p>
      <w:pPr>
        <w:jc w:val="both"/>
        <w:ind w:left="2260" w:right="679" w:hanging="352"/>
        <w:spacing w:after="0" w:line="263" w:lineRule="auto"/>
        <w:tabs>
          <w:tab w:leader="none" w:pos="22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Prepaid rent recognized under “Non-current other assets” in the amount of EUR 4,333k was carried on forward in this line-item because the commencement date of the associated lease has not occurred as of January 1, 2019.</w:t>
      </w:r>
    </w:p>
    <w:p>
      <w:pPr>
        <w:spacing w:after="0" w:line="75" w:lineRule="exact"/>
        <w:rPr>
          <w:rFonts w:ascii="Arial" w:cs="Arial" w:eastAsia="Arial" w:hAnsi="Arial"/>
          <w:sz w:val="18"/>
          <w:szCs w:val="18"/>
          <w:color w:val="auto"/>
        </w:rPr>
      </w:pPr>
    </w:p>
    <w:p>
      <w:pPr>
        <w:ind w:left="2260" w:right="419" w:hanging="352"/>
        <w:spacing w:after="0" w:line="259" w:lineRule="auto"/>
        <w:tabs>
          <w:tab w:leader="none" w:pos="22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Because there was no accrued rent related to previous operating leases at December 31, 2018 and Right-of-use asset equaled the additional lease liabilities and the provision for the restoration obligation, there was no deferred tax impact and no effect on accumulated deficit as of January 1, 2019.</w:t>
      </w:r>
    </w:p>
    <w:p>
      <w:pPr>
        <w:sectPr>
          <w:pgSz w:w="11900" w:h="16838" w:orient="portrait"/>
          <w:cols w:equalWidth="0" w:num="1">
            <w:col w:w="9879"/>
          </w:cols>
          <w:pgMar w:left="580" w:top="131" w:right="1440" w:bottom="1440" w:gutter="0" w:footer="0" w:header="0"/>
        </w:sectPr>
      </w:pPr>
    </w:p>
    <w:p>
      <w:pPr>
        <w:spacing w:after="0" w:line="36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48" w:name="page349"/>
    <w:bookmarkEnd w:id="348"/>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lease liabilities as at January 1, 2019 reconcile to the operating lease commitments as of</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2018 as follows:</w:t>
      </w:r>
    </w:p>
    <w:p>
      <w:pPr>
        <w:spacing w:after="0" w:line="14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7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EUR k</w:t>
            </w:r>
          </w:p>
        </w:tc>
      </w:tr>
      <w:tr>
        <w:trPr>
          <w:trHeight w:val="26"/>
        </w:trPr>
        <w:tc>
          <w:tcPr>
            <w:tcW w:w="76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Existing commitments as at December 31, 2018</w:t>
            </w:r>
          </w:p>
        </w:tc>
        <w:tc>
          <w:tcPr>
            <w:tcW w:w="560" w:type="dxa"/>
            <w:vAlign w:val="bottom"/>
            <w:shd w:val="clear" w:color="auto" w:fill="CCEEFF"/>
          </w:tcPr>
          <w:p>
            <w:pPr>
              <w:spacing w:after="0"/>
              <w:rPr>
                <w:sz w:val="21"/>
                <w:szCs w:val="21"/>
                <w:color w:val="auto"/>
              </w:rPr>
            </w:pPr>
          </w:p>
        </w:tc>
        <w:tc>
          <w:tcPr>
            <w:tcW w:w="160" w:type="dxa"/>
            <w:vAlign w:val="bottom"/>
          </w:tcPr>
          <w:p>
            <w:pPr>
              <w:spacing w:after="0"/>
              <w:rPr>
                <w:sz w:val="21"/>
                <w:szCs w:val="21"/>
                <w:color w:val="auto"/>
              </w:rPr>
            </w:pPr>
          </w:p>
        </w:tc>
      </w:tr>
      <w:tr>
        <w:trPr>
          <w:trHeight w:val="257"/>
        </w:trPr>
        <w:tc>
          <w:tcPr>
            <w:tcW w:w="7640" w:type="dxa"/>
            <w:vAlign w:val="bottom"/>
            <w:gridSpan w:val="2"/>
          </w:tcPr>
          <w:p>
            <w:pPr>
              <w:ind w:left="180"/>
              <w:spacing w:after="0"/>
              <w:rPr>
                <w:sz w:val="20"/>
                <w:szCs w:val="20"/>
                <w:color w:val="auto"/>
              </w:rPr>
            </w:pPr>
            <w:r>
              <w:rPr>
                <w:rFonts w:ascii="Arial" w:cs="Arial" w:eastAsia="Arial" w:hAnsi="Arial"/>
                <w:sz w:val="18"/>
                <w:szCs w:val="18"/>
                <w:color w:val="auto"/>
              </w:rPr>
              <w:t>Operating lease commitments</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48,008</w:t>
            </w:r>
          </w:p>
        </w:tc>
      </w:tr>
      <w:tr>
        <w:trPr>
          <w:trHeight w:val="257"/>
        </w:trPr>
        <w:tc>
          <w:tcPr>
            <w:tcW w:w="7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Minimum lease payments (notional amount) on finance lease liabilities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22"/>
                <w:szCs w:val="22"/>
                <w:color w:val="auto"/>
              </w:rPr>
            </w:pPr>
          </w:p>
        </w:tc>
      </w:tr>
      <w:tr>
        <w:trPr>
          <w:trHeight w:val="256"/>
        </w:trPr>
        <w:tc>
          <w:tcPr>
            <w:tcW w:w="7640" w:type="dxa"/>
            <w:vAlign w:val="bottom"/>
            <w:gridSpan w:val="2"/>
          </w:tcPr>
          <w:p>
            <w:pPr>
              <w:ind w:left="180"/>
              <w:spacing w:after="0"/>
              <w:rPr>
                <w:sz w:val="20"/>
                <w:szCs w:val="20"/>
                <w:color w:val="auto"/>
              </w:rPr>
            </w:pPr>
            <w:r>
              <w:rPr>
                <w:rFonts w:ascii="Arial" w:cs="Arial" w:eastAsia="Arial" w:hAnsi="Arial"/>
                <w:sz w:val="18"/>
                <w:szCs w:val="18"/>
                <w:color w:val="auto"/>
              </w:rPr>
              <w:t>Relief option for short-term leases</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r>
      <w:tr>
        <w:trPr>
          <w:trHeight w:val="229"/>
        </w:trPr>
        <w:tc>
          <w:tcPr>
            <w:tcW w:w="7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Leases with commencement date after January 1, 2019 in the amounts included above as</w:t>
            </w:r>
          </w:p>
        </w:tc>
        <w:tc>
          <w:tcPr>
            <w:tcW w:w="56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r>
      <w:tr>
        <w:trPr>
          <w:trHeight w:val="244"/>
        </w:trPr>
        <w:tc>
          <w:tcPr>
            <w:tcW w:w="7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existing commitments as at December 31, 2018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(28,557)</w:t>
            </w:r>
          </w:p>
        </w:tc>
        <w:tc>
          <w:tcPr>
            <w:tcW w:w="160" w:type="dxa"/>
            <w:vAlign w:val="bottom"/>
          </w:tcPr>
          <w:p>
            <w:pPr>
              <w:spacing w:after="0"/>
              <w:rPr>
                <w:sz w:val="21"/>
                <w:szCs w:val="21"/>
                <w:color w:val="auto"/>
              </w:rPr>
            </w:pPr>
          </w:p>
        </w:tc>
      </w:tr>
      <w:tr>
        <w:trPr>
          <w:trHeight w:val="264"/>
        </w:trPr>
        <w:tc>
          <w:tcPr>
            <w:tcW w:w="764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123</w:t>
            </w:r>
          </w:p>
        </w:tc>
      </w:tr>
      <w:tr>
        <w:trPr>
          <w:trHeight w:val="263"/>
        </w:trPr>
        <w:tc>
          <w:tcPr>
            <w:tcW w:w="7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lease liabilities as at January 1, 2019</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19,542</w:t>
            </w:r>
          </w:p>
        </w:tc>
        <w:tc>
          <w:tcPr>
            <w:tcW w:w="160" w:type="dxa"/>
            <w:vAlign w:val="bottom"/>
          </w:tcPr>
          <w:p>
            <w:pPr>
              <w:spacing w:after="0"/>
              <w:rPr>
                <w:sz w:val="22"/>
                <w:szCs w:val="22"/>
                <w:color w:val="auto"/>
              </w:rPr>
            </w:pPr>
          </w:p>
        </w:tc>
      </w:tr>
      <w:tr>
        <w:trPr>
          <w:trHeight w:val="263"/>
        </w:trPr>
        <w:tc>
          <w:tcPr>
            <w:tcW w:w="7640" w:type="dxa"/>
            <w:vAlign w:val="bottom"/>
            <w:gridSpan w:val="2"/>
          </w:tcPr>
          <w:p>
            <w:pPr>
              <w:ind w:left="180"/>
              <w:spacing w:after="0"/>
              <w:rPr>
                <w:sz w:val="20"/>
                <w:szCs w:val="20"/>
                <w:color w:val="auto"/>
              </w:rPr>
            </w:pPr>
            <w:r>
              <w:rPr>
                <w:rFonts w:ascii="Arial" w:cs="Arial" w:eastAsia="Arial" w:hAnsi="Arial"/>
                <w:sz w:val="18"/>
                <w:szCs w:val="18"/>
                <w:color w:val="auto"/>
              </w:rPr>
              <w:t>Effect of discounting</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(3,655)</w:t>
            </w:r>
          </w:p>
        </w:tc>
      </w:tr>
      <w:tr>
        <w:trPr>
          <w:trHeight w:val="263"/>
        </w:trPr>
        <w:tc>
          <w:tcPr>
            <w:tcW w:w="7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Lease liabilities as at January 1, 2019</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15,887</w:t>
            </w:r>
          </w:p>
        </w:tc>
        <w:tc>
          <w:tcPr>
            <w:tcW w:w="160" w:type="dxa"/>
            <w:vAlign w:val="bottom"/>
          </w:tcPr>
          <w:p>
            <w:pPr>
              <w:spacing w:after="0"/>
              <w:rPr>
                <w:sz w:val="22"/>
                <w:szCs w:val="22"/>
                <w:color w:val="auto"/>
              </w:rPr>
            </w:pPr>
          </w:p>
        </w:tc>
      </w:tr>
      <w:tr>
        <w:trPr>
          <w:trHeight w:val="263"/>
        </w:trPr>
        <w:tc>
          <w:tcPr>
            <w:tcW w:w="7640" w:type="dxa"/>
            <w:vAlign w:val="bottom"/>
            <w:gridSpan w:val="2"/>
          </w:tcPr>
          <w:p>
            <w:pPr>
              <w:ind w:left="180"/>
              <w:spacing w:after="0"/>
              <w:rPr>
                <w:sz w:val="20"/>
                <w:szCs w:val="20"/>
                <w:color w:val="auto"/>
              </w:rPr>
            </w:pPr>
            <w:r>
              <w:rPr>
                <w:rFonts w:ascii="Arial" w:cs="Arial" w:eastAsia="Arial" w:hAnsi="Arial"/>
                <w:sz w:val="18"/>
                <w:szCs w:val="18"/>
                <w:color w:val="auto"/>
              </w:rPr>
              <w:t>Present value of finance lease liabilities as at December 31, 2018</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r>
      <w:tr>
        <w:trPr>
          <w:trHeight w:val="263"/>
        </w:trPr>
        <w:tc>
          <w:tcPr>
            <w:tcW w:w="7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Lease liabilities upon initial application of IFRS 16 as at January 1, 2019</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15,810</w:t>
            </w:r>
          </w:p>
        </w:tc>
        <w:tc>
          <w:tcPr>
            <w:tcW w:w="160" w:type="dxa"/>
            <w:vAlign w:val="bottom"/>
          </w:tcPr>
          <w:p>
            <w:pPr>
              <w:spacing w:after="0"/>
              <w:rPr>
                <w:sz w:val="22"/>
                <w:szCs w:val="22"/>
                <w:color w:val="auto"/>
              </w:rPr>
            </w:pPr>
          </w:p>
        </w:tc>
      </w:tr>
      <w:tr>
        <w:trPr>
          <w:trHeight w:val="20"/>
        </w:trPr>
        <w:tc>
          <w:tcPr>
            <w:tcW w:w="7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52"/>
        </w:trPr>
        <w:tc>
          <w:tcPr>
            <w:tcW w:w="7640" w:type="dxa"/>
            <w:vAlign w:val="bottom"/>
            <w:gridSpan w:val="2"/>
          </w:tcPr>
          <w:p>
            <w:pPr>
              <w:spacing w:after="0"/>
              <w:rPr>
                <w:sz w:val="20"/>
                <w:szCs w:val="20"/>
                <w:color w:val="auto"/>
              </w:rPr>
            </w:pPr>
            <w:r>
              <w:rPr>
                <w:rFonts w:ascii="Arial" w:cs="Arial" w:eastAsia="Arial" w:hAnsi="Arial"/>
                <w:sz w:val="18"/>
                <w:szCs w:val="18"/>
                <w:color w:val="auto"/>
              </w:rPr>
              <w:t>Weighted average incremental borrowing rate as at January 1, 2019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5.64%</w:t>
            </w:r>
          </w:p>
        </w:tc>
      </w:tr>
      <w:tr>
        <w:trPr>
          <w:trHeight w:val="365"/>
        </w:trPr>
        <w:tc>
          <w:tcPr>
            <w:tcW w:w="7640" w:type="dxa"/>
            <w:vAlign w:val="bottom"/>
            <w:gridSpan w:val="2"/>
          </w:tcPr>
          <w:p>
            <w:pPr>
              <w:ind w:left="640"/>
              <w:spacing w:after="0"/>
              <w:rPr>
                <w:sz w:val="20"/>
                <w:szCs w:val="20"/>
                <w:color w:val="auto"/>
              </w:rPr>
            </w:pPr>
            <w:r>
              <w:rPr>
                <w:rFonts w:ascii="Arial" w:cs="Arial" w:eastAsia="Arial" w:hAnsi="Arial"/>
                <w:sz w:val="18"/>
                <w:szCs w:val="18"/>
                <w:color w:val="auto"/>
              </w:rPr>
              <w:t>The range of the incremental borrowing rate is between 2.32% and 7.90%.</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-668020</wp:posOffset>
            </wp:positionV>
            <wp:extent cx="485203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48520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-1028065</wp:posOffset>
            </wp:positionV>
            <wp:extent cx="485203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48520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-1388110</wp:posOffset>
            </wp:positionV>
            <wp:extent cx="4852035"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485203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-2519680</wp:posOffset>
            </wp:positionV>
            <wp:extent cx="484314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4843145" cy="8255"/>
                    </a:xfrm>
                    <a:prstGeom prst="rect">
                      <a:avLst/>
                    </a:prstGeom>
                    <a:noFill/>
                  </pic:spPr>
                </pic:pic>
              </a:graphicData>
            </a:graphic>
          </wp:anchor>
        </w:drawing>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 Summary of new accounting policies</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Set out below are the new accounting policies of the Group upon adoption of IFRS 16:</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Right-of-use assets</w:t>
      </w:r>
    </w:p>
    <w:p>
      <w:pPr>
        <w:spacing w:after="0" w:line="144" w:lineRule="exact"/>
        <w:rPr>
          <w:sz w:val="20"/>
          <w:szCs w:val="20"/>
          <w:color w:val="auto"/>
        </w:rPr>
      </w:pPr>
    </w:p>
    <w:p>
      <w:pPr>
        <w:ind w:left="1260" w:right="459" w:firstLine="648"/>
        <w:spacing w:after="0" w:line="271" w:lineRule="auto"/>
        <w:rPr>
          <w:sz w:val="20"/>
          <w:szCs w:val="20"/>
          <w:color w:val="auto"/>
        </w:rPr>
      </w:pPr>
      <w:r>
        <w:rPr>
          <w:rFonts w:ascii="Arial" w:cs="Arial" w:eastAsia="Arial" w:hAnsi="Arial"/>
          <w:sz w:val="16"/>
          <w:szCs w:val="16"/>
          <w:color w:val="auto"/>
        </w:rPr>
        <w:t>The Group recognizes right-of-use assets at the commencement date of the lease (i.e., the date the underlying asset is available for use). Right-of-use assets are measured at cost, less any accumulated depreciation and impairment losses, and adjusted for any remeasurement of lease liabilities. The cost of right-of-use assets includes the amount of lease liabilities recognized, initial direct costs incurred, and lease payments made at or before the commencement date less any lease incentives received as well as any estimated costs to be incurred by the lessee for dismantling and removing the underlying asset. Unless the Group is reasonably certain to obtain ownership of the leased asset at the end of the lease term, the recognized right-of-use assets are depreciated on a straight-line basis over the shorter of its estimated useful life, indicated below, and the lease term. Right-of-use assets are subject to impairment according to IAS 36.</w:t>
      </w:r>
    </w:p>
    <w:p>
      <w:pPr>
        <w:spacing w:after="0" w:line="138"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Land and Buildings:</w:t>
            </w:r>
          </w:p>
        </w:tc>
        <w:tc>
          <w:tcPr>
            <w:tcW w:w="3460" w:type="dxa"/>
            <w:vAlign w:val="bottom"/>
            <w:shd w:val="clear" w:color="auto" w:fill="CCEEFF"/>
          </w:tcPr>
          <w:p>
            <w:pPr>
              <w:jc w:val="center"/>
              <w:ind w:left="2390"/>
              <w:spacing w:after="0"/>
              <w:rPr>
                <w:sz w:val="20"/>
                <w:szCs w:val="20"/>
                <w:color w:val="auto"/>
              </w:rPr>
            </w:pPr>
            <w:r>
              <w:rPr>
                <w:rFonts w:ascii="Arial" w:cs="Arial" w:eastAsia="Arial" w:hAnsi="Arial"/>
                <w:sz w:val="18"/>
                <w:szCs w:val="18"/>
                <w:color w:val="auto"/>
                <w:w w:val="94"/>
              </w:rPr>
              <w:t>1 to 15 years</w:t>
            </w:r>
          </w:p>
        </w:tc>
      </w:tr>
      <w:tr>
        <w:trPr>
          <w:trHeight w:val="257"/>
        </w:trPr>
        <w:tc>
          <w:tcPr>
            <w:tcW w:w="4020" w:type="dxa"/>
            <w:vAlign w:val="bottom"/>
          </w:tcPr>
          <w:p>
            <w:pPr>
              <w:spacing w:after="0"/>
              <w:rPr>
                <w:sz w:val="20"/>
                <w:szCs w:val="20"/>
                <w:color w:val="auto"/>
              </w:rPr>
            </w:pPr>
            <w:r>
              <w:rPr>
                <w:rFonts w:ascii="Arial" w:cs="Arial" w:eastAsia="Arial" w:hAnsi="Arial"/>
                <w:sz w:val="18"/>
                <w:szCs w:val="18"/>
                <w:b w:val="1"/>
                <w:bCs w:val="1"/>
                <w:color w:val="auto"/>
              </w:rPr>
              <w:t>Vehicles:</w:t>
            </w:r>
          </w:p>
        </w:tc>
        <w:tc>
          <w:tcPr>
            <w:tcW w:w="3460" w:type="dxa"/>
            <w:vAlign w:val="bottom"/>
          </w:tcPr>
          <w:p>
            <w:pPr>
              <w:jc w:val="center"/>
              <w:ind w:left="2390"/>
              <w:spacing w:after="0"/>
              <w:rPr>
                <w:sz w:val="20"/>
                <w:szCs w:val="20"/>
                <w:color w:val="auto"/>
              </w:rPr>
            </w:pPr>
            <w:r>
              <w:rPr>
                <w:rFonts w:ascii="Arial" w:cs="Arial" w:eastAsia="Arial" w:hAnsi="Arial"/>
                <w:sz w:val="18"/>
                <w:szCs w:val="18"/>
                <w:color w:val="auto"/>
                <w:w w:val="91"/>
              </w:rPr>
              <w:t>3 to 4 years</w:t>
            </w:r>
          </w:p>
        </w:tc>
      </w:tr>
      <w:tr>
        <w:trPr>
          <w:trHeight w:val="270"/>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equipment:</w:t>
            </w:r>
          </w:p>
        </w:tc>
        <w:tc>
          <w:tcPr>
            <w:tcW w:w="3460" w:type="dxa"/>
            <w:vAlign w:val="bottom"/>
            <w:shd w:val="clear" w:color="auto" w:fill="CCEEFF"/>
          </w:tcPr>
          <w:p>
            <w:pPr>
              <w:jc w:val="center"/>
              <w:ind w:left="2390"/>
              <w:spacing w:after="0"/>
              <w:rPr>
                <w:sz w:val="20"/>
                <w:szCs w:val="20"/>
                <w:color w:val="auto"/>
              </w:rPr>
            </w:pPr>
            <w:r>
              <w:rPr>
                <w:rFonts w:ascii="Arial" w:cs="Arial" w:eastAsia="Arial" w:hAnsi="Arial"/>
                <w:sz w:val="18"/>
                <w:szCs w:val="18"/>
                <w:color w:val="auto"/>
                <w:w w:val="91"/>
              </w:rPr>
              <w:t>2 to 5 years</w:t>
            </w:r>
          </w:p>
        </w:tc>
      </w:tr>
    </w:tbl>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Lease liabilities</w:t>
      </w:r>
    </w:p>
    <w:p>
      <w:pPr>
        <w:spacing w:after="0" w:line="144" w:lineRule="exact"/>
        <w:rPr>
          <w:sz w:val="20"/>
          <w:szCs w:val="20"/>
          <w:color w:val="auto"/>
        </w:rPr>
      </w:pPr>
    </w:p>
    <w:p>
      <w:pPr>
        <w:ind w:left="1260" w:right="479" w:firstLine="648"/>
        <w:spacing w:after="0" w:line="237" w:lineRule="auto"/>
        <w:rPr>
          <w:sz w:val="20"/>
          <w:szCs w:val="20"/>
          <w:color w:val="auto"/>
        </w:rPr>
      </w:pPr>
      <w:r>
        <w:rPr>
          <w:rFonts w:ascii="Arial" w:cs="Arial" w:eastAsia="Arial" w:hAnsi="Arial"/>
          <w:sz w:val="18"/>
          <w:szCs w:val="18"/>
          <w:color w:val="auto"/>
        </w:rPr>
        <w:t>At the commencement date of the lease, the Group recognizes lease liabilities measured at the present value of lease payments to be made over the lease term. The lease payments include fixed payments (including in- substance fixed payments) less any lease incentives receivable, variable lease payments that depend on an index or a rate, and amounts expected to be paid under residual value guarantees. The lease payments also include the exercise price of a purchase option reasonably certain to be exercised by the Group and payments of penalties for terminating a lease, if the lease term reflects the Group exercising the option to terminate. The variable lease payments that do not depend on an index or a rate are recognized as expense in the period on which the event or condition that triggers the payment occurs. In calculating the present value of lease payments, the Group uses the incremental borrowing rate at the lease commencement date if the interest rate implicit in the lease is not readily determinable. After the commencement date, the amount of lease liabilities is increased to reflect the accretion of interest and reduced for the lease payments made. In</w:t>
      </w:r>
    </w:p>
    <w:p>
      <w:pPr>
        <w:sectPr>
          <w:pgSz w:w="11900" w:h="16838" w:orient="portrait"/>
          <w:cols w:equalWidth="0" w:num="1">
            <w:col w:w="9879"/>
          </w:cols>
          <w:pgMar w:left="580" w:top="131" w:right="1440" w:bottom="1440" w:gutter="0" w:footer="0" w:header="0"/>
        </w:sectPr>
      </w:pPr>
    </w:p>
    <w:p>
      <w:pPr>
        <w:spacing w:after="0" w:line="38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49" w:name="page350"/>
    <w:bookmarkEnd w:id="349"/>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59"/>
        <w:spacing w:after="0" w:line="257" w:lineRule="auto"/>
        <w:rPr>
          <w:sz w:val="20"/>
          <w:szCs w:val="20"/>
          <w:color w:val="auto"/>
        </w:rPr>
      </w:pPr>
      <w:r>
        <w:rPr>
          <w:rFonts w:ascii="Arial" w:cs="Arial" w:eastAsia="Arial" w:hAnsi="Arial"/>
          <w:sz w:val="18"/>
          <w:szCs w:val="18"/>
          <w:color w:val="auto"/>
        </w:rPr>
        <w:t>addition, the carrying amount of lease liabilities is remeasured if there is a modification, a change in the lease term, a change in the in-substance fixed lease payments or a change in the assessment to purchase the underlying asset. When the lease liability is remeasured, a corresponding adjustment is made to the carrying amount for the right-of-use asset or is recorded in profit or loss if the carrying amount of the right-of-use asset has been reduced to zero.</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Short-term leases and leases of low-value assets</w:t>
      </w:r>
    </w:p>
    <w:p>
      <w:pPr>
        <w:spacing w:after="0" w:line="158" w:lineRule="exact"/>
        <w:rPr>
          <w:sz w:val="20"/>
          <w:szCs w:val="20"/>
          <w:color w:val="auto"/>
        </w:rPr>
      </w:pPr>
    </w:p>
    <w:p>
      <w:pPr>
        <w:ind w:left="1260" w:right="479" w:firstLine="648"/>
        <w:spacing w:after="0" w:line="272" w:lineRule="auto"/>
        <w:rPr>
          <w:sz w:val="20"/>
          <w:szCs w:val="20"/>
          <w:color w:val="auto"/>
        </w:rPr>
      </w:pPr>
      <w:r>
        <w:rPr>
          <w:rFonts w:ascii="Arial" w:cs="Arial" w:eastAsia="Arial" w:hAnsi="Arial"/>
          <w:sz w:val="17"/>
          <w:szCs w:val="17"/>
          <w:color w:val="auto"/>
        </w:rPr>
        <w:t>The Group applies the short-term lease recognition exemption to its short-term leases of machinery and equipment (i.e., leases that have a lease term of 12 months or less from the commencement date and do not contain a purchase option). It also applies the lease of low-value assets recognition exemption to leases of office equipment that are considered of low value. Lease payments on short-term leases and leases of low-value assets are recognized as expense on a straight-line basis over the lease term. Furthermore, the Group also elected to use the recognition exemptions for lease contracts that, at January 1, 2019, had a remaining lease term of 12 months or less.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Election (not) to separate lease and non-lease components</w:t>
      </w:r>
    </w:p>
    <w:p>
      <w:pPr>
        <w:spacing w:after="0" w:line="158" w:lineRule="exact"/>
        <w:rPr>
          <w:sz w:val="20"/>
          <w:szCs w:val="20"/>
          <w:color w:val="auto"/>
        </w:rPr>
      </w:pPr>
    </w:p>
    <w:p>
      <w:pPr>
        <w:ind w:left="1260" w:right="679" w:firstLine="648"/>
        <w:spacing w:after="0" w:line="263" w:lineRule="auto"/>
        <w:rPr>
          <w:sz w:val="20"/>
          <w:szCs w:val="20"/>
          <w:color w:val="auto"/>
        </w:rPr>
      </w:pPr>
      <w:r>
        <w:rPr>
          <w:rFonts w:ascii="Arial" w:cs="Arial" w:eastAsia="Arial" w:hAnsi="Arial"/>
          <w:sz w:val="18"/>
          <w:szCs w:val="18"/>
          <w:color w:val="auto"/>
        </w:rPr>
        <w:t>As a practical expedient, the Group elected not to separate the fixed (but not variable) portion of non-lease components in respect of leases of building and instead accounts them as a single lease component.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 Significant judgments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Determining the lease term of contracts with renewal options</w:t>
      </w:r>
    </w:p>
    <w:p>
      <w:pPr>
        <w:spacing w:after="0" w:line="144" w:lineRule="exact"/>
        <w:rPr>
          <w:sz w:val="20"/>
          <w:szCs w:val="20"/>
          <w:color w:val="auto"/>
        </w:rPr>
      </w:pPr>
    </w:p>
    <w:p>
      <w:pPr>
        <w:ind w:left="1260" w:right="699" w:firstLine="648"/>
        <w:spacing w:after="0" w:line="286" w:lineRule="auto"/>
        <w:rPr>
          <w:sz w:val="20"/>
          <w:szCs w:val="20"/>
          <w:color w:val="auto"/>
        </w:rPr>
      </w:pPr>
      <w:r>
        <w:rPr>
          <w:rFonts w:ascii="Arial" w:cs="Arial" w:eastAsia="Arial" w:hAnsi="Arial"/>
          <w:sz w:val="17"/>
          <w:szCs w:val="17"/>
          <w:color w:val="auto"/>
        </w:rPr>
        <w:t>The Group determines the lease term as the non-cancelable term of the lease, together with any periods covered by an option to extend the lease if it is reasonably certain to be exercised, or any periods covered by an option to terminate the lease, if it is reasonably certain not to be exercised.</w:t>
      </w:r>
    </w:p>
    <w:p>
      <w:pPr>
        <w:spacing w:after="0" w:line="98" w:lineRule="exact"/>
        <w:rPr>
          <w:sz w:val="20"/>
          <w:szCs w:val="20"/>
          <w:color w:val="auto"/>
        </w:rPr>
      </w:pPr>
    </w:p>
    <w:p>
      <w:pPr>
        <w:ind w:left="1260" w:right="479" w:firstLine="648"/>
        <w:spacing w:after="0" w:line="259" w:lineRule="auto"/>
        <w:rPr>
          <w:sz w:val="20"/>
          <w:szCs w:val="20"/>
          <w:color w:val="auto"/>
        </w:rPr>
      </w:pPr>
      <w:r>
        <w:rPr>
          <w:rFonts w:ascii="Arial" w:cs="Arial" w:eastAsia="Arial" w:hAnsi="Arial"/>
          <w:sz w:val="18"/>
          <w:szCs w:val="18"/>
          <w:color w:val="auto"/>
        </w:rPr>
        <w:t>The Group has the option, under some of its leases to lease the assets for additional terms of five to ten years. The Group applies judgment in evaluating whether it is reasonably certain to exercise the option to renew. The Group considers all relevant factors that create an economic incentive for it to exercise the renewal.</w:t>
      </w:r>
    </w:p>
    <w:p>
      <w:pPr>
        <w:spacing w:after="0" w:line="119" w:lineRule="exact"/>
        <w:rPr>
          <w:sz w:val="20"/>
          <w:szCs w:val="20"/>
          <w:color w:val="auto"/>
        </w:rPr>
      </w:pPr>
    </w:p>
    <w:p>
      <w:pPr>
        <w:ind w:left="1260" w:right="759" w:firstLine="648"/>
        <w:spacing w:after="0" w:line="263" w:lineRule="auto"/>
        <w:rPr>
          <w:sz w:val="20"/>
          <w:szCs w:val="20"/>
          <w:color w:val="auto"/>
        </w:rPr>
      </w:pPr>
      <w:r>
        <w:rPr>
          <w:rFonts w:ascii="Arial" w:cs="Arial" w:eastAsia="Arial" w:hAnsi="Arial"/>
          <w:sz w:val="18"/>
          <w:szCs w:val="18"/>
          <w:color w:val="auto"/>
        </w:rPr>
        <w:t>After the lease commencement date, the Group reassesses the lease term if there is a significant event or change in circumstances that is within its control and affects its ability to exercise (or not to exercise) the option to renew (e.g., a change in business strategy).</w:t>
      </w:r>
    </w:p>
    <w:p>
      <w:pPr>
        <w:spacing w:after="0" w:line="103" w:lineRule="exact"/>
        <w:rPr>
          <w:sz w:val="20"/>
          <w:szCs w:val="20"/>
          <w:color w:val="auto"/>
        </w:rPr>
      </w:pPr>
    </w:p>
    <w:p>
      <w:pPr>
        <w:ind w:left="1260" w:right="739" w:firstLine="648"/>
        <w:spacing w:after="0" w:line="286" w:lineRule="auto"/>
        <w:rPr>
          <w:sz w:val="20"/>
          <w:szCs w:val="20"/>
          <w:color w:val="auto"/>
        </w:rPr>
      </w:pPr>
      <w:r>
        <w:rPr>
          <w:rFonts w:ascii="Arial" w:cs="Arial" w:eastAsia="Arial" w:hAnsi="Arial"/>
          <w:sz w:val="17"/>
          <w:szCs w:val="17"/>
          <w:color w:val="auto"/>
        </w:rPr>
        <w:t>The Group included the renewal period (five years) as part of the lease term for certain building lease arrangements. Optional lease payments from both of these aforementioned extension options not included in the measurement of the lease liability exist in a gross amount of EUR 12,548k.</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Estimating the incremental borrowing rate</w:t>
      </w:r>
    </w:p>
    <w:p>
      <w:pPr>
        <w:spacing w:after="0" w:line="158" w:lineRule="exact"/>
        <w:rPr>
          <w:sz w:val="20"/>
          <w:szCs w:val="20"/>
          <w:color w:val="auto"/>
        </w:rPr>
      </w:pPr>
    </w:p>
    <w:p>
      <w:pPr>
        <w:ind w:left="1260" w:right="499" w:firstLine="648"/>
        <w:spacing w:after="0" w:line="253" w:lineRule="auto"/>
        <w:rPr>
          <w:sz w:val="20"/>
          <w:szCs w:val="20"/>
          <w:color w:val="auto"/>
        </w:rPr>
      </w:pPr>
      <w:r>
        <w:rPr>
          <w:rFonts w:ascii="Arial" w:cs="Arial" w:eastAsia="Arial" w:hAnsi="Arial"/>
          <w:sz w:val="18"/>
          <w:szCs w:val="18"/>
          <w:color w:val="auto"/>
        </w:rPr>
        <w:t>In most cases, the Group cannot readily determine the interest rate implicit in the lease. Therefore, it uses its incremental borrowing rate (IBR) to measure lease liabilities. The IBR is the rate of interest that the Group would have to pay to borrow over a similar term, and with a similar security, the funds necessary to obtain an asset of a similar value to the right-of-use asset in a similar economic environment. The IBR therefore reflects what the Group “would have to pay,” which requires estimation when no observable rates are available (such as for subsidiaries that do not enter into financing transactions) or when they need to be adjusted to reflect the terms and conditions of the lease. The Group estimates the IBR using observable inputs (such as market interest rates, country risk premiums and credit spreads) when available and is required to make certain entity-specific estimates (such as the subsidiary’s stand-alone credit rating and discounts for collateral).</w:t>
      </w:r>
    </w:p>
    <w:p>
      <w:pPr>
        <w:spacing w:after="0" w:line="37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50" w:name="page351"/>
    <w:bookmarkEnd w:id="350"/>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159"/>
        <w:spacing w:after="0" w:line="261" w:lineRule="auto"/>
        <w:tabs>
          <w:tab w:leader="none" w:pos="1456" w:val="left"/>
        </w:tabs>
        <w:numPr>
          <w:ilvl w:val="0"/>
          <w:numId w:val="220"/>
        </w:numPr>
        <w:rPr>
          <w:rFonts w:ascii="Arial" w:cs="Arial" w:eastAsia="Arial" w:hAnsi="Arial"/>
          <w:sz w:val="18"/>
          <w:szCs w:val="18"/>
          <w:i w:val="1"/>
          <w:iCs w:val="1"/>
          <w:color w:val="auto"/>
        </w:rPr>
      </w:pPr>
      <w:r>
        <w:rPr>
          <w:rFonts w:ascii="Arial" w:cs="Arial" w:eastAsia="Arial" w:hAnsi="Arial"/>
          <w:sz w:val="18"/>
          <w:szCs w:val="18"/>
          <w:i w:val="1"/>
          <w:iCs w:val="1"/>
          <w:color w:val="auto"/>
        </w:rPr>
        <w:t>Amounts recognized in the statement of financial position and statement of operations and other comprehensive income (loss)</w:t>
      </w:r>
    </w:p>
    <w:p>
      <w:pPr>
        <w:spacing w:after="0" w:line="103" w:lineRule="exact"/>
        <w:rPr>
          <w:sz w:val="20"/>
          <w:szCs w:val="20"/>
          <w:color w:val="auto"/>
        </w:rPr>
      </w:pPr>
    </w:p>
    <w:p>
      <w:pPr>
        <w:ind w:left="1260" w:right="899" w:firstLine="648"/>
        <w:spacing w:after="0" w:line="261" w:lineRule="auto"/>
        <w:rPr>
          <w:sz w:val="20"/>
          <w:szCs w:val="20"/>
          <w:color w:val="auto"/>
        </w:rPr>
      </w:pPr>
      <w:r>
        <w:rPr>
          <w:rFonts w:ascii="Arial" w:cs="Arial" w:eastAsia="Arial" w:hAnsi="Arial"/>
          <w:sz w:val="18"/>
          <w:szCs w:val="18"/>
          <w:color w:val="auto"/>
        </w:rPr>
        <w:t>Set out below, are the carrying amounts of the Group’s right-of-use assets and the movements during the period:</w:t>
      </w:r>
    </w:p>
    <w:p>
      <w:pPr>
        <w:spacing w:after="0" w:line="108"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8"/>
          </w:tcPr>
          <w:p>
            <w:pPr>
              <w:ind w:left="60"/>
              <w:spacing w:after="0"/>
              <w:rPr>
                <w:sz w:val="20"/>
                <w:szCs w:val="20"/>
                <w:color w:val="auto"/>
              </w:rPr>
            </w:pPr>
            <w:r>
              <w:rPr>
                <w:rFonts w:ascii="Arial" w:cs="Arial" w:eastAsia="Arial" w:hAnsi="Arial"/>
                <w:sz w:val="14"/>
                <w:szCs w:val="14"/>
                <w:b w:val="1"/>
                <w:bCs w:val="1"/>
                <w:color w:val="auto"/>
              </w:rPr>
              <w:t>Right-of-use assets</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6"/>
        </w:trPr>
        <w:tc>
          <w:tcPr>
            <w:tcW w:w="3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4"/>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73"/>
        </w:trPr>
        <w:tc>
          <w:tcPr>
            <w:tcW w:w="3360" w:type="dxa"/>
            <w:vAlign w:val="bottom"/>
          </w:tcPr>
          <w:p>
            <w:pPr>
              <w:spacing w:after="0"/>
              <w:rPr>
                <w:sz w:val="15"/>
                <w:szCs w:val="15"/>
                <w:color w:val="auto"/>
              </w:rPr>
            </w:pPr>
          </w:p>
        </w:tc>
        <w:tc>
          <w:tcPr>
            <w:tcW w:w="2060" w:type="dxa"/>
            <w:vAlign w:val="bottom"/>
            <w:gridSpan w:val="5"/>
          </w:tcPr>
          <w:p>
            <w:pPr>
              <w:jc w:val="center"/>
              <w:ind w:left="895"/>
              <w:spacing w:after="0"/>
              <w:rPr>
                <w:sz w:val="20"/>
                <w:szCs w:val="20"/>
                <w:color w:val="auto"/>
              </w:rPr>
            </w:pPr>
            <w:r>
              <w:rPr>
                <w:rFonts w:ascii="Arial" w:cs="Arial" w:eastAsia="Arial" w:hAnsi="Arial"/>
                <w:sz w:val="14"/>
                <w:szCs w:val="14"/>
                <w:b w:val="1"/>
                <w:bCs w:val="1"/>
                <w:color w:val="auto"/>
                <w:w w:val="89"/>
              </w:rPr>
              <w:t>Land and</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6"/>
        </w:trPr>
        <w:tc>
          <w:tcPr>
            <w:tcW w:w="3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7"/>
              </w:rPr>
              <w:t>Buildings</w:t>
            </w:r>
          </w:p>
        </w:tc>
        <w:tc>
          <w:tcPr>
            <w:tcW w:w="480" w:type="dxa"/>
            <w:vAlign w:val="bottom"/>
            <w:gridSpan w:val="3"/>
          </w:tcPr>
          <w:p>
            <w:pPr>
              <w:jc w:val="right"/>
              <w:spacing w:after="0"/>
              <w:rPr>
                <w:sz w:val="20"/>
                <w:szCs w:val="20"/>
                <w:color w:val="auto"/>
              </w:rPr>
            </w:pPr>
            <w:r>
              <w:rPr>
                <w:rFonts w:ascii="Arial" w:cs="Arial" w:eastAsia="Arial" w:hAnsi="Arial"/>
                <w:sz w:val="14"/>
                <w:szCs w:val="14"/>
                <w:b w:val="1"/>
                <w:bCs w:val="1"/>
                <w:color w:val="auto"/>
                <w:w w:val="80"/>
              </w:rPr>
              <w:t>Vehicles</w:t>
            </w:r>
          </w:p>
        </w:tc>
        <w:tc>
          <w:tcPr>
            <w:tcW w:w="10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0"/>
              </w:rPr>
              <w:t>equipment</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Total</w:t>
            </w:r>
          </w:p>
        </w:tc>
      </w:tr>
      <w:tr>
        <w:trPr>
          <w:trHeight w:val="26"/>
        </w:trPr>
        <w:tc>
          <w:tcPr>
            <w:tcW w:w="3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3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EURk</w:t>
            </w:r>
          </w:p>
        </w:tc>
        <w:tc>
          <w:tcPr>
            <w:tcW w:w="4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EURk</w:t>
            </w:r>
          </w:p>
        </w:tc>
        <w:tc>
          <w:tcPr>
            <w:tcW w:w="220" w:type="dxa"/>
            <w:vAlign w:val="bottom"/>
          </w:tcPr>
          <w:p>
            <w:pPr>
              <w:spacing w:after="0"/>
              <w:rPr>
                <w:sz w:val="17"/>
                <w:szCs w:val="17"/>
                <w:color w:val="auto"/>
              </w:rPr>
            </w:pPr>
          </w:p>
        </w:tc>
        <w:tc>
          <w:tcPr>
            <w:tcW w:w="8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EURk</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EURk</w:t>
            </w:r>
          </w:p>
        </w:tc>
      </w:tr>
      <w:tr>
        <w:trPr>
          <w:trHeight w:val="26"/>
        </w:trPr>
        <w:tc>
          <w:tcPr>
            <w:tcW w:w="3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6"/>
        </w:trPr>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at January 1, 2019</w:t>
            </w: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15,536</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15,907</w:t>
            </w:r>
          </w:p>
        </w:tc>
        <w:tc>
          <w:tcPr>
            <w:tcW w:w="60" w:type="dxa"/>
            <w:vAlign w:val="bottom"/>
          </w:tcPr>
          <w:p>
            <w:pPr>
              <w:spacing w:after="0"/>
              <w:rPr>
                <w:sz w:val="22"/>
                <w:szCs w:val="22"/>
                <w:color w:val="auto"/>
              </w:rPr>
            </w:pPr>
          </w:p>
        </w:tc>
      </w:tr>
      <w:tr>
        <w:trPr>
          <w:trHeight w:val="365"/>
        </w:trPr>
        <w:tc>
          <w:tcPr>
            <w:tcW w:w="3360" w:type="dxa"/>
            <w:vAlign w:val="bottom"/>
          </w:tcPr>
          <w:p>
            <w:pPr>
              <w:spacing w:after="0"/>
              <w:rPr>
                <w:sz w:val="20"/>
                <w:szCs w:val="20"/>
                <w:color w:val="auto"/>
              </w:rPr>
            </w:pPr>
            <w:r>
              <w:rPr>
                <w:rFonts w:ascii="Arial" w:cs="Arial" w:eastAsia="Arial" w:hAnsi="Arial"/>
                <w:sz w:val="18"/>
                <w:szCs w:val="18"/>
                <w:color w:val="auto"/>
              </w:rPr>
              <w:t>Additions</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154</w:t>
            </w:r>
          </w:p>
        </w:tc>
        <w:tc>
          <w:tcPr>
            <w:tcW w:w="60" w:type="dxa"/>
            <w:vAlign w:val="bottom"/>
          </w:tcPr>
          <w:p>
            <w:pPr>
              <w:spacing w:after="0"/>
              <w:rPr>
                <w:sz w:val="24"/>
                <w:szCs w:val="24"/>
                <w:color w:val="auto"/>
              </w:rPr>
            </w:pPr>
          </w:p>
        </w:tc>
      </w:tr>
      <w:tr>
        <w:trPr>
          <w:trHeight w:val="257"/>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206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(2,322)</w:t>
            </w: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22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(2,529)</w:t>
            </w:r>
          </w:p>
        </w:tc>
        <w:tc>
          <w:tcPr>
            <w:tcW w:w="60" w:type="dxa"/>
            <w:vAlign w:val="bottom"/>
          </w:tcPr>
          <w:p>
            <w:pPr>
              <w:spacing w:after="0"/>
              <w:rPr>
                <w:sz w:val="22"/>
                <w:szCs w:val="22"/>
                <w:color w:val="auto"/>
              </w:rPr>
            </w:pPr>
          </w:p>
        </w:tc>
      </w:tr>
      <w:tr>
        <w:trPr>
          <w:trHeight w:val="263"/>
        </w:trPr>
        <w:tc>
          <w:tcPr>
            <w:tcW w:w="336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280" w:type="dxa"/>
            <w:vAlign w:val="bottom"/>
            <w:gridSpan w:val="2"/>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22"/>
                <w:szCs w:val="22"/>
                <w:color w:val="auto"/>
              </w:rPr>
            </w:pPr>
          </w:p>
        </w:tc>
      </w:tr>
      <w:tr>
        <w:trPr>
          <w:trHeight w:val="263"/>
        </w:trPr>
        <w:tc>
          <w:tcPr>
            <w:tcW w:w="3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at December 31, 2019</w:t>
            </w:r>
          </w:p>
        </w:tc>
        <w:tc>
          <w:tcPr>
            <w:tcW w:w="1280" w:type="dxa"/>
            <w:vAlign w:val="bottom"/>
            <w:tcBorders>
              <w:top w:val="single" w:sz="8" w:color="CCEEFF"/>
              <w:bottom w:val="single" w:sz="8" w:color="CCEEFF"/>
            </w:tcBorders>
            <w:gridSpan w:val="2"/>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13,375</w:t>
            </w: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126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CCEEFF"/>
              <w:bottom w:val="single" w:sz="8" w:color="CCEEFF"/>
            </w:tcBorders>
            <w:gridSpan w:val="2"/>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w:t>
            </w: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13,611</w:t>
            </w:r>
          </w:p>
        </w:tc>
        <w:tc>
          <w:tcPr>
            <w:tcW w:w="60" w:type="dxa"/>
            <w:vAlign w:val="bottom"/>
          </w:tcPr>
          <w:p>
            <w:pPr>
              <w:spacing w:after="0"/>
              <w:rPr>
                <w:sz w:val="22"/>
                <w:szCs w:val="22"/>
                <w:color w:val="auto"/>
              </w:rPr>
            </w:pPr>
          </w:p>
        </w:tc>
      </w:tr>
      <w:tr>
        <w:trPr>
          <w:trHeight w:val="20"/>
        </w:trPr>
        <w:tc>
          <w:tcPr>
            <w:tcW w:w="3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5223510</wp:posOffset>
            </wp:positionH>
            <wp:positionV relativeFrom="paragraph">
              <wp:posOffset>-205105</wp:posOffset>
            </wp:positionV>
            <wp:extent cx="24003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-205105</wp:posOffset>
            </wp:positionV>
            <wp:extent cx="397764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3977640" cy="8255"/>
                    </a:xfrm>
                    <a:prstGeom prst="rect">
                      <a:avLst/>
                    </a:prstGeom>
                    <a:noFill/>
                  </pic:spPr>
                </pic:pic>
              </a:graphicData>
            </a:graphic>
          </wp:anchor>
        </w:drawing>
      </w:r>
    </w:p>
    <w:p>
      <w:pPr>
        <w:spacing w:after="0" w:line="19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Below are the carrying amounts of lease liabilities and the movements during the period:</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2"/>
              </w:rPr>
              <w:t>EUR k</w:t>
            </w:r>
          </w:p>
        </w:tc>
      </w:tr>
      <w:tr>
        <w:trPr>
          <w:trHeight w:val="26"/>
        </w:trPr>
        <w:tc>
          <w:tcPr>
            <w:tcW w:w="69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at January 1, 2019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15,887</w:t>
            </w:r>
          </w:p>
        </w:tc>
        <w:tc>
          <w:tcPr>
            <w:tcW w:w="60" w:type="dxa"/>
            <w:vAlign w:val="bottom"/>
          </w:tcPr>
          <w:p>
            <w:pPr>
              <w:spacing w:after="0"/>
              <w:rPr>
                <w:sz w:val="21"/>
                <w:szCs w:val="21"/>
                <w:color w:val="auto"/>
              </w:rPr>
            </w:pPr>
          </w:p>
        </w:tc>
      </w:tr>
      <w:tr>
        <w:trPr>
          <w:trHeight w:val="365"/>
        </w:trPr>
        <w:tc>
          <w:tcPr>
            <w:tcW w:w="6980" w:type="dxa"/>
            <w:vAlign w:val="bottom"/>
          </w:tcPr>
          <w:p>
            <w:pPr>
              <w:spacing w:after="0"/>
              <w:rPr>
                <w:sz w:val="20"/>
                <w:szCs w:val="20"/>
                <w:color w:val="auto"/>
              </w:rPr>
            </w:pPr>
            <w:r>
              <w:rPr>
                <w:rFonts w:ascii="Arial" w:cs="Arial" w:eastAsia="Arial" w:hAnsi="Arial"/>
                <w:sz w:val="18"/>
                <w:szCs w:val="18"/>
                <w:color w:val="auto"/>
              </w:rPr>
              <w:t>Additions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60" w:type="dxa"/>
            <w:vAlign w:val="bottom"/>
          </w:tcPr>
          <w:p>
            <w:pPr>
              <w:spacing w:after="0"/>
              <w:rPr>
                <w:sz w:val="24"/>
                <w:szCs w:val="24"/>
                <w:color w:val="auto"/>
              </w:rPr>
            </w:pPr>
          </w:p>
        </w:tc>
      </w:tr>
      <w:tr>
        <w:trPr>
          <w:trHeight w:val="25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Accretion of interest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60" w:type="dxa"/>
            <w:vAlign w:val="bottom"/>
          </w:tcPr>
          <w:p>
            <w:pPr>
              <w:spacing w:after="0"/>
              <w:rPr>
                <w:sz w:val="22"/>
                <w:szCs w:val="22"/>
                <w:color w:val="auto"/>
              </w:rPr>
            </w:pPr>
          </w:p>
        </w:tc>
      </w:tr>
      <w:tr>
        <w:trPr>
          <w:trHeight w:val="257"/>
        </w:trPr>
        <w:tc>
          <w:tcPr>
            <w:tcW w:w="6980" w:type="dxa"/>
            <w:vAlign w:val="bottom"/>
          </w:tcPr>
          <w:p>
            <w:pPr>
              <w:spacing w:after="0"/>
              <w:rPr>
                <w:sz w:val="20"/>
                <w:szCs w:val="20"/>
                <w:color w:val="auto"/>
              </w:rPr>
            </w:pPr>
            <w:r>
              <w:rPr>
                <w:rFonts w:ascii="Arial" w:cs="Arial" w:eastAsia="Arial" w:hAnsi="Arial"/>
                <w:sz w:val="18"/>
                <w:szCs w:val="18"/>
                <w:color w:val="auto"/>
              </w:rPr>
              <w:t>Payments</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4"/>
              </w:rPr>
              <w:t>(2,812)</w:t>
            </w:r>
          </w:p>
        </w:tc>
      </w:tr>
      <w:tr>
        <w:trPr>
          <w:trHeight w:val="264"/>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22"/>
                <w:szCs w:val="22"/>
                <w:color w:val="auto"/>
              </w:rPr>
            </w:pPr>
          </w:p>
        </w:tc>
      </w:tr>
      <w:tr>
        <w:trPr>
          <w:trHeight w:val="317"/>
        </w:trPr>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As at December 31, 2019</w:t>
            </w: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14,130</w:t>
            </w:r>
          </w:p>
        </w:tc>
        <w:tc>
          <w:tcPr>
            <w:tcW w:w="60" w:type="dxa"/>
            <w:vAlign w:val="bottom"/>
          </w:tcPr>
          <w:p>
            <w:pPr>
              <w:spacing w:after="0"/>
              <w:rPr>
                <w:sz w:val="24"/>
                <w:szCs w:val="24"/>
                <w:color w:val="auto"/>
              </w:rPr>
            </w:pPr>
          </w:p>
        </w:tc>
      </w:tr>
      <w:tr>
        <w:trPr>
          <w:trHeight w:val="244"/>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60" w:type="dxa"/>
            <w:vAlign w:val="bottom"/>
          </w:tcPr>
          <w:p>
            <w:pPr>
              <w:spacing w:after="0"/>
              <w:rPr>
                <w:sz w:val="21"/>
                <w:szCs w:val="2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18"/>
                <w:szCs w:val="18"/>
                <w:color w:val="auto"/>
              </w:rPr>
              <w:t>Non-current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12,126</w:t>
            </w:r>
          </w:p>
        </w:tc>
        <w:tc>
          <w:tcPr>
            <w:tcW w:w="60" w:type="dxa"/>
            <w:vAlign w:val="bottom"/>
          </w:tcPr>
          <w:p>
            <w:pPr>
              <w:spacing w:after="0"/>
              <w:rPr>
                <w:sz w:val="23"/>
                <w:szCs w:val="23"/>
                <w:color w:val="auto"/>
              </w:rPr>
            </w:pPr>
          </w:p>
        </w:tc>
      </w:tr>
      <w:tr>
        <w:trPr>
          <w:trHeight w:val="351"/>
        </w:trPr>
        <w:tc>
          <w:tcPr>
            <w:tcW w:w="6980" w:type="dxa"/>
            <w:vAlign w:val="bottom"/>
          </w:tcPr>
          <w:p>
            <w:pPr>
              <w:ind w:left="280"/>
              <w:spacing w:after="0"/>
              <w:rPr>
                <w:sz w:val="20"/>
                <w:szCs w:val="20"/>
                <w:color w:val="auto"/>
              </w:rPr>
            </w:pPr>
            <w:r>
              <w:rPr>
                <w:rFonts w:ascii="Arial" w:cs="Arial" w:eastAsia="Arial" w:hAnsi="Arial"/>
                <w:sz w:val="18"/>
                <w:szCs w:val="18"/>
                <w:color w:val="auto"/>
              </w:rPr>
              <w:t>A maturity analysis of lease liabilities is disclosed in Note 15.</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1"/>
        </w:trPr>
        <w:tc>
          <w:tcPr>
            <w:tcW w:w="6980" w:type="dxa"/>
            <w:vAlign w:val="bottom"/>
          </w:tcPr>
          <w:p>
            <w:pPr>
              <w:ind w:left="280"/>
              <w:spacing w:after="0"/>
              <w:rPr>
                <w:sz w:val="20"/>
                <w:szCs w:val="20"/>
                <w:color w:val="auto"/>
              </w:rPr>
            </w:pPr>
            <w:r>
              <w:rPr>
                <w:rFonts w:ascii="Arial" w:cs="Arial" w:eastAsia="Arial" w:hAnsi="Arial"/>
                <w:sz w:val="18"/>
                <w:szCs w:val="18"/>
                <w:color w:val="auto"/>
              </w:rPr>
              <w:t>The following are the amounts recognized in the statement of operations:</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9"/>
        </w:trPr>
        <w:tc>
          <w:tcPr>
            <w:tcW w:w="6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6"/>
              </w:rPr>
              <w:t>EUR k</w:t>
            </w:r>
          </w:p>
        </w:tc>
      </w:tr>
      <w:tr>
        <w:trPr>
          <w:trHeight w:val="25"/>
        </w:trPr>
        <w:tc>
          <w:tcPr>
            <w:tcW w:w="69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 of right-of-use assets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(2,529)</w:t>
            </w:r>
          </w:p>
        </w:tc>
        <w:tc>
          <w:tcPr>
            <w:tcW w:w="60" w:type="dxa"/>
            <w:vAlign w:val="bottom"/>
          </w:tcPr>
          <w:p>
            <w:pPr>
              <w:spacing w:after="0"/>
              <w:rPr>
                <w:sz w:val="21"/>
                <w:szCs w:val="21"/>
                <w:color w:val="auto"/>
              </w:rPr>
            </w:pPr>
          </w:p>
        </w:tc>
      </w:tr>
      <w:tr>
        <w:trPr>
          <w:trHeight w:val="257"/>
        </w:trPr>
        <w:tc>
          <w:tcPr>
            <w:tcW w:w="6980" w:type="dxa"/>
            <w:vAlign w:val="bottom"/>
          </w:tcPr>
          <w:p>
            <w:pPr>
              <w:spacing w:after="0"/>
              <w:rPr>
                <w:sz w:val="20"/>
                <w:szCs w:val="20"/>
                <w:color w:val="auto"/>
              </w:rPr>
            </w:pPr>
            <w:r>
              <w:rPr>
                <w:rFonts w:ascii="Arial" w:cs="Arial" w:eastAsia="Arial" w:hAnsi="Arial"/>
                <w:sz w:val="18"/>
                <w:szCs w:val="18"/>
                <w:color w:val="auto"/>
              </w:rPr>
              <w:t>Interest expense on lease liabilities</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(824)</w:t>
            </w:r>
          </w:p>
        </w:tc>
      </w:tr>
      <w:tr>
        <w:trPr>
          <w:trHeight w:val="25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Expense relating to short-term leases (included in cost of sales)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60" w:type="dxa"/>
            <w:vAlign w:val="bottom"/>
          </w:tcPr>
          <w:p>
            <w:pPr>
              <w:spacing w:after="0"/>
              <w:rPr>
                <w:sz w:val="22"/>
                <w:szCs w:val="22"/>
                <w:color w:val="auto"/>
              </w:rPr>
            </w:pPr>
          </w:p>
        </w:tc>
      </w:tr>
      <w:tr>
        <w:trPr>
          <w:trHeight w:val="263"/>
        </w:trPr>
        <w:tc>
          <w:tcPr>
            <w:tcW w:w="6980" w:type="dxa"/>
            <w:vAlign w:val="bottom"/>
          </w:tcPr>
          <w:p>
            <w:pPr>
              <w:spacing w:after="0"/>
              <w:rPr>
                <w:sz w:val="20"/>
                <w:szCs w:val="20"/>
                <w:color w:val="auto"/>
              </w:rPr>
            </w:pPr>
            <w:r>
              <w:rPr>
                <w:rFonts w:ascii="Arial" w:cs="Arial" w:eastAsia="Arial" w:hAnsi="Arial"/>
                <w:sz w:val="18"/>
                <w:szCs w:val="18"/>
                <w:color w:val="auto"/>
              </w:rPr>
              <w:t>Expense relating to leases of low-value assets (included in administrative expenses)</w:t>
            </w:r>
          </w:p>
        </w:tc>
        <w:tc>
          <w:tcPr>
            <w:tcW w:w="4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(94)</w:t>
            </w:r>
          </w:p>
        </w:tc>
      </w:tr>
      <w:tr>
        <w:trPr>
          <w:trHeight w:val="20"/>
        </w:trPr>
        <w:tc>
          <w:tcPr>
            <w:tcW w:w="698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amount recognized in profit or loss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(3,614)</w:t>
            </w:r>
          </w:p>
        </w:tc>
        <w:tc>
          <w:tcPr>
            <w:tcW w:w="60" w:type="dxa"/>
            <w:vAlign w:val="bottom"/>
          </w:tcPr>
          <w:p>
            <w:pPr>
              <w:spacing w:after="0"/>
              <w:rPr>
                <w:sz w:val="22"/>
                <w:szCs w:val="22"/>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-2999740</wp:posOffset>
            </wp:positionV>
            <wp:extent cx="442341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-205105</wp:posOffset>
            </wp:positionV>
            <wp:extent cx="444881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444881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-873760</wp:posOffset>
            </wp:positionV>
            <wp:extent cx="444055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4440555" cy="8255"/>
                    </a:xfrm>
                    <a:prstGeom prst="rect">
                      <a:avLst/>
                    </a:prstGeom>
                    <a:noFill/>
                  </pic:spPr>
                </pic:pic>
              </a:graphicData>
            </a:graphic>
          </wp:anchor>
        </w:drawing>
      </w:r>
    </w:p>
    <w:p>
      <w:pPr>
        <w:spacing w:after="0" w:line="19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Group had total cash outflows for leases of EUR 3,073k in 2019.</w:t>
      </w:r>
    </w:p>
    <w:p>
      <w:pPr>
        <w:spacing w:after="0" w:line="14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The Group also had non-cash additions to right-of-use assets and lease liabilities of EUR 153k in</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2019.</w:t>
      </w:r>
    </w:p>
    <w:p>
      <w:pPr>
        <w:spacing w:after="0" w:line="128" w:lineRule="exact"/>
        <w:rPr>
          <w:sz w:val="20"/>
          <w:szCs w:val="20"/>
          <w:color w:val="auto"/>
        </w:rPr>
      </w:pPr>
    </w:p>
    <w:p>
      <w:pPr>
        <w:ind w:left="1260" w:right="619" w:firstLine="648"/>
        <w:spacing w:after="0" w:line="248" w:lineRule="auto"/>
        <w:rPr>
          <w:sz w:val="20"/>
          <w:szCs w:val="20"/>
          <w:color w:val="auto"/>
        </w:rPr>
      </w:pPr>
      <w:r>
        <w:rPr>
          <w:rFonts w:ascii="Arial" w:cs="Arial" w:eastAsia="Arial" w:hAnsi="Arial"/>
          <w:sz w:val="18"/>
          <w:szCs w:val="18"/>
          <w:color w:val="auto"/>
        </w:rPr>
        <w:t>The non-cash additions to right-of -use assets and lease liabilities are the sum of the amounts disclosed above in the movements and the amounts resulting from the first-time adoption of IFRS 16 as at January 1, 2019 described above under b).</w:t>
      </w:r>
    </w:p>
    <w:p>
      <w:pPr>
        <w:spacing w:after="0" w:line="114" w:lineRule="exact"/>
        <w:rPr>
          <w:sz w:val="20"/>
          <w:szCs w:val="20"/>
          <w:color w:val="auto"/>
        </w:rPr>
      </w:pPr>
    </w:p>
    <w:p>
      <w:pPr>
        <w:ind w:left="1260" w:right="499" w:firstLine="648"/>
        <w:spacing w:after="0" w:line="259" w:lineRule="auto"/>
        <w:rPr>
          <w:sz w:val="20"/>
          <w:szCs w:val="20"/>
          <w:color w:val="auto"/>
        </w:rPr>
      </w:pPr>
      <w:r>
        <w:rPr>
          <w:rFonts w:ascii="Arial" w:cs="Arial" w:eastAsia="Arial" w:hAnsi="Arial"/>
          <w:sz w:val="17"/>
          <w:szCs w:val="17"/>
          <w:color w:val="auto"/>
        </w:rPr>
        <w:t>Leases not yet commenced to, which CureVac is committed at December 31, 2019, exist with fixed payment obligations for a lease of further two buildings in Tuebingen, Germany over a 15-year term in the gross amount of EUR 28,557k with a starting date of March 1, 2020 (and a respective earliest end date in 2035). In addition, optional lease payments for the renewal of this lease term for two five-year extension options for the two buildings exist which could lead to further payments in a gross amount of EUR 21,653k</w:t>
      </w:r>
    </w:p>
    <w:p>
      <w:pPr>
        <w:sectPr>
          <w:pgSz w:w="11900" w:h="16838" w:orient="portrait"/>
          <w:cols w:equalWidth="0" w:num="1">
            <w:col w:w="9879"/>
          </w:cols>
          <w:pgMar w:left="580" w:top="131" w:right="1440" w:bottom="1440" w:gutter="0" w:footer="0" w:header="0"/>
        </w:sectPr>
      </w:pPr>
    </w:p>
    <w:p>
      <w:pPr>
        <w:spacing w:after="0" w:line="34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51" w:name="page352"/>
    <w:bookmarkEnd w:id="351"/>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59"/>
        <w:spacing w:after="0" w:line="263" w:lineRule="auto"/>
        <w:rPr>
          <w:sz w:val="20"/>
          <w:szCs w:val="20"/>
          <w:color w:val="auto"/>
        </w:rPr>
      </w:pPr>
      <w:r>
        <w:rPr>
          <w:rFonts w:ascii="Arial" w:cs="Arial" w:eastAsia="Arial" w:hAnsi="Arial"/>
          <w:sz w:val="18"/>
          <w:szCs w:val="18"/>
          <w:color w:val="auto"/>
        </w:rPr>
        <w:t>(in addition to the EUR 12,548k) disclosed above under subsection d). Moreover, the Group is committed to further future cash outflows resulting from short-term leases in the amount of EUR 62k and leases of low-value assets in the amount of EUR 64k at December 31, 2019.</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amendments of standards and/or new interpretations</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following several other amendments and interpretations apply for the first time in 2019:</w:t>
      </w:r>
    </w:p>
    <w:p>
      <w:pPr>
        <w:spacing w:after="0" w:line="144" w:lineRule="exact"/>
        <w:rPr>
          <w:sz w:val="20"/>
          <w:szCs w:val="20"/>
          <w:color w:val="auto"/>
        </w:rPr>
      </w:pPr>
    </w:p>
    <w:p>
      <w:pPr>
        <w:ind w:left="2260" w:hanging="352"/>
        <w:spacing w:after="0"/>
        <w:tabs>
          <w:tab w:leader="none" w:pos="22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IFRIC Interpretation 23 Uncertainty over Income Tax Treatment</w:t>
      </w:r>
    </w:p>
    <w:p>
      <w:pPr>
        <w:spacing w:after="0" w:line="130" w:lineRule="exact"/>
        <w:rPr>
          <w:rFonts w:ascii="Arial" w:cs="Arial" w:eastAsia="Arial" w:hAnsi="Arial"/>
          <w:sz w:val="18"/>
          <w:szCs w:val="18"/>
          <w:color w:val="auto"/>
        </w:rPr>
      </w:pPr>
    </w:p>
    <w:p>
      <w:pPr>
        <w:ind w:left="2260" w:hanging="352"/>
        <w:spacing w:after="0"/>
        <w:tabs>
          <w:tab w:leader="none" w:pos="22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Amendments to IFRS 9: Prepayment Features with Negative Compensation</w:t>
      </w:r>
    </w:p>
    <w:p>
      <w:pPr>
        <w:spacing w:after="0" w:line="144" w:lineRule="exact"/>
        <w:rPr>
          <w:rFonts w:ascii="Arial" w:cs="Arial" w:eastAsia="Arial" w:hAnsi="Arial"/>
          <w:sz w:val="18"/>
          <w:szCs w:val="18"/>
          <w:color w:val="auto"/>
        </w:rPr>
      </w:pPr>
    </w:p>
    <w:p>
      <w:pPr>
        <w:ind w:left="2260" w:hanging="352"/>
        <w:spacing w:after="0"/>
        <w:tabs>
          <w:tab w:leader="none" w:pos="22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Amendments to IAS 19: Plan Amendment, Curtailment or Settlement</w:t>
      </w:r>
    </w:p>
    <w:p>
      <w:pPr>
        <w:spacing w:after="0" w:line="130" w:lineRule="exact"/>
        <w:rPr>
          <w:rFonts w:ascii="Arial" w:cs="Arial" w:eastAsia="Arial" w:hAnsi="Arial"/>
          <w:sz w:val="18"/>
          <w:szCs w:val="18"/>
          <w:color w:val="auto"/>
        </w:rPr>
      </w:pPr>
    </w:p>
    <w:p>
      <w:pPr>
        <w:ind w:left="2260" w:hanging="352"/>
        <w:spacing w:after="0"/>
        <w:tabs>
          <w:tab w:leader="none" w:pos="22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Amendments to IAS 28: Long-term interests in associates and joint ventures</w:t>
      </w:r>
    </w:p>
    <w:p>
      <w:pPr>
        <w:spacing w:after="0" w:line="144" w:lineRule="exact"/>
        <w:rPr>
          <w:rFonts w:ascii="Arial" w:cs="Arial" w:eastAsia="Arial" w:hAnsi="Arial"/>
          <w:sz w:val="18"/>
          <w:szCs w:val="18"/>
          <w:color w:val="auto"/>
        </w:rPr>
      </w:pPr>
    </w:p>
    <w:p>
      <w:pPr>
        <w:ind w:left="2260" w:hanging="352"/>
        <w:spacing w:after="0"/>
        <w:tabs>
          <w:tab w:leader="none" w:pos="22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Annual Improvements 2015-2017 Cycle</w:t>
      </w:r>
    </w:p>
    <w:p>
      <w:pPr>
        <w:spacing w:after="0" w:line="130" w:lineRule="exact"/>
        <w:rPr>
          <w:rFonts w:ascii="Arial" w:cs="Arial" w:eastAsia="Arial" w:hAnsi="Arial"/>
          <w:sz w:val="18"/>
          <w:szCs w:val="18"/>
          <w:color w:val="auto"/>
        </w:rPr>
      </w:pPr>
    </w:p>
    <w:p>
      <w:pPr>
        <w:ind w:left="2440" w:hanging="370"/>
        <w:spacing w:after="0"/>
        <w:tabs>
          <w:tab w:leader="none" w:pos="244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IFRS 3 Business Combinations</w:t>
      </w:r>
    </w:p>
    <w:p>
      <w:pPr>
        <w:spacing w:after="0" w:line="144" w:lineRule="exact"/>
        <w:rPr>
          <w:rFonts w:ascii="Arial" w:cs="Arial" w:eastAsia="Arial" w:hAnsi="Arial"/>
          <w:sz w:val="18"/>
          <w:szCs w:val="18"/>
          <w:color w:val="auto"/>
        </w:rPr>
      </w:pPr>
    </w:p>
    <w:p>
      <w:pPr>
        <w:ind w:left="2440" w:hanging="370"/>
        <w:spacing w:after="0"/>
        <w:tabs>
          <w:tab w:leader="none" w:pos="244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IFRS 11 Joint Arrangements</w:t>
      </w:r>
    </w:p>
    <w:p>
      <w:pPr>
        <w:spacing w:after="0" w:line="144" w:lineRule="exact"/>
        <w:rPr>
          <w:rFonts w:ascii="Arial" w:cs="Arial" w:eastAsia="Arial" w:hAnsi="Arial"/>
          <w:sz w:val="18"/>
          <w:szCs w:val="18"/>
          <w:color w:val="auto"/>
        </w:rPr>
      </w:pPr>
    </w:p>
    <w:p>
      <w:pPr>
        <w:ind w:left="2440" w:hanging="370"/>
        <w:spacing w:after="0"/>
        <w:tabs>
          <w:tab w:leader="none" w:pos="244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IAS 12 Income Taxes</w:t>
      </w:r>
    </w:p>
    <w:p>
      <w:pPr>
        <w:spacing w:after="0" w:line="130" w:lineRule="exact"/>
        <w:rPr>
          <w:rFonts w:ascii="Arial" w:cs="Arial" w:eastAsia="Arial" w:hAnsi="Arial"/>
          <w:sz w:val="18"/>
          <w:szCs w:val="18"/>
          <w:color w:val="auto"/>
        </w:rPr>
      </w:pPr>
    </w:p>
    <w:p>
      <w:pPr>
        <w:ind w:left="2440" w:hanging="370"/>
        <w:spacing w:after="0"/>
        <w:tabs>
          <w:tab w:leader="none" w:pos="244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IAS 23 Borrowing Costs</w:t>
      </w:r>
    </w:p>
    <w:p>
      <w:pPr>
        <w:spacing w:after="0" w:line="158" w:lineRule="exact"/>
        <w:rPr>
          <w:sz w:val="20"/>
          <w:szCs w:val="20"/>
          <w:color w:val="auto"/>
        </w:rPr>
      </w:pPr>
    </w:p>
    <w:p>
      <w:pPr>
        <w:jc w:val="both"/>
        <w:ind w:left="1260" w:right="459" w:firstLine="648"/>
        <w:spacing w:after="0" w:line="263" w:lineRule="auto"/>
        <w:rPr>
          <w:sz w:val="20"/>
          <w:szCs w:val="20"/>
          <w:color w:val="auto"/>
        </w:rPr>
      </w:pPr>
      <w:r>
        <w:rPr>
          <w:rFonts w:ascii="Arial" w:cs="Arial" w:eastAsia="Arial" w:hAnsi="Arial"/>
          <w:sz w:val="18"/>
          <w:szCs w:val="18"/>
          <w:color w:val="auto"/>
        </w:rPr>
        <w:t>The standards did not have a material impact on the consolidated financial statements of the Group. The Group has not early adopted any standards, interpretations or amendments that have been issued but are not yet effective.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Standards issued but not yet effective</w:t>
      </w:r>
    </w:p>
    <w:p>
      <w:pPr>
        <w:spacing w:after="0" w:line="158" w:lineRule="exact"/>
        <w:rPr>
          <w:sz w:val="20"/>
          <w:szCs w:val="20"/>
          <w:color w:val="auto"/>
        </w:rPr>
      </w:pPr>
    </w:p>
    <w:p>
      <w:pPr>
        <w:ind w:left="1260" w:right="519" w:firstLine="648"/>
        <w:spacing w:after="0" w:line="259" w:lineRule="auto"/>
        <w:rPr>
          <w:sz w:val="20"/>
          <w:szCs w:val="20"/>
          <w:color w:val="auto"/>
        </w:rPr>
      </w:pPr>
      <w:r>
        <w:rPr>
          <w:rFonts w:ascii="Arial" w:cs="Arial" w:eastAsia="Arial" w:hAnsi="Arial"/>
          <w:sz w:val="18"/>
          <w:szCs w:val="18"/>
          <w:color w:val="auto"/>
        </w:rPr>
        <w:t>The new and amended standards and interpretations that are issued, but not yet effective, up to the date of issuance of the Group’s financial statements and that might have an impact on the Group’s financial statements are disclosed below. The Group intends to adopt these new and amended standards and interpretations, if applicable, when they become effective.</w:t>
      </w:r>
    </w:p>
    <w:p>
      <w:pPr>
        <w:spacing w:after="0" w:line="92" w:lineRule="exact"/>
        <w:rPr>
          <w:sz w:val="20"/>
          <w:szCs w:val="20"/>
          <w:color w:val="auto"/>
        </w:rPr>
      </w:pPr>
    </w:p>
    <w:p>
      <w:pPr>
        <w:ind w:left="2260" w:hanging="352"/>
        <w:spacing w:after="0"/>
        <w:tabs>
          <w:tab w:leader="none" w:pos="22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Amendments to IFRS 3: Definition of a Business</w:t>
      </w:r>
    </w:p>
    <w:p>
      <w:pPr>
        <w:spacing w:after="0" w:line="144" w:lineRule="exact"/>
        <w:rPr>
          <w:rFonts w:ascii="Arial" w:cs="Arial" w:eastAsia="Arial" w:hAnsi="Arial"/>
          <w:sz w:val="18"/>
          <w:szCs w:val="18"/>
          <w:color w:val="auto"/>
        </w:rPr>
      </w:pPr>
    </w:p>
    <w:p>
      <w:pPr>
        <w:ind w:left="2260" w:hanging="352"/>
        <w:spacing w:after="0"/>
        <w:tabs>
          <w:tab w:leader="none" w:pos="22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Amendments to IAS 1 and IAS 8: Definition of Material</w:t>
      </w:r>
    </w:p>
    <w:p>
      <w:pPr>
        <w:spacing w:after="0" w:line="130" w:lineRule="exact"/>
        <w:rPr>
          <w:rFonts w:ascii="Arial" w:cs="Arial" w:eastAsia="Arial" w:hAnsi="Arial"/>
          <w:sz w:val="18"/>
          <w:szCs w:val="18"/>
          <w:color w:val="auto"/>
        </w:rPr>
      </w:pPr>
    </w:p>
    <w:p>
      <w:pPr>
        <w:ind w:left="2260" w:right="699" w:hanging="352"/>
        <w:spacing w:after="0" w:line="277" w:lineRule="auto"/>
        <w:tabs>
          <w:tab w:leader="none" w:pos="22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Amendments to IAS 1: Presentation of Financial Statements: Classification of Liabilities as Current or Non-current</w:t>
      </w:r>
    </w:p>
    <w:p>
      <w:pPr>
        <w:spacing w:after="0" w:line="89" w:lineRule="exact"/>
        <w:rPr>
          <w:rFonts w:ascii="Arial" w:cs="Arial" w:eastAsia="Arial" w:hAnsi="Arial"/>
          <w:sz w:val="18"/>
          <w:szCs w:val="18"/>
          <w:color w:val="auto"/>
        </w:rPr>
      </w:pPr>
    </w:p>
    <w:p>
      <w:pPr>
        <w:ind w:left="2260" w:hanging="352"/>
        <w:spacing w:after="0"/>
        <w:tabs>
          <w:tab w:leader="none" w:pos="22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Amendments to IFRS 9, IAS 39 and IFRS 7: Interest Rate Benchmark Reform</w:t>
      </w:r>
    </w:p>
    <w:p>
      <w:pPr>
        <w:spacing w:after="0" w:line="130" w:lineRule="exact"/>
        <w:rPr>
          <w:rFonts w:ascii="Arial" w:cs="Arial" w:eastAsia="Arial" w:hAnsi="Arial"/>
          <w:sz w:val="18"/>
          <w:szCs w:val="18"/>
          <w:color w:val="auto"/>
        </w:rPr>
      </w:pPr>
    </w:p>
    <w:p>
      <w:pPr>
        <w:ind w:left="2260" w:hanging="352"/>
        <w:spacing w:after="0"/>
        <w:tabs>
          <w:tab w:leader="none" w:pos="22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Amendments to References to the Conceptual Framework in IFRS Standards</w:t>
      </w:r>
    </w:p>
    <w:p>
      <w:pPr>
        <w:spacing w:after="0" w:line="158" w:lineRule="exact"/>
        <w:rPr>
          <w:sz w:val="20"/>
          <w:szCs w:val="20"/>
          <w:color w:val="auto"/>
        </w:rPr>
      </w:pPr>
    </w:p>
    <w:p>
      <w:pPr>
        <w:ind w:left="1260" w:right="599" w:firstLine="648"/>
        <w:spacing w:after="0" w:line="277" w:lineRule="auto"/>
        <w:rPr>
          <w:sz w:val="20"/>
          <w:szCs w:val="20"/>
          <w:color w:val="auto"/>
        </w:rPr>
      </w:pPr>
      <w:r>
        <w:rPr>
          <w:rFonts w:ascii="Arial" w:cs="Arial" w:eastAsia="Arial" w:hAnsi="Arial"/>
          <w:sz w:val="18"/>
          <w:szCs w:val="18"/>
          <w:color w:val="auto"/>
        </w:rPr>
        <w:t>The amendments above are not expected to have a significant impact on the Group’s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52" w:name="page353"/>
    <w:bookmarkEnd w:id="352"/>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3. Notes to the consolidated financial statements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3.1 Revenue from contract with customers</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Group recognized the following revenues in 2019 and 2018:</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1060" w:type="dxa"/>
            <w:vAlign w:val="bottom"/>
            <w:gridSpan w:val="4"/>
          </w:tcPr>
          <w:p>
            <w:pPr>
              <w:jc w:val="center"/>
              <w:ind w:left="96"/>
              <w:spacing w:after="0"/>
              <w:rPr>
                <w:sz w:val="20"/>
                <w:szCs w:val="20"/>
                <w:color w:val="auto"/>
              </w:rPr>
            </w:pPr>
            <w:r>
              <w:rPr>
                <w:rFonts w:ascii="Arial" w:cs="Arial" w:eastAsia="Arial" w:hAnsi="Arial"/>
                <w:sz w:val="14"/>
                <w:szCs w:val="14"/>
                <w:b w:val="1"/>
                <w:bCs w:val="1"/>
                <w:color w:val="auto"/>
                <w:w w:val="87"/>
              </w:rPr>
              <w:t>December 31,</w:t>
            </w:r>
          </w:p>
        </w:tc>
        <w:tc>
          <w:tcPr>
            <w:tcW w:w="1040" w:type="dxa"/>
            <w:vAlign w:val="bottom"/>
            <w:gridSpan w:val="4"/>
          </w:tcPr>
          <w:p>
            <w:pPr>
              <w:jc w:val="center"/>
              <w:ind w:left="76"/>
              <w:spacing w:after="0"/>
              <w:rPr>
                <w:sz w:val="20"/>
                <w:szCs w:val="20"/>
                <w:color w:val="auto"/>
              </w:rPr>
            </w:pPr>
            <w:r>
              <w:rPr>
                <w:rFonts w:ascii="Arial" w:cs="Arial" w:eastAsia="Arial" w:hAnsi="Arial"/>
                <w:sz w:val="14"/>
                <w:szCs w:val="14"/>
                <w:b w:val="1"/>
                <w:bCs w:val="1"/>
                <w:color w:val="auto"/>
                <w:w w:val="87"/>
              </w:rPr>
              <w:t>December 31,</w:t>
            </w:r>
          </w:p>
        </w:tc>
      </w:tr>
      <w:tr>
        <w:trPr>
          <w:trHeight w:val="186"/>
        </w:trPr>
        <w:tc>
          <w:tcPr>
            <w:tcW w:w="5380" w:type="dxa"/>
            <w:vAlign w:val="bottom"/>
          </w:tcPr>
          <w:p>
            <w:pPr>
              <w:spacing w:after="0"/>
              <w:rPr>
                <w:sz w:val="16"/>
                <w:szCs w:val="16"/>
                <w:color w:val="auto"/>
              </w:rPr>
            </w:pPr>
          </w:p>
        </w:tc>
        <w:tc>
          <w:tcPr>
            <w:tcW w:w="880" w:type="dxa"/>
            <w:vAlign w:val="bottom"/>
            <w:gridSpan w:val="3"/>
          </w:tcPr>
          <w:p>
            <w:pPr>
              <w:jc w:val="center"/>
              <w:ind w:left="276"/>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6"/>
                <w:szCs w:val="16"/>
                <w:color w:val="auto"/>
              </w:rPr>
            </w:pPr>
          </w:p>
        </w:tc>
        <w:tc>
          <w:tcPr>
            <w:tcW w:w="860" w:type="dxa"/>
            <w:vAlign w:val="bottom"/>
            <w:gridSpan w:val="3"/>
          </w:tcPr>
          <w:p>
            <w:pPr>
              <w:jc w:val="center"/>
              <w:ind w:left="296"/>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16"/>
                <w:szCs w:val="16"/>
                <w:color w:val="auto"/>
              </w:rPr>
            </w:pPr>
          </w:p>
        </w:tc>
      </w:tr>
      <w:tr>
        <w:trPr>
          <w:trHeight w:val="26"/>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r>
      <w:tr>
        <w:trPr>
          <w:trHeight w:val="197"/>
        </w:trPr>
        <w:tc>
          <w:tcPr>
            <w:tcW w:w="5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EUR k</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EUR k</w:t>
            </w:r>
          </w:p>
        </w:tc>
      </w:tr>
      <w:tr>
        <w:trPr>
          <w:trHeight w:val="26"/>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7"/>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r>
      <w:tr>
        <w:trPr>
          <w:trHeight w:val="257"/>
        </w:trPr>
        <w:tc>
          <w:tcPr>
            <w:tcW w:w="5380" w:type="dxa"/>
            <w:vAlign w:val="bottom"/>
          </w:tcPr>
          <w:p>
            <w:pPr>
              <w:ind w:left="180"/>
              <w:spacing w:after="0"/>
              <w:rPr>
                <w:sz w:val="20"/>
                <w:szCs w:val="20"/>
                <w:color w:val="auto"/>
              </w:rPr>
            </w:pPr>
            <w:r>
              <w:rPr>
                <w:rFonts w:ascii="Arial" w:cs="Arial" w:eastAsia="Arial" w:hAnsi="Arial"/>
                <w:sz w:val="18"/>
                <w:szCs w:val="18"/>
                <w:color w:val="auto"/>
              </w:rPr>
              <w:t>Eli Lilly and Company</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8,927</w:t>
            </w:r>
          </w:p>
        </w:tc>
        <w:tc>
          <w:tcPr>
            <w:tcW w:w="180" w:type="dxa"/>
            <w:vAlign w:val="bottom"/>
          </w:tcPr>
          <w:p>
            <w:pPr>
              <w:spacing w:after="0"/>
              <w:rPr>
                <w:sz w:val="22"/>
                <w:szCs w:val="22"/>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14,319</w:t>
            </w:r>
          </w:p>
        </w:tc>
        <w:tc>
          <w:tcPr>
            <w:tcW w:w="180" w:type="dxa"/>
            <w:vAlign w:val="bottom"/>
          </w:tcPr>
          <w:p>
            <w:pPr>
              <w:spacing w:after="0"/>
              <w:rPr>
                <w:sz w:val="22"/>
                <w:szCs w:val="22"/>
                <w:color w:val="auto"/>
              </w:rPr>
            </w:pPr>
          </w:p>
        </w:tc>
      </w:tr>
      <w:tr>
        <w:trPr>
          <w:trHeight w:val="25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r>
      <w:tr>
        <w:trPr>
          <w:trHeight w:val="257"/>
        </w:trPr>
        <w:tc>
          <w:tcPr>
            <w:tcW w:w="5380" w:type="dxa"/>
            <w:vAlign w:val="bottom"/>
          </w:tcPr>
          <w:p>
            <w:pPr>
              <w:ind w:left="180"/>
              <w:spacing w:after="0"/>
              <w:rPr>
                <w:sz w:val="20"/>
                <w:szCs w:val="20"/>
                <w:color w:val="auto"/>
              </w:rPr>
            </w:pPr>
            <w:r>
              <w:rPr>
                <w:rFonts w:ascii="Arial" w:cs="Arial" w:eastAsia="Arial" w:hAnsi="Arial"/>
                <w:sz w:val="18"/>
                <w:szCs w:val="18"/>
                <w:color w:val="auto"/>
              </w:rPr>
              <w:t>Boehringer Ingelheim</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3,337</w:t>
            </w:r>
          </w:p>
        </w:tc>
        <w:tc>
          <w:tcPr>
            <w:tcW w:w="180" w:type="dxa"/>
            <w:vAlign w:val="bottom"/>
          </w:tcPr>
          <w:p>
            <w:pPr>
              <w:spacing w:after="0"/>
              <w:rPr>
                <w:sz w:val="22"/>
                <w:szCs w:val="22"/>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2,474</w:t>
            </w:r>
          </w:p>
        </w:tc>
        <w:tc>
          <w:tcPr>
            <w:tcW w:w="180" w:type="dxa"/>
            <w:vAlign w:val="bottom"/>
          </w:tcPr>
          <w:p>
            <w:pPr>
              <w:spacing w:after="0"/>
              <w:rPr>
                <w:sz w:val="22"/>
                <w:szCs w:val="22"/>
                <w:color w:val="auto"/>
              </w:rPr>
            </w:pPr>
          </w:p>
        </w:tc>
      </w:tr>
      <w:tr>
        <w:trPr>
          <w:trHeight w:val="257"/>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Others</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22"/>
                <w:szCs w:val="22"/>
                <w:color w:val="auto"/>
              </w:rPr>
            </w:pPr>
          </w:p>
        </w:tc>
      </w:tr>
      <w:tr>
        <w:trPr>
          <w:trHeight w:val="257"/>
        </w:trPr>
        <w:tc>
          <w:tcPr>
            <w:tcW w:w="5380" w:type="dxa"/>
            <w:vAlign w:val="bottom"/>
          </w:tcPr>
          <w:p>
            <w:pPr>
              <w:spacing w:after="0"/>
              <w:rPr>
                <w:sz w:val="20"/>
                <w:szCs w:val="20"/>
                <w:color w:val="auto"/>
              </w:rPr>
            </w:pPr>
            <w:r>
              <w:rPr>
                <w:rFonts w:ascii="Arial" w:cs="Arial" w:eastAsia="Arial" w:hAnsi="Arial"/>
                <w:sz w:val="18"/>
                <w:szCs w:val="18"/>
                <w:color w:val="auto"/>
              </w:rPr>
              <w:t>Switzerland</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3"/>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CRISPR</w:t>
            </w:r>
          </w:p>
        </w:tc>
        <w:tc>
          <w:tcPr>
            <w:tcW w:w="380" w:type="dxa"/>
            <w:vAlign w:val="bottom"/>
            <w:tcBorders>
              <w:bottom w:val="single" w:sz="8" w:color="CCEEFF"/>
            </w:tcBorders>
            <w:gridSpan w:val="2"/>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80" w:type="dxa"/>
            <w:vAlign w:val="bottom"/>
            <w:tcBorders>
              <w:bottom w:val="single" w:sz="8" w:color="CCEEFF"/>
            </w:tcBorders>
            <w:shd w:val="clear" w:color="auto" w:fill="CCEEFF"/>
          </w:tcPr>
          <w:p>
            <w:pPr>
              <w:spacing w:after="0"/>
              <w:rPr>
                <w:sz w:val="22"/>
                <w:szCs w:val="22"/>
                <w:color w:val="auto"/>
              </w:rPr>
            </w:pPr>
          </w:p>
        </w:tc>
      </w:tr>
      <w:tr>
        <w:trPr>
          <w:trHeight w:val="263"/>
        </w:trPr>
        <w:tc>
          <w:tcPr>
            <w:tcW w:w="538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880" w:type="dxa"/>
            <w:vAlign w:val="bottom"/>
            <w:gridSpan w:val="3"/>
          </w:tcPr>
          <w:p>
            <w:pPr>
              <w:jc w:val="right"/>
              <w:spacing w:after="0"/>
              <w:rPr>
                <w:sz w:val="20"/>
                <w:szCs w:val="20"/>
                <w:color w:val="auto"/>
              </w:rPr>
            </w:pPr>
            <w:r>
              <w:rPr>
                <w:rFonts w:ascii="Arial" w:cs="Arial" w:eastAsia="Arial" w:hAnsi="Arial"/>
                <w:sz w:val="18"/>
                <w:szCs w:val="18"/>
                <w:b w:val="1"/>
                <w:bCs w:val="1"/>
                <w:color w:val="auto"/>
              </w:rPr>
              <w:t>12,871</w:t>
            </w:r>
          </w:p>
        </w:tc>
        <w:tc>
          <w:tcPr>
            <w:tcW w:w="180" w:type="dxa"/>
            <w:vAlign w:val="bottom"/>
          </w:tcPr>
          <w:p>
            <w:pPr>
              <w:spacing w:after="0"/>
              <w:rPr>
                <w:sz w:val="22"/>
                <w:szCs w:val="22"/>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b w:val="1"/>
                <w:bCs w:val="1"/>
                <w:color w:val="auto"/>
              </w:rPr>
              <w:t>17,416</w:t>
            </w:r>
          </w:p>
        </w:tc>
        <w:tc>
          <w:tcPr>
            <w:tcW w:w="180" w:type="dxa"/>
            <w:vAlign w:val="bottom"/>
          </w:tcPr>
          <w:p>
            <w:pPr>
              <w:spacing w:after="0"/>
              <w:rPr>
                <w:sz w:val="22"/>
                <w:szCs w:val="22"/>
                <w:color w:val="auto"/>
              </w:rPr>
            </w:pPr>
          </w:p>
        </w:tc>
      </w:tr>
      <w:tr>
        <w:trPr>
          <w:trHeight w:val="20"/>
        </w:trPr>
        <w:tc>
          <w:tcPr>
            <w:tcW w:w="5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60" w:right="439" w:firstLine="648"/>
        <w:spacing w:after="0" w:line="241" w:lineRule="auto"/>
        <w:rPr>
          <w:sz w:val="20"/>
          <w:szCs w:val="20"/>
          <w:color w:val="auto"/>
        </w:rPr>
      </w:pPr>
      <w:r>
        <w:rPr>
          <w:rFonts w:ascii="Arial" w:cs="Arial" w:eastAsia="Arial" w:hAnsi="Arial"/>
          <w:sz w:val="18"/>
          <w:szCs w:val="18"/>
          <w:color w:val="auto"/>
        </w:rPr>
        <w:t>Of these revenues, all of which were recognized over time as part of collaboration agreements, in 2019, EUR 5,777k (2018: EUR 5,861k) related to delivery of research services combined with an IP license (recognized from the upfront payments as further illustrated in the table below), EUR 8,617k (2018: 6,713k) related to delivery of products and EUR 3,022k (2018: 297k) were recognized from those research and development services considered distinct within the agreements.</w:t>
      </w:r>
    </w:p>
    <w:p>
      <w:pPr>
        <w:spacing w:after="0" w:line="122" w:lineRule="exact"/>
        <w:rPr>
          <w:sz w:val="20"/>
          <w:szCs w:val="20"/>
          <w:color w:val="auto"/>
        </w:rPr>
      </w:pPr>
    </w:p>
    <w:p>
      <w:pPr>
        <w:ind w:left="1260" w:right="639" w:firstLine="648"/>
        <w:spacing w:after="0" w:line="248" w:lineRule="auto"/>
        <w:rPr>
          <w:sz w:val="20"/>
          <w:szCs w:val="20"/>
          <w:color w:val="auto"/>
        </w:rPr>
      </w:pPr>
      <w:r>
        <w:rPr>
          <w:rFonts w:ascii="Arial" w:cs="Arial" w:eastAsia="Arial" w:hAnsi="Arial"/>
          <w:sz w:val="18"/>
          <w:szCs w:val="18"/>
          <w:color w:val="auto"/>
        </w:rPr>
        <w:t>The Group has received upfront payments which were initially deferred and are subsequently recognized as revenue as the Group renders services over the performance period. Below is a summary of such payments and the related revenues recognized:</w:t>
      </w:r>
    </w:p>
    <w:p>
      <w:pPr>
        <w:spacing w:after="0" w:line="13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0"/>
              </w:rPr>
              <w:t>Upfront payments</w:t>
            </w:r>
          </w:p>
        </w:tc>
        <w:tc>
          <w:tcPr>
            <w:tcW w:w="80" w:type="dxa"/>
            <w:vAlign w:val="bottom"/>
          </w:tcPr>
          <w:p>
            <w:pPr>
              <w:spacing w:after="0"/>
              <w:rPr>
                <w:sz w:val="14"/>
                <w:szCs w:val="14"/>
                <w:color w:val="auto"/>
              </w:rPr>
            </w:pPr>
          </w:p>
        </w:tc>
        <w:tc>
          <w:tcPr>
            <w:tcW w:w="1320" w:type="dxa"/>
            <w:vAlign w:val="bottom"/>
            <w:gridSpan w:val="6"/>
            <w:vMerge w:val="restart"/>
          </w:tcPr>
          <w:p>
            <w:pPr>
              <w:jc w:val="center"/>
              <w:ind w:right="100"/>
              <w:spacing w:after="0"/>
              <w:rPr>
                <w:sz w:val="20"/>
                <w:szCs w:val="20"/>
                <w:color w:val="auto"/>
              </w:rPr>
            </w:pPr>
            <w:r>
              <w:rPr>
                <w:rFonts w:ascii="Arial" w:cs="Arial" w:eastAsia="Arial" w:hAnsi="Arial"/>
                <w:sz w:val="14"/>
                <w:szCs w:val="14"/>
                <w:b w:val="1"/>
                <w:bCs w:val="1"/>
                <w:color w:val="auto"/>
                <w:w w:val="86"/>
              </w:rPr>
              <w:t>Revenue recognized</w:t>
            </w:r>
          </w:p>
        </w:tc>
        <w:tc>
          <w:tcPr>
            <w:tcW w:w="0" w:type="dxa"/>
            <w:vAlign w:val="bottom"/>
          </w:tcPr>
          <w:p>
            <w:pPr>
              <w:spacing w:after="0"/>
              <w:rPr>
                <w:sz w:val="1"/>
                <w:szCs w:val="1"/>
                <w:color w:val="auto"/>
              </w:rPr>
            </w:pPr>
          </w:p>
        </w:tc>
      </w:tr>
      <w:tr>
        <w:trPr>
          <w:trHeight w:val="68"/>
        </w:trPr>
        <w:tc>
          <w:tcPr>
            <w:tcW w:w="2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Upfront payments</w:t>
            </w:r>
          </w:p>
        </w:tc>
        <w:tc>
          <w:tcPr>
            <w:tcW w:w="152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89"/>
              </w:rPr>
              <w:t>included in</w:t>
            </w:r>
          </w:p>
        </w:tc>
        <w:tc>
          <w:tcPr>
            <w:tcW w:w="80" w:type="dxa"/>
            <w:vAlign w:val="bottom"/>
          </w:tcPr>
          <w:p>
            <w:pPr>
              <w:spacing w:after="0"/>
              <w:rPr>
                <w:sz w:val="5"/>
                <w:szCs w:val="5"/>
                <w:color w:val="auto"/>
              </w:rPr>
            </w:pPr>
          </w:p>
        </w:tc>
        <w:tc>
          <w:tcPr>
            <w:tcW w:w="132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40" w:type="dxa"/>
            <w:vAlign w:val="bottom"/>
            <w:gridSpan w:val="2"/>
            <w:vMerge w:val="continue"/>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1400" w:type="dxa"/>
            <w:vAlign w:val="bottom"/>
            <w:gridSpan w:val="7"/>
            <w:vMerge w:val="restart"/>
          </w:tcPr>
          <w:p>
            <w:pPr>
              <w:jc w:val="center"/>
              <w:ind w:right="20"/>
              <w:spacing w:after="0"/>
              <w:rPr>
                <w:sz w:val="20"/>
                <w:szCs w:val="20"/>
                <w:color w:val="auto"/>
              </w:rPr>
            </w:pPr>
            <w:r>
              <w:rPr>
                <w:rFonts w:ascii="Arial" w:cs="Arial" w:eastAsia="Arial" w:hAnsi="Arial"/>
                <w:sz w:val="14"/>
                <w:szCs w:val="14"/>
                <w:b w:val="1"/>
                <w:bCs w:val="1"/>
                <w:color w:val="auto"/>
                <w:w w:val="90"/>
              </w:rPr>
              <w:t>from upfront payments</w:t>
            </w:r>
          </w:p>
        </w:tc>
        <w:tc>
          <w:tcPr>
            <w:tcW w:w="0" w:type="dxa"/>
            <w:vAlign w:val="bottom"/>
          </w:tcPr>
          <w:p>
            <w:pPr>
              <w:spacing w:after="0"/>
              <w:rPr>
                <w:sz w:val="1"/>
                <w:szCs w:val="1"/>
                <w:color w:val="auto"/>
              </w:rPr>
            </w:pPr>
          </w:p>
        </w:tc>
      </w:tr>
      <w:tr>
        <w:trPr>
          <w:trHeight w:val="68"/>
        </w:trPr>
        <w:tc>
          <w:tcPr>
            <w:tcW w:w="2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6"/>
              </w:rPr>
              <w:t>received or receivable at</w:t>
            </w:r>
          </w:p>
        </w:tc>
        <w:tc>
          <w:tcPr>
            <w:tcW w:w="1520" w:type="dxa"/>
            <w:vAlign w:val="bottom"/>
            <w:gridSpan w:val="4"/>
            <w:vMerge w:val="restart"/>
          </w:tcPr>
          <w:p>
            <w:pPr>
              <w:jc w:val="center"/>
              <w:ind w:right="320"/>
              <w:spacing w:after="0"/>
              <w:rPr>
                <w:sz w:val="20"/>
                <w:szCs w:val="20"/>
                <w:color w:val="auto"/>
              </w:rPr>
            </w:pPr>
            <w:r>
              <w:rPr>
                <w:rFonts w:ascii="Arial" w:cs="Arial" w:eastAsia="Arial" w:hAnsi="Arial"/>
                <w:sz w:val="14"/>
                <w:szCs w:val="14"/>
                <w:b w:val="1"/>
                <w:bCs w:val="1"/>
                <w:color w:val="auto"/>
                <w:w w:val="88"/>
              </w:rPr>
              <w:t>contract liabilities at</w:t>
            </w:r>
          </w:p>
        </w:tc>
        <w:tc>
          <w:tcPr>
            <w:tcW w:w="140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40" w:type="dxa"/>
            <w:vAlign w:val="bottom"/>
            <w:gridSpan w:val="2"/>
            <w:vMerge w:val="continue"/>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gridSpan w:val="6"/>
            <w:vMerge w:val="restart"/>
          </w:tcPr>
          <w:p>
            <w:pPr>
              <w:jc w:val="center"/>
              <w:ind w:right="80"/>
              <w:spacing w:after="0"/>
              <w:rPr>
                <w:sz w:val="20"/>
                <w:szCs w:val="20"/>
                <w:color w:val="auto"/>
              </w:rPr>
            </w:pPr>
            <w:r>
              <w:rPr>
                <w:rFonts w:ascii="Arial" w:cs="Arial" w:eastAsia="Arial" w:hAnsi="Arial"/>
                <w:sz w:val="14"/>
                <w:szCs w:val="14"/>
                <w:b w:val="1"/>
                <w:bCs w:val="1"/>
                <w:color w:val="auto"/>
                <w:w w:val="95"/>
              </w:rPr>
              <w:t>(in EUR k)</w:t>
            </w:r>
          </w:p>
        </w:tc>
        <w:tc>
          <w:tcPr>
            <w:tcW w:w="0" w:type="dxa"/>
            <w:vAlign w:val="bottom"/>
          </w:tcPr>
          <w:p>
            <w:pPr>
              <w:spacing w:after="0"/>
              <w:rPr>
                <w:sz w:val="1"/>
                <w:szCs w:val="1"/>
                <w:color w:val="auto"/>
              </w:rPr>
            </w:pPr>
          </w:p>
        </w:tc>
      </w:tr>
      <w:tr>
        <w:trPr>
          <w:trHeight w:val="92"/>
        </w:trPr>
        <w:tc>
          <w:tcPr>
            <w:tcW w:w="2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December 31, 2019</w:t>
            </w:r>
          </w:p>
        </w:tc>
        <w:tc>
          <w:tcPr>
            <w:tcW w:w="1520" w:type="dxa"/>
            <w:vAlign w:val="bottom"/>
            <w:gridSpan w:val="4"/>
            <w:vMerge w:val="restart"/>
          </w:tcPr>
          <w:p>
            <w:pPr>
              <w:jc w:val="center"/>
              <w:ind w:right="320"/>
              <w:spacing w:after="0"/>
              <w:rPr>
                <w:sz w:val="20"/>
                <w:szCs w:val="20"/>
                <w:color w:val="auto"/>
              </w:rPr>
            </w:pPr>
            <w:r>
              <w:rPr>
                <w:rFonts w:ascii="Arial" w:cs="Arial" w:eastAsia="Arial" w:hAnsi="Arial"/>
                <w:sz w:val="14"/>
                <w:szCs w:val="14"/>
                <w:b w:val="1"/>
                <w:bCs w:val="1"/>
                <w:color w:val="auto"/>
                <w:w w:val="88"/>
              </w:rPr>
              <w:t>December 31, 2019</w:t>
            </w:r>
          </w:p>
        </w:tc>
        <w:tc>
          <w:tcPr>
            <w:tcW w:w="80" w:type="dxa"/>
            <w:vAlign w:val="bottom"/>
          </w:tcPr>
          <w:p>
            <w:pPr>
              <w:spacing w:after="0"/>
              <w:rPr>
                <w:sz w:val="7"/>
                <w:szCs w:val="7"/>
                <w:color w:val="auto"/>
              </w:rPr>
            </w:pPr>
          </w:p>
        </w:tc>
        <w:tc>
          <w:tcPr>
            <w:tcW w:w="13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2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40" w:type="dxa"/>
            <w:vAlign w:val="bottom"/>
            <w:gridSpan w:val="2"/>
            <w:vMerge w:val="continue"/>
          </w:tcPr>
          <w:p>
            <w:pPr>
              <w:spacing w:after="0"/>
              <w:rPr>
                <w:sz w:val="2"/>
                <w:szCs w:val="2"/>
                <w:color w:val="auto"/>
              </w:rPr>
            </w:pPr>
          </w:p>
        </w:tc>
        <w:tc>
          <w:tcPr>
            <w:tcW w:w="1520" w:type="dxa"/>
            <w:vAlign w:val="bottom"/>
            <w:gridSpan w:val="4"/>
            <w:vMerge w:val="continue"/>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40" w:type="dxa"/>
            <w:vAlign w:val="bottom"/>
            <w:gridSpan w:val="2"/>
            <w:vMerge w:val="continue"/>
          </w:tcPr>
          <w:p>
            <w:pPr>
              <w:spacing w:after="0"/>
              <w:rPr>
                <w:sz w:val="2"/>
                <w:szCs w:val="2"/>
                <w:color w:val="auto"/>
              </w:rPr>
            </w:pPr>
          </w:p>
        </w:tc>
        <w:tc>
          <w:tcPr>
            <w:tcW w:w="1520" w:type="dxa"/>
            <w:vAlign w:val="bottom"/>
            <w:gridSpan w:val="4"/>
            <w:vMerge w:val="continue"/>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Customer</w:t>
            </w:r>
          </w:p>
        </w:tc>
        <w:tc>
          <w:tcPr>
            <w:tcW w:w="2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(in thousands)</w:t>
            </w:r>
          </w:p>
        </w:tc>
        <w:tc>
          <w:tcPr>
            <w:tcW w:w="15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5"/>
              </w:rPr>
              <w:t>(in EUR k)</w:t>
            </w: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5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 Lilly and Company</w:t>
            </w: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USD 50,000 (EUR 42,200)</w:t>
            </w:r>
          </w:p>
        </w:tc>
        <w:tc>
          <w:tcPr>
            <w:tcW w:w="12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34,854</w:t>
            </w:r>
          </w:p>
        </w:tc>
        <w:tc>
          <w:tcPr>
            <w:tcW w:w="280" w:type="dxa"/>
            <w:vAlign w:val="bottom"/>
            <w:shd w:val="clear" w:color="auto" w:fill="CCEEFF"/>
          </w:tcPr>
          <w:p>
            <w:pPr>
              <w:spacing w:after="0"/>
              <w:rPr>
                <w:sz w:val="21"/>
                <w:szCs w:val="21"/>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3,516</w:t>
            </w: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3,516</w:t>
            </w:r>
          </w:p>
        </w:tc>
        <w:tc>
          <w:tcPr>
            <w:tcW w:w="0" w:type="dxa"/>
            <w:vAlign w:val="bottom"/>
          </w:tcPr>
          <w:p>
            <w:pPr>
              <w:spacing w:after="0"/>
              <w:rPr>
                <w:sz w:val="1"/>
                <w:szCs w:val="1"/>
                <w:color w:val="auto"/>
              </w:rPr>
            </w:pPr>
          </w:p>
        </w:tc>
      </w:tr>
      <w:tr>
        <w:trPr>
          <w:trHeight w:val="256"/>
        </w:trPr>
        <w:tc>
          <w:tcPr>
            <w:tcW w:w="2840" w:type="dxa"/>
            <w:vAlign w:val="bottom"/>
            <w:gridSpan w:val="2"/>
          </w:tcPr>
          <w:p>
            <w:pPr>
              <w:spacing w:after="0"/>
              <w:rPr>
                <w:sz w:val="20"/>
                <w:szCs w:val="20"/>
                <w:color w:val="auto"/>
              </w:rPr>
            </w:pPr>
            <w:r>
              <w:rPr>
                <w:rFonts w:ascii="Arial" w:cs="Arial" w:eastAsia="Arial" w:hAnsi="Arial"/>
                <w:sz w:val="18"/>
                <w:szCs w:val="18"/>
                <w:color w:val="auto"/>
              </w:rPr>
              <w:t>CRISPR</w:t>
            </w:r>
          </w:p>
        </w:tc>
        <w:tc>
          <w:tcPr>
            <w:tcW w:w="2440" w:type="dxa"/>
            <w:vAlign w:val="bottom"/>
            <w:gridSpan w:val="2"/>
          </w:tcPr>
          <w:p>
            <w:pPr>
              <w:spacing w:after="0"/>
              <w:rPr>
                <w:sz w:val="20"/>
                <w:szCs w:val="20"/>
                <w:color w:val="auto"/>
              </w:rPr>
            </w:pPr>
            <w:r>
              <w:rPr>
                <w:rFonts w:ascii="Arial" w:cs="Arial" w:eastAsia="Arial" w:hAnsi="Arial"/>
                <w:sz w:val="18"/>
                <w:szCs w:val="18"/>
                <w:color w:val="auto"/>
              </w:rPr>
              <w:t>USD 3,000 (EUR 2,524)</w:t>
            </w:r>
          </w:p>
        </w:tc>
        <w:tc>
          <w:tcPr>
            <w:tcW w:w="1240" w:type="dxa"/>
            <w:vAlign w:val="bottom"/>
            <w:gridSpan w:val="3"/>
          </w:tcPr>
          <w:p>
            <w:pPr>
              <w:jc w:val="right"/>
              <w:ind w:right="380"/>
              <w:spacing w:after="0"/>
              <w:rPr>
                <w:sz w:val="20"/>
                <w:szCs w:val="20"/>
                <w:color w:val="auto"/>
              </w:rPr>
            </w:pPr>
            <w:r>
              <w:rPr>
                <w:rFonts w:ascii="Arial" w:cs="Arial" w:eastAsia="Arial" w:hAnsi="Arial"/>
                <w:sz w:val="18"/>
                <w:szCs w:val="18"/>
                <w:color w:val="auto"/>
              </w:rPr>
              <w:t>1,859</w:t>
            </w:r>
          </w:p>
        </w:tc>
        <w:tc>
          <w:tcPr>
            <w:tcW w:w="280" w:type="dxa"/>
            <w:vAlign w:val="bottom"/>
          </w:tcPr>
          <w:p>
            <w:pPr>
              <w:spacing w:after="0"/>
              <w:rPr>
                <w:sz w:val="22"/>
                <w:szCs w:val="22"/>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310</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57"/>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Boehringer Ingelheim</w:t>
            </w: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 30,000</w:t>
            </w:r>
          </w:p>
        </w:tc>
        <w:tc>
          <w:tcPr>
            <w:tcW w:w="12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15,870</w:t>
            </w:r>
          </w:p>
        </w:tc>
        <w:tc>
          <w:tcPr>
            <w:tcW w:w="280" w:type="dxa"/>
            <w:vAlign w:val="bottom"/>
            <w:shd w:val="clear" w:color="auto" w:fill="CCEEFF"/>
          </w:tcPr>
          <w:p>
            <w:pPr>
              <w:spacing w:after="0"/>
              <w:rPr>
                <w:sz w:val="22"/>
                <w:szCs w:val="22"/>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2,035</w:t>
            </w:r>
          </w:p>
        </w:tc>
        <w:tc>
          <w:tcPr>
            <w:tcW w:w="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1,951</w:t>
            </w:r>
          </w:p>
        </w:tc>
        <w:tc>
          <w:tcPr>
            <w:tcW w:w="0" w:type="dxa"/>
            <w:vAlign w:val="bottom"/>
          </w:tcPr>
          <w:p>
            <w:pPr>
              <w:spacing w:after="0"/>
              <w:rPr>
                <w:sz w:val="1"/>
                <w:szCs w:val="1"/>
                <w:color w:val="auto"/>
              </w:rPr>
            </w:pPr>
          </w:p>
        </w:tc>
      </w:tr>
      <w:tr>
        <w:trPr>
          <w:trHeight w:val="263"/>
        </w:trPr>
        <w:tc>
          <w:tcPr>
            <w:tcW w:w="2840" w:type="dxa"/>
            <w:vAlign w:val="bottom"/>
            <w:gridSpan w:val="2"/>
          </w:tcPr>
          <w:p>
            <w:pPr>
              <w:spacing w:after="0"/>
              <w:rPr>
                <w:sz w:val="20"/>
                <w:szCs w:val="20"/>
                <w:color w:val="auto"/>
              </w:rPr>
            </w:pPr>
            <w:r>
              <w:rPr>
                <w:rFonts w:ascii="Arial" w:cs="Arial" w:eastAsia="Arial" w:hAnsi="Arial"/>
                <w:sz w:val="18"/>
                <w:szCs w:val="18"/>
                <w:color w:val="auto"/>
              </w:rPr>
              <w:t>Genmab</w:t>
            </w:r>
          </w:p>
        </w:tc>
        <w:tc>
          <w:tcPr>
            <w:tcW w:w="2440" w:type="dxa"/>
            <w:vAlign w:val="bottom"/>
            <w:gridSpan w:val="2"/>
          </w:tcPr>
          <w:p>
            <w:pPr>
              <w:spacing w:after="0"/>
              <w:rPr>
                <w:sz w:val="20"/>
                <w:szCs w:val="20"/>
                <w:color w:val="auto"/>
              </w:rPr>
            </w:pPr>
            <w:r>
              <w:rPr>
                <w:rFonts w:ascii="Arial" w:cs="Arial" w:eastAsia="Arial" w:hAnsi="Arial"/>
                <w:sz w:val="18"/>
                <w:szCs w:val="18"/>
                <w:color w:val="auto"/>
              </w:rPr>
              <w:t>USD 10,000 (EUR 8,937)</w:t>
            </w:r>
          </w:p>
        </w:tc>
        <w:tc>
          <w:tcPr>
            <w:tcW w:w="360" w:type="dxa"/>
            <w:vAlign w:val="bottom"/>
          </w:tcPr>
          <w:p>
            <w:pPr>
              <w:spacing w:after="0"/>
              <w:rPr>
                <w:sz w:val="22"/>
                <w:szCs w:val="22"/>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8,937</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4"/>
          </w:tcPr>
          <w:p>
            <w:pPr>
              <w:jc w:val="right"/>
              <w:ind w:right="4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87"/>
              </w:rPr>
              <w:t>61,520</w:t>
            </w:r>
          </w:p>
        </w:tc>
        <w:tc>
          <w:tcPr>
            <w:tcW w:w="280" w:type="dxa"/>
            <w:vAlign w:val="bottom"/>
            <w:shd w:val="clear" w:color="auto" w:fill="CCEEFF"/>
          </w:tcPr>
          <w:p>
            <w:pPr>
              <w:spacing w:after="0"/>
              <w:rPr>
                <w:sz w:val="22"/>
                <w:szCs w:val="22"/>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5,861</w:t>
            </w:r>
          </w:p>
        </w:tc>
        <w:tc>
          <w:tcPr>
            <w:tcW w:w="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8"/>
              </w:rPr>
              <w:t>5,777</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5951855</wp:posOffset>
            </wp:positionH>
            <wp:positionV relativeFrom="paragraph">
              <wp:posOffset>-205105</wp:posOffset>
            </wp:positionV>
            <wp:extent cx="5969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-205105</wp:posOffset>
            </wp:positionV>
            <wp:extent cx="489458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4894580" cy="8255"/>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-873760</wp:posOffset>
            </wp:positionV>
            <wp:extent cx="17145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4940300</wp:posOffset>
            </wp:positionH>
            <wp:positionV relativeFrom="paragraph">
              <wp:posOffset>-873760</wp:posOffset>
            </wp:positionV>
            <wp:extent cx="17145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3980180</wp:posOffset>
            </wp:positionH>
            <wp:positionV relativeFrom="paragraph">
              <wp:posOffset>-873760</wp:posOffset>
            </wp:positionV>
            <wp:extent cx="17145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2437130</wp:posOffset>
            </wp:positionH>
            <wp:positionV relativeFrom="paragraph">
              <wp:posOffset>-873760</wp:posOffset>
            </wp:positionV>
            <wp:extent cx="17145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7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Contract balances:</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January 1,</w:t>
            </w: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December 31,</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December 31,</w:t>
            </w:r>
          </w:p>
        </w:tc>
      </w:tr>
      <w:tr>
        <w:trPr>
          <w:trHeight w:val="186"/>
        </w:trPr>
        <w:tc>
          <w:tcPr>
            <w:tcW w:w="468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3"/>
              </w:rPr>
              <w:t>2018</w:t>
            </w:r>
          </w:p>
        </w:tc>
        <w:tc>
          <w:tcPr>
            <w:tcW w:w="2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5"/>
        </w:trPr>
        <w:tc>
          <w:tcPr>
            <w:tcW w:w="46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8"/>
        </w:trPr>
        <w:tc>
          <w:tcPr>
            <w:tcW w:w="468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EUR k</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EUR k</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EUR k</w:t>
            </w:r>
          </w:p>
        </w:tc>
      </w:tr>
      <w:tr>
        <w:trPr>
          <w:trHeight w:val="25"/>
        </w:trPr>
        <w:tc>
          <w:tcPr>
            <w:tcW w:w="4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7"/>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463</w:t>
            </w: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5,476</w:t>
            </w: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15,690</w:t>
            </w:r>
          </w:p>
        </w:tc>
      </w:tr>
      <w:tr>
        <w:trPr>
          <w:trHeight w:val="257"/>
        </w:trPr>
        <w:tc>
          <w:tcPr>
            <w:tcW w:w="4680" w:type="dxa"/>
            <w:vAlign w:val="bottom"/>
          </w:tcPr>
          <w:p>
            <w:pPr>
              <w:spacing w:after="0"/>
              <w:rPr>
                <w:sz w:val="20"/>
                <w:szCs w:val="20"/>
                <w:color w:val="auto"/>
              </w:rPr>
            </w:pPr>
            <w:r>
              <w:rPr>
                <w:rFonts w:ascii="Arial" w:cs="Arial" w:eastAsia="Arial" w:hAnsi="Arial"/>
                <w:sz w:val="18"/>
                <w:szCs w:val="18"/>
                <w:color w:val="auto"/>
              </w:rPr>
              <w:t>Contract assets</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9"/>
              <w:spacing w:after="0"/>
              <w:rPr>
                <w:sz w:val="20"/>
                <w:szCs w:val="20"/>
                <w:color w:val="auto"/>
              </w:rPr>
            </w:pPr>
            <w:r>
              <w:rPr>
                <w:rFonts w:ascii="Arial" w:cs="Arial" w:eastAsia="Arial" w:hAnsi="Arial"/>
                <w:sz w:val="18"/>
                <w:szCs w:val="18"/>
                <w:color w:val="auto"/>
              </w:rPr>
              <w:t>1,382</w:t>
            </w:r>
          </w:p>
        </w:tc>
        <w:tc>
          <w:tcPr>
            <w:tcW w:w="220" w:type="dxa"/>
            <w:vAlign w:val="bottom"/>
          </w:tcPr>
          <w:p>
            <w:pPr>
              <w:spacing w:after="0"/>
              <w:rPr>
                <w:sz w:val="22"/>
                <w:szCs w:val="22"/>
                <w:color w:val="auto"/>
              </w:rPr>
            </w:pPr>
          </w:p>
        </w:tc>
        <w:tc>
          <w:tcPr>
            <w:tcW w:w="840" w:type="dxa"/>
            <w:vAlign w:val="bottom"/>
          </w:tcPr>
          <w:p>
            <w:pPr>
              <w:jc w:val="right"/>
              <w:ind w:right="99"/>
              <w:spacing w:after="0"/>
              <w:rPr>
                <w:sz w:val="20"/>
                <w:szCs w:val="20"/>
                <w:color w:val="auto"/>
              </w:rPr>
            </w:pPr>
            <w:r>
              <w:rPr>
                <w:rFonts w:ascii="Arial" w:cs="Arial" w:eastAsia="Arial" w:hAnsi="Arial"/>
                <w:sz w:val="18"/>
                <w:szCs w:val="18"/>
                <w:color w:val="auto"/>
              </w:rPr>
              <w:t>1,463</w:t>
            </w:r>
          </w:p>
        </w:tc>
      </w:tr>
      <w:tr>
        <w:trPr>
          <w:trHeight w:val="25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69,220</w:t>
            </w: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70,360</w:t>
            </w: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73,521</w:t>
            </w:r>
          </w:p>
        </w:tc>
      </w:tr>
    </w:tbl>
    <w:p>
      <w:pPr>
        <w:spacing w:after="0" w:line="13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Trade receivables are non-interest bearing and are generally settled within 30 to 45 days.</w:t>
      </w:r>
    </w:p>
    <w:p>
      <w:pPr>
        <w:spacing w:after="0" w:line="14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At December 31, 2019, the Group had four collaboration partners (2018: three) that owed 100%</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(2018: two) of all the receivables and contract assets outstanding. There were two collaboration partners</w:t>
      </w:r>
    </w:p>
    <w:p>
      <w:pPr>
        <w:spacing w:after="0" w:line="7" w:lineRule="exact"/>
        <w:rPr>
          <w:sz w:val="20"/>
          <w:szCs w:val="20"/>
          <w:color w:val="auto"/>
        </w:rPr>
      </w:pPr>
    </w:p>
    <w:p>
      <w:pPr>
        <w:ind w:left="1260" w:right="439"/>
        <w:spacing w:after="0" w:line="283" w:lineRule="auto"/>
        <w:rPr>
          <w:sz w:val="20"/>
          <w:szCs w:val="20"/>
          <w:color w:val="auto"/>
        </w:rPr>
      </w:pPr>
      <w:r>
        <w:rPr>
          <w:rFonts w:ascii="Arial" w:cs="Arial" w:eastAsia="Arial" w:hAnsi="Arial"/>
          <w:sz w:val="16"/>
          <w:szCs w:val="16"/>
          <w:color w:val="auto"/>
        </w:rPr>
        <w:t>(2018: two) with balances greater than 10% of the total amounts of receivable and contract assets. Under the terms of the licenses and collaboration agreement with Genmab, CureVac recognized a receivable of USD 10,000k (EUR 8,937k). To mitigate currency risk CureVac entered into a currency forward contract for the</w:t>
      </w:r>
    </w:p>
    <w:p>
      <w:pPr>
        <w:sectPr>
          <w:pgSz w:w="11900" w:h="16838" w:orient="portrait"/>
          <w:cols w:equalWidth="0" w:num="1">
            <w:col w:w="9879"/>
          </w:cols>
          <w:pgMar w:left="580" w:top="131" w:right="1440" w:bottom="1440" w:gutter="0" w:footer="0" w:header="0"/>
        </w:sectPr>
      </w:pPr>
    </w:p>
    <w:p>
      <w:pPr>
        <w:spacing w:after="0" w:line="33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279400</wp:posOffset>
            </wp:positionV>
            <wp:extent cx="6806565" cy="171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53" w:name="page354"/>
    <w:bookmarkEnd w:id="353"/>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519"/>
        <w:spacing w:after="0" w:line="277" w:lineRule="auto"/>
        <w:rPr>
          <w:sz w:val="20"/>
          <w:szCs w:val="20"/>
          <w:color w:val="auto"/>
        </w:rPr>
      </w:pPr>
      <w:r>
        <w:rPr>
          <w:rFonts w:ascii="Arial" w:cs="Arial" w:eastAsia="Arial" w:hAnsi="Arial"/>
          <w:sz w:val="18"/>
          <w:szCs w:val="18"/>
          <w:color w:val="auto"/>
        </w:rPr>
        <w:t>entire value of the receivable. The settlement date of the forward contract is February 7, 2020. CureVac did not apply hedge accounting for this derivative.</w:t>
      </w:r>
    </w:p>
    <w:p>
      <w:pPr>
        <w:spacing w:after="0" w:line="103" w:lineRule="exact"/>
        <w:rPr>
          <w:sz w:val="20"/>
          <w:szCs w:val="20"/>
          <w:color w:val="auto"/>
        </w:rPr>
      </w:pPr>
    </w:p>
    <w:p>
      <w:pPr>
        <w:ind w:left="1260" w:right="719" w:firstLine="648"/>
        <w:spacing w:after="0" w:line="257" w:lineRule="auto"/>
        <w:rPr>
          <w:sz w:val="20"/>
          <w:szCs w:val="20"/>
          <w:color w:val="auto"/>
        </w:rPr>
      </w:pPr>
      <w:r>
        <w:rPr>
          <w:rFonts w:ascii="Arial" w:cs="Arial" w:eastAsia="Arial" w:hAnsi="Arial"/>
          <w:sz w:val="18"/>
          <w:szCs w:val="18"/>
          <w:color w:val="auto"/>
        </w:rPr>
        <w:t>Contract liabilities include advances received from the Group’s major license and collaboration agreements. The outstanding balances of these accounts increased in 2019 and 2018 due to upfront and milestone payments received or receivable of EUR 8,937k and EUR 7,000k, respectively, which were deferred and exceeded the revenues recognized from contract liabilities recorded under the collaboration agreements in each respective year.</w:t>
      </w:r>
    </w:p>
    <w:p>
      <w:pPr>
        <w:spacing w:after="0" w:line="120" w:lineRule="exact"/>
        <w:rPr>
          <w:sz w:val="20"/>
          <w:szCs w:val="20"/>
          <w:color w:val="auto"/>
        </w:rPr>
      </w:pPr>
    </w:p>
    <w:p>
      <w:pPr>
        <w:ind w:left="1260" w:right="859" w:firstLine="648"/>
        <w:spacing w:after="0" w:line="277" w:lineRule="auto"/>
        <w:rPr>
          <w:sz w:val="20"/>
          <w:szCs w:val="20"/>
          <w:color w:val="auto"/>
        </w:rPr>
      </w:pPr>
      <w:r>
        <w:rPr>
          <w:rFonts w:ascii="Arial" w:cs="Arial" w:eastAsia="Arial" w:hAnsi="Arial"/>
          <w:sz w:val="18"/>
          <w:szCs w:val="18"/>
          <w:color w:val="auto"/>
        </w:rPr>
        <w:t>Contract liabilities allocated to the remaining performance obligations (unsatisfied or partially unsatisfied) as at year-end are as follows: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Within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-156210</wp:posOffset>
            </wp:positionV>
            <wp:extent cx="4749165" cy="17145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More than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38100</wp:posOffset>
            </wp:positionV>
            <wp:extent cx="4749165" cy="18859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spacing w:after="0" w:line="76"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8867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00" w:type="dxa"/>
            <w:vAlign w:val="bottom"/>
          </w:tcPr>
          <w:p>
            <w:pPr>
              <w:jc w:val="right"/>
              <w:ind w:right="57"/>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500" w:type="dxa"/>
            <w:vAlign w:val="bottom"/>
          </w:tcPr>
          <w:p>
            <w:pPr>
              <w:jc w:val="right"/>
              <w:ind w:right="57"/>
              <w:spacing w:after="0"/>
              <w:rPr>
                <w:sz w:val="20"/>
                <w:szCs w:val="20"/>
                <w:color w:val="auto"/>
              </w:rPr>
            </w:pPr>
            <w:r>
              <w:rPr>
                <w:rFonts w:ascii="Arial" w:cs="Arial" w:eastAsia="Arial" w:hAnsi="Arial"/>
                <w:sz w:val="14"/>
                <w:szCs w:val="14"/>
                <w:b w:val="1"/>
                <w:bCs w:val="1"/>
                <w:color w:val="auto"/>
              </w:rPr>
              <w:t>2019</w:t>
            </w:r>
          </w:p>
        </w:tc>
      </w:tr>
      <w:tr>
        <w:trPr>
          <w:trHeight w:val="186"/>
        </w:trPr>
        <w:tc>
          <w:tcPr>
            <w:tcW w:w="20" w:type="dxa"/>
            <w:vAlign w:val="bottom"/>
          </w:tcPr>
          <w:p>
            <w:pPr>
              <w:spacing w:after="0"/>
              <w:rPr>
                <w:sz w:val="16"/>
                <w:szCs w:val="16"/>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EUR k</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EUR k</w:t>
            </w:r>
          </w:p>
        </w:tc>
      </w:tr>
      <w:tr>
        <w:trPr>
          <w:trHeight w:val="26"/>
        </w:trPr>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5,777</w:t>
            </w:r>
          </w:p>
        </w:tc>
        <w:tc>
          <w:tcPr>
            <w:tcW w:w="2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7,481</w:t>
            </w:r>
          </w:p>
        </w:tc>
      </w:tr>
      <w:tr>
        <w:trPr>
          <w:trHeight w:val="263"/>
        </w:trPr>
        <w:tc>
          <w:tcPr>
            <w:tcW w:w="20" w:type="dxa"/>
            <w:vAlign w:val="bottom"/>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64,583</w:t>
            </w:r>
          </w:p>
        </w:tc>
        <w:tc>
          <w:tcPr>
            <w:tcW w:w="220" w:type="dxa"/>
            <w:vAlign w:val="bottom"/>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66,040</w:t>
            </w:r>
          </w:p>
        </w:tc>
      </w:tr>
      <w:tr>
        <w:trPr>
          <w:trHeight w:val="263"/>
        </w:trPr>
        <w:tc>
          <w:tcPr>
            <w:tcW w:w="20" w:type="dxa"/>
            <w:vAlign w:val="bottom"/>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70,360</w:t>
            </w:r>
          </w:p>
        </w:tc>
        <w:tc>
          <w:tcPr>
            <w:tcW w:w="220" w:type="dxa"/>
            <w:vAlign w:val="bottom"/>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73,521</w:t>
            </w: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40" w:space="720"/>
            <w:col w:w="2019"/>
          </w:cols>
          <w:pgMar w:left="580" w:top="131" w:right="1440" w:bottom="1440" w:gutter="0" w:footer="0" w:header="0"/>
          <w:type w:val="continuous"/>
        </w:sectPr>
      </w:pPr>
    </w:p>
    <w:p>
      <w:pPr>
        <w:spacing w:after="0" w:line="4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 nature of expenses recognized in the functional categories of the statement of operations are as follows:</w:t>
      </w:r>
    </w:p>
    <w:p>
      <w:pPr>
        <w:spacing w:after="0" w:line="3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3.2 Cost of sales</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cost of sales consists of the following:</w:t>
      </w:r>
    </w:p>
    <w:p>
      <w:pPr>
        <w:spacing w:after="0" w:line="16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560" w:type="dxa"/>
            <w:vAlign w:val="bottom"/>
            <w:gridSpan w:val="2"/>
          </w:tcPr>
          <w:p>
            <w:pPr>
              <w:jc w:val="right"/>
              <w:ind w:right="5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6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6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8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EUR k</w:t>
            </w:r>
          </w:p>
        </w:tc>
        <w:tc>
          <w:tcPr>
            <w:tcW w:w="6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EUR k</w:t>
            </w:r>
          </w:p>
        </w:tc>
        <w:tc>
          <w:tcPr>
            <w:tcW w:w="0" w:type="dxa"/>
            <w:vAlign w:val="bottom"/>
          </w:tcPr>
          <w:p>
            <w:pPr>
              <w:spacing w:after="0"/>
              <w:rPr>
                <w:sz w:val="1"/>
                <w:szCs w:val="1"/>
                <w:color w:val="auto"/>
              </w:rPr>
            </w:pPr>
          </w:p>
        </w:tc>
      </w:tr>
      <w:tr>
        <w:trPr>
          <w:trHeight w:val="25"/>
        </w:trPr>
        <w:tc>
          <w:tcPr>
            <w:tcW w:w="64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60" w:type="dxa"/>
            <w:vAlign w:val="bottom"/>
          </w:tcPr>
          <w:p>
            <w:pPr>
              <w:spacing w:after="0"/>
              <w:rPr>
                <w:sz w:val="22"/>
                <w:szCs w:val="22"/>
                <w:color w:val="auto"/>
              </w:rPr>
            </w:pPr>
          </w:p>
        </w:tc>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Personnel</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(7,703)</w:t>
            </w:r>
          </w:p>
        </w:tc>
        <w:tc>
          <w:tcPr>
            <w:tcW w:w="140" w:type="dxa"/>
            <w:vAlign w:val="bottom"/>
            <w:tcBorders>
              <w:right w:val="single" w:sz="8" w:color="CCEEFF"/>
            </w:tcBorders>
            <w:shd w:val="clear" w:color="auto" w:fill="CCEEFF"/>
          </w:tcPr>
          <w:p>
            <w:pPr>
              <w:spacing w:after="0"/>
              <w:rPr>
                <w:sz w:val="22"/>
                <w:szCs w:val="2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(9,855)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80" w:type="dxa"/>
            <w:vAlign w:val="bottom"/>
            <w:gridSpan w:val="2"/>
          </w:tcPr>
          <w:p>
            <w:pPr>
              <w:ind w:left="360"/>
              <w:spacing w:after="0"/>
              <w:rPr>
                <w:sz w:val="20"/>
                <w:szCs w:val="20"/>
                <w:color w:val="auto"/>
              </w:rPr>
            </w:pPr>
            <w:r>
              <w:rPr>
                <w:rFonts w:ascii="Arial" w:cs="Arial" w:eastAsia="Arial" w:hAnsi="Arial"/>
                <w:sz w:val="18"/>
                <w:szCs w:val="18"/>
                <w:color w:val="auto"/>
              </w:rPr>
              <w:t>Materials</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(4,941)</w:t>
            </w:r>
          </w:p>
        </w:tc>
        <w:tc>
          <w:tcPr>
            <w:tcW w:w="140" w:type="dxa"/>
            <w:vAlign w:val="bottom"/>
          </w:tcPr>
          <w:p>
            <w:pPr>
              <w:spacing w:after="0"/>
              <w:rPr>
                <w:sz w:val="22"/>
                <w:szCs w:val="22"/>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(7,542)</w:t>
            </w:r>
          </w:p>
        </w:tc>
        <w:tc>
          <w:tcPr>
            <w:tcW w:w="0" w:type="dxa"/>
            <w:vAlign w:val="bottom"/>
          </w:tcPr>
          <w:p>
            <w:pPr>
              <w:spacing w:after="0"/>
              <w:rPr>
                <w:sz w:val="1"/>
                <w:szCs w:val="1"/>
                <w:color w:val="auto"/>
              </w:rPr>
            </w:pPr>
          </w:p>
        </w:tc>
      </w:tr>
      <w:tr>
        <w:trPr>
          <w:trHeight w:val="256"/>
        </w:trPr>
        <w:tc>
          <w:tcPr>
            <w:tcW w:w="360" w:type="dxa"/>
            <w:vAlign w:val="bottom"/>
          </w:tcPr>
          <w:p>
            <w:pPr>
              <w:spacing w:after="0"/>
              <w:rPr>
                <w:sz w:val="22"/>
                <w:szCs w:val="22"/>
                <w:color w:val="auto"/>
              </w:rPr>
            </w:pPr>
          </w:p>
        </w:tc>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Third-party services</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(2,340)</w:t>
            </w:r>
          </w:p>
        </w:tc>
        <w:tc>
          <w:tcPr>
            <w:tcW w:w="140" w:type="dxa"/>
            <w:vAlign w:val="bottom"/>
            <w:tcBorders>
              <w:right w:val="single" w:sz="8" w:color="CCEEFF"/>
            </w:tcBorders>
            <w:shd w:val="clear" w:color="auto" w:fill="CCEEFF"/>
          </w:tcPr>
          <w:p>
            <w:pPr>
              <w:spacing w:after="0"/>
              <w:rPr>
                <w:sz w:val="22"/>
                <w:szCs w:val="2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(7,268)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80" w:type="dxa"/>
            <w:vAlign w:val="bottom"/>
            <w:gridSpan w:val="2"/>
          </w:tcPr>
          <w:p>
            <w:pPr>
              <w:ind w:left="360"/>
              <w:spacing w:after="0"/>
              <w:rPr>
                <w:sz w:val="20"/>
                <w:szCs w:val="20"/>
                <w:color w:val="auto"/>
              </w:rPr>
            </w:pPr>
            <w:r>
              <w:rPr>
                <w:rFonts w:ascii="Arial" w:cs="Arial" w:eastAsia="Arial" w:hAnsi="Arial"/>
                <w:sz w:val="18"/>
                <w:szCs w:val="18"/>
                <w:color w:val="auto"/>
              </w:rPr>
              <w:t>Maintenance and lease</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(1,758)</w:t>
            </w:r>
          </w:p>
        </w:tc>
        <w:tc>
          <w:tcPr>
            <w:tcW w:w="140" w:type="dxa"/>
            <w:vAlign w:val="bottom"/>
          </w:tcPr>
          <w:p>
            <w:pPr>
              <w:spacing w:after="0"/>
              <w:rPr>
                <w:sz w:val="22"/>
                <w:szCs w:val="22"/>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56"/>
        </w:trPr>
        <w:tc>
          <w:tcPr>
            <w:tcW w:w="360" w:type="dxa"/>
            <w:vAlign w:val="bottom"/>
          </w:tcPr>
          <w:p>
            <w:pPr>
              <w:spacing w:after="0"/>
              <w:rPr>
                <w:sz w:val="22"/>
                <w:szCs w:val="22"/>
                <w:color w:val="auto"/>
              </w:rPr>
            </w:pPr>
          </w:p>
        </w:tc>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and depreciation</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(893)</w:t>
            </w:r>
          </w:p>
        </w:tc>
        <w:tc>
          <w:tcPr>
            <w:tcW w:w="140" w:type="dxa"/>
            <w:vAlign w:val="bottom"/>
            <w:tcBorders>
              <w:right w:val="single" w:sz="8" w:color="CCEEFF"/>
            </w:tcBorders>
            <w:shd w:val="clear" w:color="auto" w:fill="CCEEFF"/>
          </w:tcPr>
          <w:p>
            <w:pPr>
              <w:spacing w:after="0"/>
              <w:rPr>
                <w:sz w:val="22"/>
                <w:szCs w:val="2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(2,038)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Other</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22"/>
                <w:szCs w:val="22"/>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1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9"/>
              </w:rPr>
              <w:t>(17,744)</w:t>
            </w:r>
          </w:p>
        </w:tc>
        <w:tc>
          <w:tcPr>
            <w:tcW w:w="140" w:type="dxa"/>
            <w:vAlign w:val="bottom"/>
            <w:tcBorders>
              <w:right w:val="single" w:sz="8" w:color="CCEEFF"/>
            </w:tcBorders>
            <w:shd w:val="clear" w:color="auto" w:fill="CCEEFF"/>
          </w:tcPr>
          <w:p>
            <w:pPr>
              <w:spacing w:after="0"/>
              <w:rPr>
                <w:sz w:val="22"/>
                <w:szCs w:val="2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0"/>
              </w:rPr>
              <w:t>(27,983)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1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3.3 Selling and distribution expenses</w:t>
            </w: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64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6120" w:type="dxa"/>
            <w:vAlign w:val="bottom"/>
          </w:tcPr>
          <w:p>
            <w:pPr>
              <w:ind w:left="280"/>
              <w:spacing w:after="0"/>
              <w:rPr>
                <w:sz w:val="20"/>
                <w:szCs w:val="20"/>
                <w:color w:val="auto"/>
              </w:rPr>
            </w:pPr>
            <w:r>
              <w:rPr>
                <w:rFonts w:ascii="Arial" w:cs="Arial" w:eastAsia="Arial" w:hAnsi="Arial"/>
                <w:sz w:val="18"/>
                <w:szCs w:val="18"/>
                <w:color w:val="auto"/>
              </w:rPr>
              <w:t>Selling and distribution expenses consist of the following:</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36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6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6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EUR k</w:t>
            </w:r>
          </w:p>
        </w:tc>
        <w:tc>
          <w:tcPr>
            <w:tcW w:w="100" w:type="dxa"/>
            <w:vAlign w:val="bottom"/>
          </w:tcPr>
          <w:p>
            <w:pPr>
              <w:spacing w:after="0"/>
              <w:rPr>
                <w:sz w:val="17"/>
                <w:szCs w:val="17"/>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6"/>
              </w:rPr>
              <w:t>EUR k</w:t>
            </w:r>
          </w:p>
        </w:tc>
        <w:tc>
          <w:tcPr>
            <w:tcW w:w="0" w:type="dxa"/>
            <w:vAlign w:val="bottom"/>
          </w:tcPr>
          <w:p>
            <w:pPr>
              <w:spacing w:after="0"/>
              <w:rPr>
                <w:sz w:val="1"/>
                <w:szCs w:val="1"/>
                <w:color w:val="auto"/>
              </w:rPr>
            </w:pPr>
          </w:p>
        </w:tc>
      </w:tr>
      <w:tr>
        <w:trPr>
          <w:trHeight w:val="25"/>
        </w:trPr>
        <w:tc>
          <w:tcPr>
            <w:tcW w:w="64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60" w:type="dxa"/>
            <w:vAlign w:val="bottom"/>
          </w:tcPr>
          <w:p>
            <w:pPr>
              <w:spacing w:after="0"/>
              <w:rPr>
                <w:sz w:val="22"/>
                <w:szCs w:val="22"/>
                <w:color w:val="auto"/>
              </w:rPr>
            </w:pPr>
          </w:p>
        </w:tc>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Personnel</w:t>
            </w:r>
          </w:p>
        </w:tc>
        <w:tc>
          <w:tcPr>
            <w:tcW w:w="800" w:type="dxa"/>
            <w:vAlign w:val="bottom"/>
            <w:tcBorders>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(581)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(1,263)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480" w:type="dxa"/>
            <w:vAlign w:val="bottom"/>
            <w:gridSpan w:val="2"/>
          </w:tcPr>
          <w:p>
            <w:pPr>
              <w:ind w:left="360"/>
              <w:spacing w:after="0"/>
              <w:rPr>
                <w:sz w:val="20"/>
                <w:szCs w:val="20"/>
                <w:color w:val="auto"/>
              </w:rPr>
            </w:pPr>
            <w:r>
              <w:rPr>
                <w:rFonts w:ascii="Arial" w:cs="Arial" w:eastAsia="Arial" w:hAnsi="Arial"/>
                <w:sz w:val="18"/>
                <w:szCs w:val="18"/>
                <w:color w:val="auto"/>
              </w:rPr>
              <w:t>Maintenance and lease costs</w:t>
            </w:r>
          </w:p>
        </w:tc>
        <w:tc>
          <w:tcPr>
            <w:tcW w:w="800" w:type="dxa"/>
            <w:vAlign w:val="bottom"/>
            <w:gridSpan w:val="4"/>
          </w:tcPr>
          <w:p>
            <w:pPr>
              <w:jc w:val="right"/>
              <w:ind w:right="80"/>
              <w:spacing w:after="0"/>
              <w:rPr>
                <w:sz w:val="20"/>
                <w:szCs w:val="20"/>
                <w:color w:val="auto"/>
              </w:rPr>
            </w:pPr>
            <w:r>
              <w:rPr>
                <w:rFonts w:ascii="Arial" w:cs="Arial" w:eastAsia="Arial" w:hAnsi="Arial"/>
                <w:sz w:val="18"/>
                <w:szCs w:val="18"/>
                <w:color w:val="auto"/>
              </w:rPr>
              <w:t>(300)</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and depreciation</w:t>
            </w:r>
          </w:p>
        </w:tc>
        <w:tc>
          <w:tcPr>
            <w:tcW w:w="800" w:type="dxa"/>
            <w:vAlign w:val="bottom"/>
            <w:tcBorders>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(95)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2"/>
                <w:szCs w:val="22"/>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(109)</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1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shd w:val="clear" w:color="auto" w:fill="CCEEFF"/>
          </w:tcPr>
          <w:p>
            <w:pPr>
              <w:spacing w:after="0"/>
              <w:rPr>
                <w:sz w:val="22"/>
                <w:szCs w:val="22"/>
                <w:color w:val="auto"/>
              </w:rPr>
            </w:pPr>
          </w:p>
        </w:tc>
        <w:tc>
          <w:tcPr>
            <w:tcW w:w="62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1"/>
              </w:rPr>
              <w:t>(1,085)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(1,755)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-2022475</wp:posOffset>
            </wp:positionV>
            <wp:extent cx="438912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438912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-205105</wp:posOffset>
            </wp:positionV>
            <wp:extent cx="444881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4448810" cy="8255"/>
                    </a:xfrm>
                    <a:prstGeom prst="rect">
                      <a:avLst/>
                    </a:prstGeom>
                    <a:noFill/>
                  </pic:spPr>
                </pic:pic>
              </a:graphicData>
            </a:graphic>
          </wp:anchor>
        </w:drawing>
      </w:r>
    </w:p>
    <w:p>
      <w:pPr>
        <w:spacing w:after="0" w:line="222"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Personnel expenses mainly include salary and salary-related expenses of EUR 520k (2018: 581k)</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and expenses from share-based payments of EUR 743k (2018: 0k). Refer to Note 9 for further information.</w:t>
      </w:r>
    </w:p>
    <w:p>
      <w:pPr>
        <w:spacing w:after="0" w:line="39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54" w:name="page355"/>
    <w:bookmarkEnd w:id="354"/>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3.4 Research and development expenses</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R&amp;D expenses consists of the following:</w:t>
      </w:r>
    </w:p>
    <w:p>
      <w:pPr>
        <w:spacing w:after="0" w:line="163"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6"/>
                <w:szCs w:val="16"/>
                <w:color w:val="auto"/>
              </w:rPr>
            </w:pPr>
          </w:p>
        </w:tc>
        <w:tc>
          <w:tcPr>
            <w:tcW w:w="560" w:type="dxa"/>
            <w:vAlign w:val="bottom"/>
          </w:tcPr>
          <w:p>
            <w:pPr>
              <w:jc w:val="right"/>
              <w:ind w:right="7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r>
      <w:tr>
        <w:trPr>
          <w:trHeight w:val="26"/>
        </w:trPr>
        <w:tc>
          <w:tcPr>
            <w:tcW w:w="6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7"/>
        </w:trPr>
        <w:tc>
          <w:tcPr>
            <w:tcW w:w="6120" w:type="dxa"/>
            <w:vAlign w:val="bottom"/>
          </w:tcPr>
          <w:p>
            <w:pPr>
              <w:spacing w:after="0"/>
              <w:rPr>
                <w:sz w:val="17"/>
                <w:szCs w:val="17"/>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EUR k</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EUR k</w:t>
            </w:r>
          </w:p>
        </w:tc>
      </w:tr>
      <w:tr>
        <w:trPr>
          <w:trHeight w:val="26"/>
        </w:trPr>
        <w:tc>
          <w:tcPr>
            <w:tcW w:w="6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r>
      <w:tr>
        <w:trPr>
          <w:trHeight w:val="257"/>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Materials</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(5,867)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(4,015)</w:t>
            </w:r>
          </w:p>
        </w:tc>
        <w:tc>
          <w:tcPr>
            <w:tcW w:w="60" w:type="dxa"/>
            <w:vAlign w:val="bottom"/>
          </w:tcPr>
          <w:p>
            <w:pPr>
              <w:spacing w:after="0"/>
              <w:rPr>
                <w:sz w:val="22"/>
                <w:szCs w:val="22"/>
                <w:color w:val="auto"/>
              </w:rPr>
            </w:pPr>
          </w:p>
        </w:tc>
      </w:tr>
      <w:tr>
        <w:trPr>
          <w:trHeight w:val="257"/>
        </w:trPr>
        <w:tc>
          <w:tcPr>
            <w:tcW w:w="6120" w:type="dxa"/>
            <w:vAlign w:val="bottom"/>
          </w:tcPr>
          <w:p>
            <w:pPr>
              <w:spacing w:after="0"/>
              <w:rPr>
                <w:sz w:val="20"/>
                <w:szCs w:val="20"/>
                <w:color w:val="auto"/>
              </w:rPr>
            </w:pPr>
            <w:r>
              <w:rPr>
                <w:rFonts w:ascii="Arial" w:cs="Arial" w:eastAsia="Arial" w:hAnsi="Arial"/>
                <w:sz w:val="18"/>
                <w:szCs w:val="18"/>
                <w:color w:val="auto"/>
              </w:rPr>
              <w:t>Personnel</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(7,565)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(14,385)</w:t>
            </w:r>
          </w:p>
        </w:tc>
      </w:tr>
      <w:tr>
        <w:trPr>
          <w:trHeight w:val="257"/>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and depreciation</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60" w:type="dxa"/>
            <w:vAlign w:val="bottom"/>
          </w:tcPr>
          <w:p>
            <w:pPr>
              <w:spacing w:after="0"/>
              <w:rPr>
                <w:sz w:val="22"/>
                <w:szCs w:val="22"/>
                <w:color w:val="auto"/>
              </w:rPr>
            </w:pPr>
          </w:p>
        </w:tc>
      </w:tr>
      <w:tr>
        <w:trPr>
          <w:trHeight w:val="256"/>
        </w:trPr>
        <w:tc>
          <w:tcPr>
            <w:tcW w:w="6120" w:type="dxa"/>
            <w:vAlign w:val="bottom"/>
          </w:tcPr>
          <w:p>
            <w:pPr>
              <w:spacing w:after="0"/>
              <w:rPr>
                <w:sz w:val="20"/>
                <w:szCs w:val="20"/>
                <w:color w:val="auto"/>
              </w:rPr>
            </w:pPr>
            <w:r>
              <w:rPr>
                <w:rFonts w:ascii="Arial" w:cs="Arial" w:eastAsia="Arial" w:hAnsi="Arial"/>
                <w:sz w:val="18"/>
                <w:szCs w:val="18"/>
                <w:color w:val="auto"/>
              </w:rPr>
              <w:t>Patents and fees to register a legal right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(4,847)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(4,551)</w:t>
            </w:r>
          </w:p>
        </w:tc>
      </w:tr>
      <w:tr>
        <w:trPr>
          <w:trHeight w:val="257"/>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Third-party services</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(19,921)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(18,626)</w:t>
            </w:r>
          </w:p>
        </w:tc>
        <w:tc>
          <w:tcPr>
            <w:tcW w:w="60" w:type="dxa"/>
            <w:vAlign w:val="bottom"/>
          </w:tcPr>
          <w:p>
            <w:pPr>
              <w:spacing w:after="0"/>
              <w:rPr>
                <w:sz w:val="22"/>
                <w:szCs w:val="22"/>
                <w:color w:val="auto"/>
              </w:rPr>
            </w:pPr>
          </w:p>
        </w:tc>
      </w:tr>
      <w:tr>
        <w:trPr>
          <w:trHeight w:val="257"/>
        </w:trPr>
        <w:tc>
          <w:tcPr>
            <w:tcW w:w="6120" w:type="dxa"/>
            <w:vAlign w:val="bottom"/>
          </w:tcPr>
          <w:p>
            <w:pPr>
              <w:spacing w:after="0"/>
              <w:rPr>
                <w:sz w:val="20"/>
                <w:szCs w:val="20"/>
                <w:color w:val="auto"/>
              </w:rPr>
            </w:pPr>
            <w:r>
              <w:rPr>
                <w:rFonts w:ascii="Arial" w:cs="Arial" w:eastAsia="Arial" w:hAnsi="Arial"/>
                <w:sz w:val="18"/>
                <w:szCs w:val="18"/>
                <w:color w:val="auto"/>
              </w:rPr>
              <w:t>Maintenance and lease</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(1,156)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(670)</w:t>
            </w:r>
          </w:p>
        </w:tc>
      </w:tr>
      <w:tr>
        <w:trPr>
          <w:trHeight w:val="263"/>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60" w:type="dxa"/>
            <w:vAlign w:val="bottom"/>
          </w:tcPr>
          <w:p>
            <w:pPr>
              <w:spacing w:after="0"/>
              <w:rPr>
                <w:sz w:val="22"/>
                <w:szCs w:val="22"/>
                <w:color w:val="auto"/>
              </w:rPr>
            </w:pPr>
          </w:p>
        </w:tc>
      </w:tr>
      <w:tr>
        <w:trPr>
          <w:trHeight w:val="20"/>
        </w:trPr>
        <w:tc>
          <w:tcPr>
            <w:tcW w:w="61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61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9"/>
              </w:rPr>
              <w:t>(41,722)</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(43,242)</w:t>
            </w:r>
          </w:p>
        </w:tc>
      </w:tr>
      <w:tr>
        <w:trPr>
          <w:trHeight w:val="20"/>
        </w:trPr>
        <w:tc>
          <w:tcPr>
            <w:tcW w:w="6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60" w:right="419" w:firstLine="648"/>
        <w:spacing w:after="0" w:line="248" w:lineRule="auto"/>
        <w:rPr>
          <w:sz w:val="20"/>
          <w:szCs w:val="20"/>
          <w:color w:val="auto"/>
        </w:rPr>
      </w:pPr>
      <w:r>
        <w:rPr>
          <w:rFonts w:ascii="Arial" w:cs="Arial" w:eastAsia="Arial" w:hAnsi="Arial"/>
          <w:sz w:val="18"/>
          <w:szCs w:val="18"/>
          <w:color w:val="auto"/>
        </w:rPr>
        <w:t>Personnel expenses mainly include salary and salary-related expenses of EUR 14,127k (2018: 11,806k); additionally, in 2018, it includes a EUR 4,241k benefit recognized upon reversal of provisions due to expiration of certain virtual shares awarded under our Prior VSOP (see Note 9).</w:t>
      </w:r>
    </w:p>
    <w:p>
      <w:pPr>
        <w:spacing w:after="0" w:line="101" w:lineRule="exact"/>
        <w:rPr>
          <w:sz w:val="20"/>
          <w:szCs w:val="20"/>
          <w:color w:val="auto"/>
        </w:rPr>
      </w:pPr>
    </w:p>
    <w:p>
      <w:pPr>
        <w:ind w:left="1260" w:right="479" w:firstLine="648"/>
        <w:spacing w:after="0" w:line="261" w:lineRule="auto"/>
        <w:rPr>
          <w:sz w:val="20"/>
          <w:szCs w:val="20"/>
          <w:color w:val="auto"/>
        </w:rPr>
      </w:pPr>
      <w:r>
        <w:rPr>
          <w:rFonts w:ascii="Arial" w:cs="Arial" w:eastAsia="Arial" w:hAnsi="Arial"/>
          <w:sz w:val="18"/>
          <w:szCs w:val="18"/>
          <w:color w:val="auto"/>
        </w:rPr>
        <w:t>Third-party services mainly relate to research services provided by third-party laboratories, clinical services and R&amp;D consulting services.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3.5 General and administrative expenses</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General and administrative expenses include the following:</w:t>
      </w:r>
    </w:p>
    <w:p>
      <w:pPr>
        <w:spacing w:after="0" w:line="163"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6"/>
                <w:szCs w:val="16"/>
                <w:color w:val="auto"/>
              </w:rPr>
            </w:pPr>
          </w:p>
        </w:tc>
        <w:tc>
          <w:tcPr>
            <w:tcW w:w="560" w:type="dxa"/>
            <w:vAlign w:val="bottom"/>
          </w:tcPr>
          <w:p>
            <w:pPr>
              <w:jc w:val="right"/>
              <w:ind w:right="7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r>
      <w:tr>
        <w:trPr>
          <w:trHeight w:val="25"/>
        </w:trPr>
        <w:tc>
          <w:tcPr>
            <w:tcW w:w="6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6120" w:type="dxa"/>
            <w:vAlign w:val="bottom"/>
          </w:tcPr>
          <w:p>
            <w:pPr>
              <w:spacing w:after="0"/>
              <w:rPr>
                <w:sz w:val="17"/>
                <w:szCs w:val="17"/>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EUR k</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EUR k</w:t>
            </w:r>
          </w:p>
        </w:tc>
      </w:tr>
      <w:tr>
        <w:trPr>
          <w:trHeight w:val="25"/>
        </w:trPr>
        <w:tc>
          <w:tcPr>
            <w:tcW w:w="6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r>
      <w:tr>
        <w:trPr>
          <w:trHeight w:val="256"/>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Personnel</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(10,084)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(31,645)</w:t>
            </w:r>
          </w:p>
        </w:tc>
        <w:tc>
          <w:tcPr>
            <w:tcW w:w="60" w:type="dxa"/>
            <w:vAlign w:val="bottom"/>
          </w:tcPr>
          <w:p>
            <w:pPr>
              <w:spacing w:after="0"/>
              <w:rPr>
                <w:sz w:val="22"/>
                <w:szCs w:val="22"/>
                <w:color w:val="auto"/>
              </w:rPr>
            </w:pPr>
          </w:p>
        </w:tc>
      </w:tr>
      <w:tr>
        <w:trPr>
          <w:trHeight w:val="257"/>
        </w:trPr>
        <w:tc>
          <w:tcPr>
            <w:tcW w:w="6120" w:type="dxa"/>
            <w:vAlign w:val="bottom"/>
          </w:tcPr>
          <w:p>
            <w:pPr>
              <w:spacing w:after="0"/>
              <w:rPr>
                <w:sz w:val="20"/>
                <w:szCs w:val="20"/>
                <w:color w:val="auto"/>
              </w:rPr>
            </w:pPr>
            <w:r>
              <w:rPr>
                <w:rFonts w:ascii="Arial" w:cs="Arial" w:eastAsia="Arial" w:hAnsi="Arial"/>
                <w:sz w:val="18"/>
                <w:szCs w:val="18"/>
                <w:color w:val="auto"/>
              </w:rPr>
              <w:t>Maintenance and lease costs</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(3,239)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(4,604)</w:t>
            </w:r>
          </w:p>
        </w:tc>
      </w:tr>
      <w:tr>
        <w:trPr>
          <w:trHeight w:val="256"/>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Third-party services</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(5,970)</w:t>
            </w:r>
          </w:p>
        </w:tc>
        <w:tc>
          <w:tcPr>
            <w:tcW w:w="60" w:type="dxa"/>
            <w:vAlign w:val="bottom"/>
          </w:tcPr>
          <w:p>
            <w:pPr>
              <w:spacing w:after="0"/>
              <w:rPr>
                <w:sz w:val="22"/>
                <w:szCs w:val="22"/>
                <w:color w:val="auto"/>
              </w:rPr>
            </w:pPr>
          </w:p>
        </w:tc>
      </w:tr>
      <w:tr>
        <w:trPr>
          <w:trHeight w:val="257"/>
        </w:trPr>
        <w:tc>
          <w:tcPr>
            <w:tcW w:w="6120" w:type="dxa"/>
            <w:vAlign w:val="bottom"/>
          </w:tcPr>
          <w:p>
            <w:pPr>
              <w:spacing w:after="0"/>
              <w:rPr>
                <w:sz w:val="20"/>
                <w:szCs w:val="20"/>
                <w:color w:val="auto"/>
              </w:rPr>
            </w:pPr>
            <w:r>
              <w:rPr>
                <w:rFonts w:ascii="Arial" w:cs="Arial" w:eastAsia="Arial" w:hAnsi="Arial"/>
                <w:sz w:val="18"/>
                <w:szCs w:val="18"/>
                <w:color w:val="auto"/>
              </w:rPr>
              <w:t>Legal and other professional services</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(4,078)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(2,110)</w:t>
            </w:r>
          </w:p>
        </w:tc>
      </w:tr>
      <w:tr>
        <w:trPr>
          <w:trHeight w:val="256"/>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and depreciation</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(2,182)</w:t>
            </w:r>
          </w:p>
        </w:tc>
        <w:tc>
          <w:tcPr>
            <w:tcW w:w="60" w:type="dxa"/>
            <w:vAlign w:val="bottom"/>
          </w:tcPr>
          <w:p>
            <w:pPr>
              <w:spacing w:after="0"/>
              <w:rPr>
                <w:sz w:val="22"/>
                <w:szCs w:val="22"/>
                <w:color w:val="auto"/>
              </w:rPr>
            </w:pPr>
          </w:p>
        </w:tc>
      </w:tr>
      <w:tr>
        <w:trPr>
          <w:trHeight w:val="263"/>
        </w:trPr>
        <w:tc>
          <w:tcPr>
            <w:tcW w:w="6120" w:type="dxa"/>
            <w:vAlign w:val="bottom"/>
          </w:tcPr>
          <w:p>
            <w:pPr>
              <w:spacing w:after="0"/>
              <w:rPr>
                <w:sz w:val="20"/>
                <w:szCs w:val="20"/>
                <w:color w:val="auto"/>
              </w:rPr>
            </w:pPr>
            <w:r>
              <w:rPr>
                <w:rFonts w:ascii="Arial" w:cs="Arial" w:eastAsia="Arial" w:hAnsi="Arial"/>
                <w:sz w:val="18"/>
                <w:szCs w:val="18"/>
                <w:color w:val="auto"/>
              </w:rPr>
              <w:t>Other</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(2,247)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(2,458)</w:t>
            </w:r>
          </w:p>
        </w:tc>
      </w:tr>
      <w:tr>
        <w:trPr>
          <w:trHeight w:val="20"/>
        </w:trPr>
        <w:tc>
          <w:tcPr>
            <w:tcW w:w="61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9"/>
              </w:rPr>
              <w:t>(25,289)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0"/>
              </w:rPr>
              <w:t>(48,969)</w:t>
            </w:r>
          </w:p>
        </w:tc>
        <w:tc>
          <w:tcPr>
            <w:tcW w:w="60" w:type="dxa"/>
            <w:vAlign w:val="bottom"/>
          </w:tcPr>
          <w:p>
            <w:pPr>
              <w:spacing w:after="0"/>
              <w:rPr>
                <w:sz w:val="22"/>
                <w:szCs w:val="22"/>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-205105</wp:posOffset>
            </wp:positionV>
            <wp:extent cx="438912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4389120" cy="8890"/>
                    </a:xfrm>
                    <a:prstGeom prst="rect">
                      <a:avLst/>
                    </a:prstGeom>
                    <a:noFill/>
                  </pic:spPr>
                </pic:pic>
              </a:graphicData>
            </a:graphic>
          </wp:anchor>
        </w:drawing>
      </w:r>
    </w:p>
    <w:p>
      <w:pPr>
        <w:spacing w:after="0" w:line="195" w:lineRule="exact"/>
        <w:rPr>
          <w:sz w:val="20"/>
          <w:szCs w:val="20"/>
          <w:color w:val="auto"/>
        </w:rPr>
      </w:pPr>
    </w:p>
    <w:p>
      <w:pPr>
        <w:ind w:left="1260" w:right="719" w:firstLine="648"/>
        <w:spacing w:after="0" w:line="270" w:lineRule="auto"/>
        <w:rPr>
          <w:sz w:val="20"/>
          <w:szCs w:val="20"/>
          <w:color w:val="auto"/>
        </w:rPr>
      </w:pPr>
      <w:r>
        <w:rPr>
          <w:rFonts w:ascii="Arial" w:cs="Arial" w:eastAsia="Arial" w:hAnsi="Arial"/>
          <w:sz w:val="17"/>
          <w:szCs w:val="17"/>
          <w:color w:val="auto"/>
        </w:rPr>
        <w:t>Personnel expenses mainly include salary and salary-related expenses of EUR 13,083k (2018: 10,105k) and expenses from share-based payments of EUR 18,562k (2018: 0k). Other mainly consists of travel expenses of EUR 811k (2018: 853k) and office materials of EUR 1,647k (2018: 1,394k).</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3.6 Other operating income</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Other operating income relates to:</w:t>
      </w:r>
    </w:p>
    <w:p>
      <w:pPr>
        <w:spacing w:after="0" w:line="163"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r>
      <w:tr>
        <w:trPr>
          <w:trHeight w:val="25"/>
        </w:trPr>
        <w:tc>
          <w:tcPr>
            <w:tcW w:w="6400" w:type="dxa"/>
            <w:vAlign w:val="bottom"/>
          </w:tcPr>
          <w:p>
            <w:pPr>
              <w:spacing w:after="0"/>
              <w:rPr>
                <w:sz w:val="2"/>
                <w:szCs w:val="2"/>
                <w:color w:val="auto"/>
              </w:rPr>
            </w:pPr>
          </w:p>
        </w:tc>
        <w:tc>
          <w:tcPr>
            <w:tcW w:w="44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r>
      <w:tr>
        <w:trPr>
          <w:trHeight w:val="198"/>
        </w:trPr>
        <w:tc>
          <w:tcPr>
            <w:tcW w:w="6400" w:type="dxa"/>
            <w:vAlign w:val="bottom"/>
          </w:tcPr>
          <w:p>
            <w:pPr>
              <w:spacing w:after="0"/>
              <w:rPr>
                <w:sz w:val="17"/>
                <w:szCs w:val="17"/>
                <w:color w:val="auto"/>
              </w:rPr>
            </w:pPr>
          </w:p>
        </w:tc>
        <w:tc>
          <w:tcPr>
            <w:tcW w:w="660" w:type="dxa"/>
            <w:vAlign w:val="bottom"/>
            <w:gridSpan w:val="4"/>
          </w:tcPr>
          <w:p>
            <w:pPr>
              <w:ind w:left="20"/>
              <w:spacing w:after="0"/>
              <w:rPr>
                <w:sz w:val="20"/>
                <w:szCs w:val="20"/>
                <w:color w:val="auto"/>
              </w:rPr>
            </w:pPr>
            <w:r>
              <w:rPr>
                <w:rFonts w:ascii="Arial" w:cs="Arial" w:eastAsia="Arial" w:hAnsi="Arial"/>
                <w:sz w:val="14"/>
                <w:szCs w:val="14"/>
                <w:b w:val="1"/>
                <w:bCs w:val="1"/>
                <w:color w:val="auto"/>
              </w:rPr>
              <w:t>EUR k</w:t>
            </w: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w w:val="96"/>
              </w:rPr>
              <w:t>EUR k</w:t>
            </w:r>
          </w:p>
        </w:tc>
      </w:tr>
      <w:tr>
        <w:trPr>
          <w:trHeight w:val="25"/>
        </w:trPr>
        <w:tc>
          <w:tcPr>
            <w:tcW w:w="6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Grants and other cost reimbursements from government agencies and similar</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44"/>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bodies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5,385</w:t>
            </w:r>
          </w:p>
        </w:tc>
        <w:tc>
          <w:tcPr>
            <w:tcW w:w="20" w:type="dxa"/>
            <w:vAlign w:val="bottom"/>
            <w:shd w:val="clear" w:color="auto" w:fill="CCEEFF"/>
          </w:tcPr>
          <w:p>
            <w:pPr>
              <w:spacing w:after="0"/>
              <w:rPr>
                <w:sz w:val="21"/>
                <w:szCs w:val="21"/>
                <w:color w:val="auto"/>
              </w:rPr>
            </w:pPr>
          </w:p>
        </w:tc>
      </w:tr>
      <w:tr>
        <w:trPr>
          <w:trHeight w:val="263"/>
        </w:trPr>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0" w:type="dxa"/>
            <w:vAlign w:val="bottom"/>
            <w:tcBorders>
              <w:bottom w:val="single" w:sz="8" w:color="CCEEFF"/>
            </w:tcBorders>
          </w:tcPr>
          <w:p>
            <w:pPr>
              <w:spacing w:after="0"/>
              <w:rPr>
                <w:sz w:val="22"/>
                <w:szCs w:val="22"/>
                <w:color w:val="auto"/>
              </w:rPr>
            </w:pPr>
          </w:p>
        </w:tc>
      </w:tr>
      <w:tr>
        <w:trPr>
          <w:trHeight w:val="264"/>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808</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5,587</w:t>
            </w:r>
          </w:p>
        </w:tc>
        <w:tc>
          <w:tcPr>
            <w:tcW w:w="20" w:type="dxa"/>
            <w:vAlign w:val="bottom"/>
            <w:shd w:val="clear" w:color="auto" w:fill="CCEEFF"/>
          </w:tcPr>
          <w:p>
            <w:pPr>
              <w:spacing w:after="0"/>
              <w:rPr>
                <w:sz w:val="22"/>
                <w:szCs w:val="22"/>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-205105</wp:posOffset>
            </wp:positionV>
            <wp:extent cx="474916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209" w:lineRule="exact"/>
        <w:rPr>
          <w:sz w:val="20"/>
          <w:szCs w:val="20"/>
          <w:color w:val="auto"/>
        </w:rPr>
      </w:pPr>
    </w:p>
    <w:p>
      <w:pPr>
        <w:ind w:left="1260" w:right="619" w:firstLine="648"/>
        <w:spacing w:after="0" w:line="261" w:lineRule="auto"/>
        <w:rPr>
          <w:sz w:val="20"/>
          <w:szCs w:val="20"/>
          <w:color w:val="auto"/>
        </w:rPr>
      </w:pPr>
      <w:r>
        <w:rPr>
          <w:rFonts w:ascii="Arial" w:cs="Arial" w:eastAsia="Arial" w:hAnsi="Arial"/>
          <w:sz w:val="18"/>
          <w:szCs w:val="18"/>
          <w:color w:val="auto"/>
        </w:rPr>
        <w:t>In 2019 and 2018 income from grants with government agencies and similar bodies resulted from the following:</w:t>
      </w:r>
    </w:p>
    <w:p>
      <w:pPr>
        <w:sectPr>
          <w:pgSz w:w="11900" w:h="16838" w:orient="portrait"/>
          <w:cols w:equalWidth="0" w:num="1">
            <w:col w:w="9879"/>
          </w:cols>
          <w:pgMar w:left="580" w:top="131" w:right="1440" w:bottom="1440" w:gutter="0" w:footer="0" w:header="0"/>
        </w:sectPr>
      </w:pPr>
    </w:p>
    <w:p>
      <w:pPr>
        <w:spacing w:after="0" w:line="34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55" w:name="page356"/>
    <w:bookmarkEnd w:id="355"/>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Coalition for Epidemic Preparedness Innovations</w:t>
      </w:r>
    </w:p>
    <w:p>
      <w:pPr>
        <w:spacing w:after="0" w:line="162" w:lineRule="exact"/>
        <w:rPr>
          <w:sz w:val="20"/>
          <w:szCs w:val="20"/>
          <w:color w:val="auto"/>
        </w:rPr>
      </w:pPr>
    </w:p>
    <w:p>
      <w:pPr>
        <w:ind w:left="1260" w:right="519" w:firstLine="648"/>
        <w:spacing w:after="0" w:line="255" w:lineRule="auto"/>
        <w:rPr>
          <w:sz w:val="20"/>
          <w:szCs w:val="20"/>
          <w:color w:val="auto"/>
        </w:rPr>
      </w:pPr>
      <w:r>
        <w:rPr>
          <w:rFonts w:ascii="Arial" w:cs="Arial" w:eastAsia="Arial" w:hAnsi="Arial"/>
          <w:sz w:val="18"/>
          <w:szCs w:val="18"/>
          <w:color w:val="auto"/>
        </w:rPr>
        <w:t>The Coalition for Epidemic Preparedness Innovations (CEPI) is an innovative partnership between public, private, philanthropic, and civil organizations, launched at the World Economic Forum in Davos in 2017, to develop vaccines to stop future epidemics. CEPI’s priority diseases include Ebola virus, Lassa virus, Middle East Respiratory Syndrome coronavirus, Nipah virus, Rift Valley Fever and Chikungunya virus. CEPI also invests in platform technologies that can be used for rapid vaccine and immunoprophylactic development against unknown pathogens (i.e., Disease X).</w:t>
      </w:r>
    </w:p>
    <w:p>
      <w:pPr>
        <w:spacing w:after="0" w:line="125" w:lineRule="exact"/>
        <w:rPr>
          <w:sz w:val="20"/>
          <w:szCs w:val="20"/>
          <w:color w:val="auto"/>
        </w:rPr>
      </w:pPr>
    </w:p>
    <w:p>
      <w:pPr>
        <w:ind w:left="1260" w:right="479" w:firstLine="648"/>
        <w:spacing w:after="0" w:line="268" w:lineRule="auto"/>
        <w:rPr>
          <w:sz w:val="20"/>
          <w:szCs w:val="20"/>
          <w:color w:val="auto"/>
        </w:rPr>
      </w:pPr>
      <w:r>
        <w:rPr>
          <w:rFonts w:ascii="Arial" w:cs="Arial" w:eastAsia="Arial" w:hAnsi="Arial"/>
          <w:sz w:val="17"/>
          <w:szCs w:val="17"/>
          <w:color w:val="auto"/>
        </w:rPr>
        <w:t>In February 2019, CureVac entered into a partnership agreement worth up to USD 34,000k with CEPI to further develop CureVac’s The RNA Printer™ prototype. Under the three-year partnership agreement, CureVac will use its mRNA platform for the preclinical development of a Lassa virus vaccine (a high-priority disease on the World Health Organization R&amp;D list), a yellow fever vaccine and CureVac’s rabies virus vaccine. Funds are to be received semi-annually in advance, to cover costs for the next</w:t>
      </w:r>
    </w:p>
    <w:p>
      <w:pPr>
        <w:spacing w:after="0" w:line="3" w:lineRule="exact"/>
        <w:rPr>
          <w:sz w:val="20"/>
          <w:szCs w:val="20"/>
          <w:color w:val="auto"/>
        </w:rPr>
      </w:pPr>
    </w:p>
    <w:p>
      <w:pPr>
        <w:ind w:left="1260" w:right="1039"/>
        <w:spacing w:after="0" w:line="260" w:lineRule="auto"/>
        <w:rPr>
          <w:sz w:val="20"/>
          <w:szCs w:val="20"/>
          <w:color w:val="auto"/>
        </w:rPr>
      </w:pPr>
      <w:r>
        <w:rPr>
          <w:rFonts w:ascii="Arial" w:cs="Arial" w:eastAsia="Arial" w:hAnsi="Arial"/>
          <w:sz w:val="18"/>
          <w:szCs w:val="18"/>
          <w:color w:val="auto"/>
        </w:rPr>
        <w:t>six months. These payments are allocated to the agreed and signed statements of work. Management concluded that the arrangement should be accounted for by analogy to IAS 20.</w:t>
      </w:r>
    </w:p>
    <w:p>
      <w:pPr>
        <w:spacing w:after="0" w:line="104" w:lineRule="exact"/>
        <w:rPr>
          <w:sz w:val="20"/>
          <w:szCs w:val="20"/>
          <w:color w:val="auto"/>
        </w:rPr>
      </w:pPr>
    </w:p>
    <w:p>
      <w:pPr>
        <w:ind w:left="1260" w:right="459" w:firstLine="648"/>
        <w:spacing w:after="0" w:line="255" w:lineRule="auto"/>
        <w:rPr>
          <w:sz w:val="20"/>
          <w:szCs w:val="20"/>
          <w:color w:val="auto"/>
        </w:rPr>
      </w:pPr>
      <w:r>
        <w:rPr>
          <w:rFonts w:ascii="Arial" w:cs="Arial" w:eastAsia="Arial" w:hAnsi="Arial"/>
          <w:sz w:val="18"/>
          <w:szCs w:val="18"/>
          <w:color w:val="auto"/>
        </w:rPr>
        <w:t>CureVac is required to use reasonable efforts to achieve certain development milestones and is responsible for conducting certain clinical trials. In the event of an infectious disease outbreak, where such outbreak can be addressed by a Lassa virus, SARS-CoV-2 or future vaccine developed under the agreement, CureVac must manufacture such vaccine for use in the area affected by the outbreak on economic terms that satisfy CEPI’s equitable access guidelines or otherwise allow CEPI or a third party to supply such vaccine in the affected area.</w:t>
      </w:r>
    </w:p>
    <w:p>
      <w:pPr>
        <w:spacing w:after="0" w:line="125" w:lineRule="exact"/>
        <w:rPr>
          <w:sz w:val="20"/>
          <w:szCs w:val="20"/>
          <w:color w:val="auto"/>
        </w:rPr>
      </w:pPr>
    </w:p>
    <w:p>
      <w:pPr>
        <w:ind w:left="1260" w:right="439" w:firstLine="648"/>
        <w:spacing w:after="0" w:line="255" w:lineRule="auto"/>
        <w:rPr>
          <w:sz w:val="20"/>
          <w:szCs w:val="20"/>
          <w:color w:val="auto"/>
        </w:rPr>
      </w:pPr>
      <w:r>
        <w:rPr>
          <w:rFonts w:ascii="Arial" w:cs="Arial" w:eastAsia="Arial" w:hAnsi="Arial"/>
          <w:sz w:val="18"/>
          <w:szCs w:val="18"/>
          <w:color w:val="auto"/>
        </w:rPr>
        <w:t>CureVac is required to grant certain approved manufacturers all necessary rights to use certain of CureVac’s pre-existing IP and IP developed under the CEPI Agreement to further develop CureVac’s automation solution and manufacture products for the treatment of certain diseases in geographic areas where there is an outbreak on economic terms that satisfy CEPI’s equitable access guidelines. CureVac must provide all necessary commercially reasonable support to such approved manufacturers to facilitate such efforts.</w:t>
      </w:r>
    </w:p>
    <w:p>
      <w:pPr>
        <w:spacing w:after="0" w:line="125" w:lineRule="exact"/>
        <w:rPr>
          <w:sz w:val="20"/>
          <w:szCs w:val="20"/>
          <w:color w:val="auto"/>
        </w:rPr>
      </w:pPr>
    </w:p>
    <w:p>
      <w:pPr>
        <w:jc w:val="both"/>
        <w:ind w:left="1260" w:right="579" w:firstLine="648"/>
        <w:spacing w:after="0" w:line="263" w:lineRule="auto"/>
        <w:rPr>
          <w:sz w:val="20"/>
          <w:szCs w:val="20"/>
          <w:color w:val="auto"/>
        </w:rPr>
      </w:pPr>
      <w:r>
        <w:rPr>
          <w:rFonts w:ascii="Arial" w:cs="Arial" w:eastAsia="Arial" w:hAnsi="Arial"/>
          <w:sz w:val="18"/>
          <w:szCs w:val="18"/>
          <w:color w:val="auto"/>
        </w:rPr>
        <w:t>CureVac solely owns all IP developed under the CEPI Agreement but is required to obtain CEPI’s consent prior to exploiting any IP developed under the CEPI Agreement if such exploitation is in conflict with or goes against CEPI´s mission or policies.</w:t>
      </w:r>
    </w:p>
    <w:p>
      <w:pPr>
        <w:spacing w:after="0" w:line="103" w:lineRule="exact"/>
        <w:rPr>
          <w:sz w:val="20"/>
          <w:szCs w:val="20"/>
          <w:color w:val="auto"/>
        </w:rPr>
      </w:pPr>
    </w:p>
    <w:p>
      <w:pPr>
        <w:ind w:left="1260" w:right="699" w:firstLine="648"/>
        <w:spacing w:after="0" w:line="259" w:lineRule="auto"/>
        <w:rPr>
          <w:sz w:val="20"/>
          <w:szCs w:val="20"/>
          <w:color w:val="auto"/>
        </w:rPr>
      </w:pPr>
      <w:r>
        <w:rPr>
          <w:rFonts w:ascii="Arial" w:cs="Arial" w:eastAsia="Arial" w:hAnsi="Arial"/>
          <w:sz w:val="18"/>
          <w:szCs w:val="18"/>
          <w:color w:val="auto"/>
        </w:rPr>
        <w:t>In the event that CEPI terminates the agreement, CureVac will grant CEPI a license under CureVac’s background IP and IP developed under the agreement to, among other things, develop and use CureVac’s RNA Printer for use in treating certain infectious diseases and to manufacture products developed under the agreement.</w:t>
      </w:r>
    </w:p>
    <w:p>
      <w:pPr>
        <w:spacing w:after="0" w:line="119" w:lineRule="exact"/>
        <w:rPr>
          <w:sz w:val="20"/>
          <w:szCs w:val="20"/>
          <w:color w:val="auto"/>
        </w:rPr>
      </w:pPr>
    </w:p>
    <w:p>
      <w:pPr>
        <w:jc w:val="both"/>
        <w:ind w:left="1260" w:right="759" w:firstLine="648"/>
        <w:spacing w:after="0" w:line="311" w:lineRule="auto"/>
        <w:rPr>
          <w:sz w:val="20"/>
          <w:szCs w:val="20"/>
          <w:color w:val="auto"/>
        </w:rPr>
      </w:pPr>
      <w:r>
        <w:rPr>
          <w:rFonts w:ascii="Arial" w:cs="Arial" w:eastAsia="Arial" w:hAnsi="Arial"/>
          <w:sz w:val="16"/>
          <w:szCs w:val="16"/>
          <w:color w:val="auto"/>
        </w:rPr>
        <w:t>During the year ended December 31, 2019, CureVac recognized the reimbursement of approved expenses of EUR 3,607k (2018: EUR 0k) as “other operating income” and EUR 2,325k (2018: EUR0k) were deducted from the carrying amount of qualifying assets recorded in property, plant and equipment.</w:t>
      </w:r>
    </w:p>
    <w:p>
      <w:pPr>
        <w:spacing w:after="0" w:line="81" w:lineRule="exact"/>
        <w:rPr>
          <w:sz w:val="20"/>
          <w:szCs w:val="20"/>
          <w:color w:val="auto"/>
        </w:rPr>
      </w:pPr>
    </w:p>
    <w:p>
      <w:pPr>
        <w:ind w:left="1260" w:right="1139" w:firstLine="648"/>
        <w:spacing w:after="0" w:line="277" w:lineRule="auto"/>
        <w:rPr>
          <w:sz w:val="20"/>
          <w:szCs w:val="20"/>
          <w:color w:val="auto"/>
        </w:rPr>
      </w:pPr>
      <w:r>
        <w:rPr>
          <w:rFonts w:ascii="Arial" w:cs="Arial" w:eastAsia="Arial" w:hAnsi="Arial"/>
          <w:sz w:val="18"/>
          <w:szCs w:val="18"/>
          <w:color w:val="auto"/>
        </w:rPr>
        <w:t>As of December 31, 2019, EUR 2,886k in grant funds received have been deferred and are presented within other liabilities (as of December 31, 2018: EUR 0k).</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Bill &amp; Melinda Gates Foundation (BMGF)</w:t>
      </w:r>
    </w:p>
    <w:p>
      <w:pPr>
        <w:spacing w:after="0" w:line="148" w:lineRule="exact"/>
        <w:rPr>
          <w:sz w:val="20"/>
          <w:szCs w:val="20"/>
          <w:color w:val="auto"/>
        </w:rPr>
      </w:pPr>
    </w:p>
    <w:p>
      <w:pPr>
        <w:jc w:val="both"/>
        <w:ind w:left="1260" w:right="439" w:firstLine="648"/>
        <w:spacing w:after="0" w:line="257" w:lineRule="auto"/>
        <w:rPr>
          <w:sz w:val="20"/>
          <w:szCs w:val="20"/>
          <w:color w:val="auto"/>
        </w:rPr>
      </w:pPr>
      <w:r>
        <w:rPr>
          <w:rFonts w:ascii="Arial" w:cs="Arial" w:eastAsia="Arial" w:hAnsi="Arial"/>
          <w:sz w:val="18"/>
          <w:szCs w:val="18"/>
          <w:color w:val="auto"/>
        </w:rPr>
        <w:t>BMGF finances, in the form of grants, various programs that CureVac operates for the development of vaccines, hence promoting and accelerating the development of CureVac’s technology platform. Through its equity investment, BMGF supports mainly the development of CureVac’s technology platform including the construction of a production plant in accordance with the GMP (Good Manufacturing Practice) standard on an industrial scale.</w:t>
      </w:r>
    </w:p>
    <w:p>
      <w:pPr>
        <w:spacing w:after="0" w:line="120" w:lineRule="exact"/>
        <w:rPr>
          <w:sz w:val="20"/>
          <w:szCs w:val="20"/>
          <w:color w:val="auto"/>
        </w:rPr>
      </w:pPr>
    </w:p>
    <w:p>
      <w:pPr>
        <w:jc w:val="both"/>
        <w:ind w:left="1260" w:right="579" w:firstLine="648"/>
        <w:spacing w:after="0" w:line="263" w:lineRule="auto"/>
        <w:rPr>
          <w:sz w:val="20"/>
          <w:szCs w:val="20"/>
          <w:color w:val="auto"/>
        </w:rPr>
      </w:pPr>
      <w:r>
        <w:rPr>
          <w:rFonts w:ascii="Arial" w:cs="Arial" w:eastAsia="Arial" w:hAnsi="Arial"/>
          <w:sz w:val="18"/>
          <w:szCs w:val="18"/>
          <w:color w:val="auto"/>
        </w:rPr>
        <w:t>In 2015, CureVac entered into a Global Access Commitments Agreement with the Bill &amp; Melinda Gates Foundation pursuant to which the Company is required to take certain actions to support the Bill &amp; Melinda Gates Foundation’s mission.</w:t>
      </w:r>
    </w:p>
    <w:p>
      <w:pPr>
        <w:spacing w:after="0" w:line="35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56" w:name="page357"/>
    <w:bookmarkEnd w:id="356"/>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519" w:firstLine="648"/>
        <w:spacing w:after="0" w:line="273" w:lineRule="auto"/>
        <w:rPr>
          <w:sz w:val="20"/>
          <w:szCs w:val="20"/>
          <w:color w:val="auto"/>
        </w:rPr>
      </w:pPr>
      <w:r>
        <w:rPr>
          <w:rFonts w:ascii="Arial" w:cs="Arial" w:eastAsia="Arial" w:hAnsi="Arial"/>
          <w:sz w:val="17"/>
          <w:szCs w:val="17"/>
          <w:color w:val="auto"/>
        </w:rPr>
        <w:t>In November 2016, in connection with the Global Access Agreement, CureVac received a grant of USD 653k (EUR 614k) in funding for the development of a vaccine for picornaviruses. In November 2017, also in connection with the Global Access Agreement, the company received two additional grants: an amount of USD 1,000k (EUR 852k) was received for the development of a universal influenza vaccine and an amount of USD 800k (EUR 673k) was received for a malaria vaccine. In August 2019, the Company received a second payment for the universal influenza program amounting to USD 540k (EUR 486k).</w:t>
      </w:r>
    </w:p>
    <w:p>
      <w:pPr>
        <w:spacing w:after="0" w:line="110" w:lineRule="exact"/>
        <w:rPr>
          <w:sz w:val="20"/>
          <w:szCs w:val="20"/>
          <w:color w:val="auto"/>
        </w:rPr>
      </w:pPr>
    </w:p>
    <w:p>
      <w:pPr>
        <w:ind w:left="1260" w:right="499" w:firstLine="648"/>
        <w:spacing w:after="0" w:line="277" w:lineRule="auto"/>
        <w:rPr>
          <w:sz w:val="20"/>
          <w:szCs w:val="20"/>
          <w:color w:val="auto"/>
        </w:rPr>
      </w:pPr>
      <w:r>
        <w:rPr>
          <w:rFonts w:ascii="Arial" w:cs="Arial" w:eastAsia="Arial" w:hAnsi="Arial"/>
          <w:sz w:val="18"/>
          <w:szCs w:val="18"/>
          <w:color w:val="auto"/>
        </w:rPr>
        <w:t>During the year ended December 31, 2019 CureVac recognized EUR 768k (2018: EUR 486k) from the amortization of the grants on a straight-line basis as other operating income.</w:t>
      </w:r>
    </w:p>
    <w:p>
      <w:pPr>
        <w:spacing w:after="0" w:line="103" w:lineRule="exact"/>
        <w:rPr>
          <w:sz w:val="20"/>
          <w:szCs w:val="20"/>
          <w:color w:val="auto"/>
        </w:rPr>
      </w:pPr>
    </w:p>
    <w:p>
      <w:pPr>
        <w:ind w:left="1260" w:right="639" w:firstLine="648"/>
        <w:spacing w:after="0" w:line="277" w:lineRule="auto"/>
        <w:rPr>
          <w:sz w:val="20"/>
          <w:szCs w:val="20"/>
          <w:color w:val="auto"/>
        </w:rPr>
      </w:pPr>
      <w:r>
        <w:rPr>
          <w:rFonts w:ascii="Arial" w:cs="Arial" w:eastAsia="Arial" w:hAnsi="Arial"/>
          <w:sz w:val="18"/>
          <w:szCs w:val="18"/>
          <w:color w:val="auto"/>
        </w:rPr>
        <w:t>As of December 31, 2019, EUR 1,262k in grant funds received have been deferred and presented within other liabilities (as of December 31, 2018: EUR 1,544k).</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3.7 Other operating expenses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operating expenses relates to:</w:t>
      </w:r>
    </w:p>
    <w:p>
      <w:pPr>
        <w:spacing w:after="0" w:line="163"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4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89"/>
              </w:rPr>
              <w:t>2018</w:t>
            </w:r>
          </w:p>
        </w:tc>
        <w:tc>
          <w:tcPr>
            <w:tcW w:w="2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89"/>
              </w:rPr>
              <w:t>2019</w:t>
            </w:r>
          </w:p>
        </w:tc>
      </w:tr>
      <w:tr>
        <w:trPr>
          <w:trHeight w:val="26"/>
        </w:trPr>
        <w:tc>
          <w:tcPr>
            <w:tcW w:w="64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198"/>
        </w:trPr>
        <w:tc>
          <w:tcPr>
            <w:tcW w:w="6440" w:type="dxa"/>
            <w:vAlign w:val="bottom"/>
          </w:tcPr>
          <w:p>
            <w:pPr>
              <w:spacing w:after="0"/>
              <w:rPr>
                <w:sz w:val="17"/>
                <w:szCs w:val="17"/>
                <w:color w:val="auto"/>
              </w:rPr>
            </w:pPr>
          </w:p>
        </w:tc>
        <w:tc>
          <w:tcPr>
            <w:tcW w:w="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EUR k</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82"/>
              </w:rPr>
              <w:t>EUR k</w:t>
            </w:r>
          </w:p>
        </w:tc>
      </w:tr>
      <w:tr>
        <w:trPr>
          <w:trHeight w:val="26"/>
        </w:trPr>
        <w:tc>
          <w:tcPr>
            <w:tcW w:w="6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6"/>
        </w:trPr>
        <w:tc>
          <w:tcPr>
            <w:tcW w:w="6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Renumeration of supervisory board</w:t>
            </w:r>
          </w:p>
        </w:tc>
        <w:tc>
          <w:tcPr>
            <w:tcW w:w="6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(343)</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(521)</w:t>
            </w:r>
          </w:p>
        </w:tc>
      </w:tr>
      <w:tr>
        <w:trPr>
          <w:trHeight w:val="263"/>
        </w:trPr>
        <w:tc>
          <w:tcPr>
            <w:tcW w:w="6440" w:type="dxa"/>
            <w:vAlign w:val="bottom"/>
          </w:tcPr>
          <w:p>
            <w:pPr>
              <w:spacing w:after="0"/>
              <w:rPr>
                <w:sz w:val="20"/>
                <w:szCs w:val="20"/>
                <w:color w:val="auto"/>
              </w:rPr>
            </w:pPr>
            <w:r>
              <w:rPr>
                <w:rFonts w:ascii="Arial" w:cs="Arial" w:eastAsia="Arial" w:hAnsi="Arial"/>
                <w:sz w:val="18"/>
                <w:szCs w:val="18"/>
                <w:color w:val="auto"/>
              </w:rPr>
              <w:t>Other</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(320)</w:t>
            </w:r>
          </w:p>
        </w:tc>
        <w:tc>
          <w:tcPr>
            <w:tcW w:w="3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64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r>
      <w:tr>
        <w:trPr>
          <w:trHeight w:val="263"/>
        </w:trPr>
        <w:tc>
          <w:tcPr>
            <w:tcW w:w="6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5"/>
              </w:rPr>
              <w:t>(663)</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(552)</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-205105</wp:posOffset>
            </wp:positionV>
            <wp:extent cx="4749165"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4749165" cy="8890"/>
                    </a:xfrm>
                    <a:prstGeom prst="rect">
                      <a:avLst/>
                    </a:prstGeom>
                    <a:noFill/>
                  </pic:spPr>
                </pic:pic>
              </a:graphicData>
            </a:graphic>
          </wp:anchor>
        </w:drawing>
      </w:r>
    </w:p>
    <w:p>
      <w:pPr>
        <w:spacing w:after="0" w:line="2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4. Fixed Assets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4.1 Development of property, plant and equipment and intangible assets</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The development of property, plant and equipment and of intangible assets for the year ended</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2018 and 2019 were as follows:</w:t>
      </w: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124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0"/>
              </w:rPr>
              <w:t>Software and</w:t>
            </w:r>
          </w:p>
        </w:tc>
        <w:tc>
          <w:tcPr>
            <w:tcW w:w="820" w:type="dxa"/>
            <w:vAlign w:val="bottom"/>
            <w:gridSpan w:val="4"/>
          </w:tcPr>
          <w:p>
            <w:pPr>
              <w:ind w:left="20"/>
              <w:spacing w:after="0"/>
              <w:rPr>
                <w:sz w:val="20"/>
                <w:szCs w:val="20"/>
                <w:color w:val="auto"/>
              </w:rPr>
            </w:pPr>
            <w:r>
              <w:rPr>
                <w:rFonts w:ascii="Arial" w:cs="Arial" w:eastAsia="Arial" w:hAnsi="Arial"/>
                <w:sz w:val="14"/>
                <w:szCs w:val="14"/>
                <w:b w:val="1"/>
                <w:bCs w:val="1"/>
                <w:color w:val="auto"/>
              </w:rPr>
              <w:t>Advance</w:t>
            </w:r>
          </w:p>
        </w:tc>
        <w:tc>
          <w:tcPr>
            <w:tcW w:w="400" w:type="dxa"/>
            <w:vAlign w:val="bottom"/>
          </w:tcPr>
          <w:p>
            <w:pPr>
              <w:spacing w:after="0"/>
              <w:rPr>
                <w:sz w:val="14"/>
                <w:szCs w:val="14"/>
                <w:color w:val="auto"/>
              </w:rPr>
            </w:pPr>
          </w:p>
        </w:tc>
      </w:tr>
      <w:tr>
        <w:trPr>
          <w:trHeight w:val="186"/>
        </w:trPr>
        <w:tc>
          <w:tcPr>
            <w:tcW w:w="5020" w:type="dxa"/>
            <w:vAlign w:val="bottom"/>
          </w:tcPr>
          <w:p>
            <w:pPr>
              <w:spacing w:after="0"/>
              <w:rPr>
                <w:sz w:val="20"/>
                <w:szCs w:val="20"/>
                <w:color w:val="auto"/>
              </w:rPr>
            </w:pPr>
            <w:r>
              <w:rPr>
                <w:rFonts w:ascii="Arial" w:cs="Arial" w:eastAsia="Arial" w:hAnsi="Arial"/>
                <w:sz w:val="14"/>
                <w:szCs w:val="14"/>
                <w:b w:val="1"/>
                <w:bCs w:val="1"/>
                <w:color w:val="auto"/>
              </w:rPr>
              <w:t>(in thousands of EUR)</w:t>
            </w:r>
          </w:p>
        </w:tc>
        <w:tc>
          <w:tcPr>
            <w:tcW w:w="200" w:type="dxa"/>
            <w:vAlign w:val="bottom"/>
          </w:tcPr>
          <w:p>
            <w:pPr>
              <w:spacing w:after="0"/>
              <w:rPr>
                <w:sz w:val="16"/>
                <w:szCs w:val="16"/>
                <w:color w:val="auto"/>
              </w:rPr>
            </w:pPr>
          </w:p>
        </w:tc>
        <w:tc>
          <w:tcPr>
            <w:tcW w:w="10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79"/>
              </w:rPr>
              <w:t>licenses</w:t>
            </w:r>
          </w:p>
        </w:tc>
        <w:tc>
          <w:tcPr>
            <w:tcW w:w="820" w:type="dxa"/>
            <w:vAlign w:val="bottom"/>
            <w:gridSpan w:val="4"/>
          </w:tcPr>
          <w:p>
            <w:pPr>
              <w:ind w:left="20"/>
              <w:spacing w:after="0"/>
              <w:rPr>
                <w:sz w:val="20"/>
                <w:szCs w:val="20"/>
                <w:color w:val="auto"/>
              </w:rPr>
            </w:pPr>
            <w:r>
              <w:rPr>
                <w:rFonts w:ascii="Arial" w:cs="Arial" w:eastAsia="Arial" w:hAnsi="Arial"/>
                <w:sz w:val="14"/>
                <w:szCs w:val="14"/>
                <w:b w:val="1"/>
                <w:bCs w:val="1"/>
                <w:color w:val="auto"/>
              </w:rPr>
              <w:t>payments</w:t>
            </w: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r>
      <w:tr>
        <w:trPr>
          <w:trHeight w:val="25"/>
        </w:trPr>
        <w:tc>
          <w:tcPr>
            <w:tcW w:w="5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Acquisition costs</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r>
      <w:tr>
        <w:trPr>
          <w:trHeight w:val="257"/>
        </w:trPr>
        <w:tc>
          <w:tcPr>
            <w:tcW w:w="5020" w:type="dxa"/>
            <w:vAlign w:val="bottom"/>
          </w:tcPr>
          <w:p>
            <w:pPr>
              <w:ind w:left="180"/>
              <w:spacing w:after="0"/>
              <w:rPr>
                <w:sz w:val="20"/>
                <w:szCs w:val="20"/>
                <w:color w:val="auto"/>
              </w:rPr>
            </w:pPr>
            <w:r>
              <w:rPr>
                <w:rFonts w:ascii="Arial" w:cs="Arial" w:eastAsia="Arial" w:hAnsi="Arial"/>
                <w:sz w:val="18"/>
                <w:szCs w:val="18"/>
                <w:color w:val="auto"/>
              </w:rPr>
              <w:t>As of January 1, 2018</w:t>
            </w:r>
          </w:p>
        </w:tc>
        <w:tc>
          <w:tcPr>
            <w:tcW w:w="820" w:type="dxa"/>
            <w:vAlign w:val="bottom"/>
            <w:gridSpan w:val="3"/>
          </w:tcPr>
          <w:p>
            <w:pPr>
              <w:jc w:val="center"/>
              <w:ind w:left="313"/>
              <w:spacing w:after="0"/>
              <w:rPr>
                <w:sz w:val="20"/>
                <w:szCs w:val="20"/>
                <w:color w:val="auto"/>
              </w:rPr>
            </w:pPr>
            <w:r>
              <w:rPr>
                <w:rFonts w:ascii="Arial" w:cs="Arial" w:eastAsia="Arial" w:hAnsi="Arial"/>
                <w:sz w:val="18"/>
                <w:szCs w:val="18"/>
                <w:color w:val="auto"/>
                <w:w w:val="93"/>
              </w:rPr>
              <w:t>3,402</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3,638</w:t>
            </w:r>
          </w:p>
        </w:tc>
      </w:tr>
      <w:tr>
        <w:trPr>
          <w:trHeight w:val="263"/>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w:t>
            </w:r>
          </w:p>
        </w:tc>
        <w:tc>
          <w:tcPr>
            <w:tcW w:w="820" w:type="dxa"/>
            <w:vAlign w:val="bottom"/>
            <w:gridSpan w:val="3"/>
            <w:shd w:val="clear" w:color="auto" w:fill="CCEEFF"/>
          </w:tcPr>
          <w:p>
            <w:pPr>
              <w:jc w:val="center"/>
              <w:ind w:left="313"/>
              <w:spacing w:after="0"/>
              <w:rPr>
                <w:sz w:val="20"/>
                <w:szCs w:val="20"/>
                <w:color w:val="auto"/>
              </w:rPr>
            </w:pPr>
            <w:r>
              <w:rPr>
                <w:rFonts w:ascii="Arial" w:cs="Arial" w:eastAsia="Arial" w:hAnsi="Arial"/>
                <w:sz w:val="18"/>
                <w:szCs w:val="18"/>
                <w:color w:val="auto"/>
                <w:w w:val="93"/>
              </w:rPr>
              <w:t>5,314</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5,317</w:t>
            </w:r>
          </w:p>
        </w:tc>
      </w:tr>
      <w:tr>
        <w:trPr>
          <w:trHeight w:val="20"/>
        </w:trPr>
        <w:tc>
          <w:tcPr>
            <w:tcW w:w="50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304"/>
        </w:trPr>
        <w:tc>
          <w:tcPr>
            <w:tcW w:w="5020" w:type="dxa"/>
            <w:vAlign w:val="bottom"/>
          </w:tcPr>
          <w:p>
            <w:pPr>
              <w:ind w:left="180"/>
              <w:spacing w:after="0"/>
              <w:rPr>
                <w:sz w:val="20"/>
                <w:szCs w:val="20"/>
                <w:color w:val="auto"/>
              </w:rPr>
            </w:pPr>
            <w:r>
              <w:rPr>
                <w:rFonts w:ascii="Arial" w:cs="Arial" w:eastAsia="Arial" w:hAnsi="Arial"/>
                <w:sz w:val="18"/>
                <w:szCs w:val="18"/>
                <w:b w:val="1"/>
                <w:bCs w:val="1"/>
                <w:color w:val="auto"/>
              </w:rPr>
              <w:t>As of December 31, 2018</w:t>
            </w:r>
          </w:p>
        </w:tc>
        <w:tc>
          <w:tcPr>
            <w:tcW w:w="820" w:type="dxa"/>
            <w:vAlign w:val="bottom"/>
            <w:gridSpan w:val="3"/>
          </w:tcPr>
          <w:p>
            <w:pPr>
              <w:jc w:val="center"/>
              <w:ind w:left="313"/>
              <w:spacing w:after="0"/>
              <w:rPr>
                <w:sz w:val="20"/>
                <w:szCs w:val="20"/>
                <w:color w:val="auto"/>
              </w:rPr>
            </w:pPr>
            <w:r>
              <w:rPr>
                <w:rFonts w:ascii="Arial" w:cs="Arial" w:eastAsia="Arial" w:hAnsi="Arial"/>
                <w:sz w:val="18"/>
                <w:szCs w:val="18"/>
                <w:b w:val="1"/>
                <w:bCs w:val="1"/>
                <w:color w:val="auto"/>
                <w:w w:val="93"/>
              </w:rPr>
              <w:t>8,717</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238</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8"/>
                <w:szCs w:val="18"/>
                <w:b w:val="1"/>
                <w:bCs w:val="1"/>
                <w:color w:val="auto"/>
                <w:w w:val="88"/>
              </w:rPr>
              <w:t>8,954</w:t>
            </w:r>
          </w:p>
        </w:tc>
      </w:tr>
      <w:tr>
        <w:trPr>
          <w:trHeight w:val="203"/>
        </w:trPr>
        <w:tc>
          <w:tcPr>
            <w:tcW w:w="50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b w:val="1"/>
                <w:bCs w:val="1"/>
                <w:i w:val="1"/>
                <w:iCs w:val="1"/>
                <w:color w:val="auto"/>
              </w:rPr>
              <w:t>Cumulative amortization and impairment charges</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r>
      <w:tr>
        <w:trPr>
          <w:trHeight w:val="256"/>
        </w:trPr>
        <w:tc>
          <w:tcPr>
            <w:tcW w:w="5020" w:type="dxa"/>
            <w:vAlign w:val="bottom"/>
          </w:tcPr>
          <w:p>
            <w:pPr>
              <w:ind w:left="180"/>
              <w:spacing w:after="0"/>
              <w:rPr>
                <w:sz w:val="20"/>
                <w:szCs w:val="20"/>
                <w:color w:val="auto"/>
              </w:rPr>
            </w:pPr>
            <w:r>
              <w:rPr>
                <w:rFonts w:ascii="Arial" w:cs="Arial" w:eastAsia="Arial" w:hAnsi="Arial"/>
                <w:sz w:val="18"/>
                <w:szCs w:val="18"/>
                <w:color w:val="auto"/>
              </w:rPr>
              <w:t>As of January 1, 2018</w:t>
            </w:r>
          </w:p>
        </w:tc>
        <w:tc>
          <w:tcPr>
            <w:tcW w:w="820" w:type="dxa"/>
            <w:vAlign w:val="bottom"/>
            <w:gridSpan w:val="3"/>
          </w:tcPr>
          <w:p>
            <w:pPr>
              <w:jc w:val="center"/>
              <w:ind w:left="313"/>
              <w:spacing w:after="0"/>
              <w:rPr>
                <w:sz w:val="20"/>
                <w:szCs w:val="20"/>
                <w:color w:val="auto"/>
              </w:rPr>
            </w:pPr>
            <w:r>
              <w:rPr>
                <w:rFonts w:ascii="Arial" w:cs="Arial" w:eastAsia="Arial" w:hAnsi="Arial"/>
                <w:sz w:val="18"/>
                <w:szCs w:val="18"/>
                <w:color w:val="auto"/>
                <w:w w:val="93"/>
              </w:rPr>
              <w:t>1,545</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1,545</w:t>
            </w:r>
          </w:p>
        </w:tc>
      </w:tr>
      <w:tr>
        <w:trPr>
          <w:trHeight w:val="263"/>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w:t>
            </w:r>
          </w:p>
        </w:tc>
        <w:tc>
          <w:tcPr>
            <w:tcW w:w="820" w:type="dxa"/>
            <w:vAlign w:val="bottom"/>
            <w:gridSpan w:val="3"/>
            <w:shd w:val="clear" w:color="auto" w:fill="CCEEFF"/>
          </w:tcPr>
          <w:p>
            <w:pPr>
              <w:jc w:val="center"/>
              <w:ind w:left="313"/>
              <w:spacing w:after="0"/>
              <w:rPr>
                <w:sz w:val="20"/>
                <w:szCs w:val="20"/>
                <w:color w:val="auto"/>
              </w:rPr>
            </w:pPr>
            <w:r>
              <w:rPr>
                <w:rFonts w:ascii="Arial" w:cs="Arial" w:eastAsia="Arial" w:hAnsi="Arial"/>
                <w:sz w:val="18"/>
                <w:szCs w:val="18"/>
                <w:color w:val="auto"/>
                <w:w w:val="93"/>
              </w:rPr>
              <w:t>1,197</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1,197</w:t>
            </w:r>
          </w:p>
        </w:tc>
      </w:tr>
      <w:tr>
        <w:trPr>
          <w:trHeight w:val="20"/>
        </w:trPr>
        <w:tc>
          <w:tcPr>
            <w:tcW w:w="50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256"/>
        </w:trPr>
        <w:tc>
          <w:tcPr>
            <w:tcW w:w="5020" w:type="dxa"/>
            <w:vAlign w:val="bottom"/>
          </w:tcPr>
          <w:p>
            <w:pPr>
              <w:ind w:left="180"/>
              <w:spacing w:after="0"/>
              <w:rPr>
                <w:sz w:val="20"/>
                <w:szCs w:val="20"/>
                <w:color w:val="auto"/>
              </w:rPr>
            </w:pPr>
            <w:r>
              <w:rPr>
                <w:rFonts w:ascii="Arial" w:cs="Arial" w:eastAsia="Arial" w:hAnsi="Arial"/>
                <w:sz w:val="18"/>
                <w:szCs w:val="18"/>
                <w:b w:val="1"/>
                <w:bCs w:val="1"/>
                <w:color w:val="auto"/>
              </w:rPr>
              <w:t>As of December 31, 2018</w:t>
            </w:r>
          </w:p>
        </w:tc>
        <w:tc>
          <w:tcPr>
            <w:tcW w:w="820" w:type="dxa"/>
            <w:vAlign w:val="bottom"/>
            <w:gridSpan w:val="3"/>
          </w:tcPr>
          <w:p>
            <w:pPr>
              <w:jc w:val="center"/>
              <w:ind w:left="313"/>
              <w:spacing w:after="0"/>
              <w:rPr>
                <w:sz w:val="20"/>
                <w:szCs w:val="20"/>
                <w:color w:val="auto"/>
              </w:rPr>
            </w:pPr>
            <w:r>
              <w:rPr>
                <w:rFonts w:ascii="Arial" w:cs="Arial" w:eastAsia="Arial" w:hAnsi="Arial"/>
                <w:sz w:val="18"/>
                <w:szCs w:val="18"/>
                <w:b w:val="1"/>
                <w:bCs w:val="1"/>
                <w:color w:val="auto"/>
                <w:w w:val="93"/>
              </w:rPr>
              <w:t>2,742</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center"/>
              <w:spacing w:after="0"/>
              <w:rPr>
                <w:sz w:val="20"/>
                <w:szCs w:val="20"/>
                <w:color w:val="auto"/>
              </w:rPr>
            </w:pPr>
            <w:r>
              <w:rPr>
                <w:rFonts w:ascii="Arial" w:cs="Arial" w:eastAsia="Arial" w:hAnsi="Arial"/>
                <w:sz w:val="18"/>
                <w:szCs w:val="18"/>
                <w:b w:val="1"/>
                <w:bCs w:val="1"/>
                <w:color w:val="auto"/>
                <w:w w:val="88"/>
              </w:rPr>
              <w:t>2,742</w:t>
            </w:r>
          </w:p>
        </w:tc>
      </w:tr>
      <w:tr>
        <w:trPr>
          <w:trHeight w:val="20"/>
        </w:trPr>
        <w:tc>
          <w:tcPr>
            <w:tcW w:w="5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5377815</wp:posOffset>
            </wp:positionH>
            <wp:positionV relativeFrom="paragraph">
              <wp:posOffset>-1379220</wp:posOffset>
            </wp:positionV>
            <wp:extent cx="13716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4871720</wp:posOffset>
            </wp:positionH>
            <wp:positionV relativeFrom="paragraph">
              <wp:posOffset>-1379220</wp:posOffset>
            </wp:positionV>
            <wp:extent cx="13716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-1379220</wp:posOffset>
            </wp:positionV>
            <wp:extent cx="13716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57" w:name="page358"/>
    <w:bookmarkEnd w:id="357"/>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0"/>
              </w:rPr>
              <w:t>Software and</w:t>
            </w:r>
          </w:p>
        </w:tc>
        <w:tc>
          <w:tcPr>
            <w:tcW w:w="8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89"/>
              </w:rPr>
              <w:t>Advance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980" w:type="dxa"/>
            <w:vAlign w:val="bottom"/>
            <w:gridSpan w:val="3"/>
          </w:tcPr>
          <w:p>
            <w:pPr>
              <w:ind w:left="360"/>
              <w:spacing w:after="0"/>
              <w:rPr>
                <w:sz w:val="20"/>
                <w:szCs w:val="20"/>
                <w:color w:val="auto"/>
              </w:rPr>
            </w:pPr>
            <w:r>
              <w:rPr>
                <w:rFonts w:ascii="Arial" w:cs="Arial" w:eastAsia="Arial" w:hAnsi="Arial"/>
                <w:sz w:val="14"/>
                <w:szCs w:val="14"/>
                <w:b w:val="1"/>
                <w:bCs w:val="1"/>
                <w:color w:val="auto"/>
              </w:rPr>
              <w:t>(in thousands of EUR)</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79"/>
              </w:rPr>
              <w:t>licenses</w:t>
            </w:r>
          </w:p>
        </w:tc>
        <w:tc>
          <w:tcPr>
            <w:tcW w:w="8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85"/>
              </w:rPr>
              <w:t>payments</w:t>
            </w:r>
          </w:p>
        </w:tc>
        <w:tc>
          <w:tcPr>
            <w:tcW w:w="7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26"/>
        </w:trPr>
        <w:tc>
          <w:tcPr>
            <w:tcW w:w="38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36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Acquisition costs</w:t>
            </w:r>
          </w:p>
        </w:tc>
        <w:tc>
          <w:tcPr>
            <w:tcW w:w="80" w:type="dxa"/>
            <w:vAlign w:val="bottom"/>
            <w:tcBorders>
              <w:top w:val="single" w:sz="8" w:color="auto"/>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auto"/>
              <w:right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right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CCEEFF"/>
              <w:right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3620" w:type="dxa"/>
            <w:vAlign w:val="bottom"/>
            <w:gridSpan w:val="2"/>
          </w:tcPr>
          <w:p>
            <w:pPr>
              <w:ind w:left="180"/>
              <w:spacing w:after="0"/>
              <w:rPr>
                <w:sz w:val="20"/>
                <w:szCs w:val="20"/>
                <w:color w:val="auto"/>
              </w:rPr>
            </w:pPr>
            <w:r>
              <w:rPr>
                <w:rFonts w:ascii="Arial" w:cs="Arial" w:eastAsia="Arial" w:hAnsi="Arial"/>
                <w:sz w:val="18"/>
                <w:szCs w:val="18"/>
                <w:color w:val="auto"/>
              </w:rPr>
              <w:t>As of January 1, 2019</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8,717</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238</w:t>
            </w: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75"/>
              </w:rPr>
              <w:t>8,954</w:t>
            </w: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3620" w:type="dxa"/>
            <w:vAlign w:val="bottom"/>
            <w:gridSpan w:val="2"/>
            <w:shd w:val="clear" w:color="auto" w:fill="CCEEFF"/>
          </w:tcPr>
          <w:p>
            <w:pPr>
              <w:jc w:val="center"/>
              <w:ind w:right="2160"/>
              <w:spacing w:after="0"/>
              <w:rPr>
                <w:sz w:val="20"/>
                <w:szCs w:val="20"/>
                <w:color w:val="auto"/>
              </w:rPr>
            </w:pPr>
            <w:r>
              <w:rPr>
                <w:rFonts w:ascii="Arial" w:cs="Arial" w:eastAsia="Arial" w:hAnsi="Arial"/>
                <w:sz w:val="18"/>
                <w:szCs w:val="18"/>
                <w:color w:val="auto"/>
                <w:w w:val="99"/>
              </w:rPr>
              <w:t>Additions</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22"/>
                <w:szCs w:val="22"/>
                <w:color w:val="auto"/>
              </w:rPr>
            </w:pPr>
          </w:p>
        </w:tc>
        <w:tc>
          <w:tcPr>
            <w:tcW w:w="280" w:type="dxa"/>
            <w:vAlign w:val="bottom"/>
            <w:tcBorders>
              <w:right w:val="single" w:sz="8" w:color="CCEEFF"/>
            </w:tcBorders>
            <w:shd w:val="clear" w:color="auto" w:fill="CCEEFF"/>
          </w:tcPr>
          <w:p>
            <w:pPr>
              <w:spacing w:after="0"/>
              <w:rPr>
                <w:sz w:val="22"/>
                <w:szCs w:val="22"/>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3620" w:type="dxa"/>
            <w:vAlign w:val="bottom"/>
            <w:gridSpan w:val="2"/>
          </w:tcPr>
          <w:p>
            <w:pPr>
              <w:jc w:val="center"/>
              <w:ind w:right="2180"/>
              <w:spacing w:after="0"/>
              <w:rPr>
                <w:sz w:val="20"/>
                <w:szCs w:val="20"/>
                <w:color w:val="auto"/>
              </w:rPr>
            </w:pPr>
            <w:r>
              <w:rPr>
                <w:rFonts w:ascii="Arial" w:cs="Arial" w:eastAsia="Arial" w:hAnsi="Arial"/>
                <w:sz w:val="18"/>
                <w:szCs w:val="18"/>
                <w:color w:val="auto"/>
                <w:w w:val="92"/>
              </w:rPr>
              <w:t>Disposals</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gridSpan w:val="3"/>
          </w:tcPr>
          <w:p>
            <w:pPr>
              <w:jc w:val="right"/>
              <w:ind w:right="440"/>
              <w:spacing w:after="0"/>
              <w:rPr>
                <w:sz w:val="20"/>
                <w:szCs w:val="20"/>
                <w:color w:val="auto"/>
              </w:rPr>
            </w:pPr>
            <w:r>
              <w:rPr>
                <w:rFonts w:ascii="Arial" w:cs="Arial" w:eastAsia="Arial" w:hAnsi="Arial"/>
                <w:sz w:val="18"/>
                <w:szCs w:val="18"/>
                <w:color w:val="auto"/>
                <w:w w:val="88"/>
              </w:rPr>
              <w:t>—</w:t>
            </w:r>
          </w:p>
        </w:tc>
        <w:tc>
          <w:tcPr>
            <w:tcW w:w="720" w:type="dxa"/>
            <w:vAlign w:val="bottom"/>
            <w:gridSpan w:val="3"/>
          </w:tcPr>
          <w:p>
            <w:pPr>
              <w:jc w:val="right"/>
              <w:ind w:right="21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As of December 31, 2019</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9,449</w:t>
            </w: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282</w:t>
            </w:r>
          </w:p>
        </w:tc>
        <w:tc>
          <w:tcPr>
            <w:tcW w:w="160" w:type="dxa"/>
            <w:vAlign w:val="bottom"/>
            <w:shd w:val="clear" w:color="auto" w:fill="CCEEFF"/>
          </w:tcPr>
          <w:p>
            <w:pPr>
              <w:spacing w:after="0"/>
              <w:rPr>
                <w:sz w:val="22"/>
                <w:szCs w:val="22"/>
                <w:color w:val="auto"/>
              </w:rPr>
            </w:pPr>
          </w:p>
        </w:tc>
        <w:tc>
          <w:tcPr>
            <w:tcW w:w="280" w:type="dxa"/>
            <w:vAlign w:val="bottom"/>
            <w:tcBorders>
              <w:right w:val="single" w:sz="8" w:color="CCEEFF"/>
            </w:tcBorders>
            <w:shd w:val="clear" w:color="auto" w:fill="CCEEFF"/>
          </w:tcPr>
          <w:p>
            <w:pPr>
              <w:spacing w:after="0"/>
              <w:rPr>
                <w:sz w:val="22"/>
                <w:szCs w:val="22"/>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5"/>
              </w:rPr>
              <w:t>9,731</w:t>
            </w: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line="20" w:lineRule="exact"/>
              <w:rPr>
                <w:sz w:val="1"/>
                <w:szCs w:val="1"/>
                <w:color w:val="auto"/>
              </w:rPr>
            </w:pPr>
          </w:p>
        </w:tc>
        <w:tc>
          <w:tcPr>
            <w:tcW w:w="36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i w:val="1"/>
                <w:iCs w:val="1"/>
                <w:color w:val="auto"/>
                <w:w w:val="85"/>
              </w:rPr>
              <w:t>Cumulative amortization and impairment charges</w:t>
            </w: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0" w:type="dxa"/>
            <w:vAlign w:val="bottom"/>
            <w:vMerge w:val="continue"/>
          </w:tcPr>
          <w:p>
            <w:pPr>
              <w:spacing w:after="0"/>
              <w:rPr>
                <w:sz w:val="17"/>
                <w:szCs w:val="17"/>
                <w:color w:val="auto"/>
              </w:rPr>
            </w:pPr>
          </w:p>
        </w:tc>
        <w:tc>
          <w:tcPr>
            <w:tcW w:w="36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60" w:type="dxa"/>
            <w:vAlign w:val="bottom"/>
          </w:tcPr>
          <w:p>
            <w:pPr>
              <w:spacing w:after="0"/>
              <w:rPr>
                <w:sz w:val="22"/>
                <w:szCs w:val="22"/>
                <w:color w:val="auto"/>
              </w:rPr>
            </w:pPr>
          </w:p>
        </w:tc>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 of January 1, 2019</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2,742</w:t>
            </w: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8"/>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5"/>
              </w:rPr>
              <w:t>2,742</w:t>
            </w: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3620" w:type="dxa"/>
            <w:vAlign w:val="bottom"/>
            <w:gridSpan w:val="2"/>
          </w:tcPr>
          <w:p>
            <w:pPr>
              <w:ind w:left="360"/>
              <w:spacing w:after="0"/>
              <w:rPr>
                <w:sz w:val="20"/>
                <w:szCs w:val="20"/>
                <w:color w:val="auto"/>
              </w:rPr>
            </w:pPr>
            <w:r>
              <w:rPr>
                <w:rFonts w:ascii="Arial" w:cs="Arial" w:eastAsia="Arial" w:hAnsi="Arial"/>
                <w:sz w:val="18"/>
                <w:szCs w:val="18"/>
                <w:color w:val="auto"/>
              </w:rPr>
              <w:t>Amortization</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1,295</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gridSpan w:val="3"/>
          </w:tcPr>
          <w:p>
            <w:pPr>
              <w:jc w:val="right"/>
              <w:ind w:right="44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75"/>
              </w:rPr>
              <w:t>1,295</w:t>
            </w: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3620" w:type="dxa"/>
            <w:vAlign w:val="bottom"/>
            <w:gridSpan w:val="2"/>
            <w:shd w:val="clear" w:color="auto" w:fill="CCEEFF"/>
          </w:tcPr>
          <w:p>
            <w:pPr>
              <w:jc w:val="center"/>
              <w:ind w:right="2180"/>
              <w:spacing w:after="0"/>
              <w:rPr>
                <w:sz w:val="20"/>
                <w:szCs w:val="20"/>
                <w:color w:val="auto"/>
              </w:rPr>
            </w:pPr>
            <w:r>
              <w:rPr>
                <w:rFonts w:ascii="Arial" w:cs="Arial" w:eastAsia="Arial" w:hAnsi="Arial"/>
                <w:sz w:val="18"/>
                <w:szCs w:val="18"/>
                <w:color w:val="auto"/>
                <w:w w:val="92"/>
              </w:rPr>
              <w:t>Disposals</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gridSpan w:val="3"/>
          </w:tcPr>
          <w:p>
            <w:pPr>
              <w:jc w:val="right"/>
              <w:ind w:right="440"/>
              <w:spacing w:after="0"/>
              <w:rPr>
                <w:sz w:val="20"/>
                <w:szCs w:val="20"/>
                <w:color w:val="auto"/>
              </w:rPr>
            </w:pPr>
            <w:r>
              <w:rPr>
                <w:rFonts w:ascii="Arial" w:cs="Arial" w:eastAsia="Arial" w:hAnsi="Arial"/>
                <w:sz w:val="18"/>
                <w:szCs w:val="18"/>
                <w:color w:val="auto"/>
                <w:w w:val="88"/>
              </w:rPr>
              <w:t>—</w:t>
            </w:r>
          </w:p>
        </w:tc>
        <w:tc>
          <w:tcPr>
            <w:tcW w:w="720" w:type="dxa"/>
            <w:vAlign w:val="bottom"/>
            <w:gridSpan w:val="3"/>
          </w:tcPr>
          <w:p>
            <w:pPr>
              <w:jc w:val="right"/>
              <w:ind w:right="21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3620" w:type="dxa"/>
            <w:vAlign w:val="bottom"/>
            <w:gridSpan w:val="2"/>
          </w:tcPr>
          <w:p>
            <w:pPr>
              <w:ind w:left="180"/>
              <w:spacing w:after="0"/>
              <w:rPr>
                <w:sz w:val="20"/>
                <w:szCs w:val="20"/>
                <w:color w:val="auto"/>
              </w:rPr>
            </w:pPr>
            <w:r>
              <w:rPr>
                <w:rFonts w:ascii="Arial" w:cs="Arial" w:eastAsia="Arial" w:hAnsi="Arial"/>
                <w:sz w:val="18"/>
                <w:szCs w:val="18"/>
                <w:b w:val="1"/>
                <w:bCs w:val="1"/>
                <w:color w:val="auto"/>
              </w:rPr>
              <w:t>As of December 31, 2019</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b w:val="1"/>
                <w:bCs w:val="1"/>
                <w:color w:val="auto"/>
              </w:rPr>
              <w:t>4,033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88"/>
              </w:rPr>
              <w:t>—</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w w:val="75"/>
              </w:rPr>
              <w:t>4,033</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Carrying amount</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60" w:type="dxa"/>
            <w:vAlign w:val="bottom"/>
          </w:tcPr>
          <w:p>
            <w:pPr>
              <w:spacing w:after="0"/>
              <w:rPr>
                <w:sz w:val="24"/>
                <w:szCs w:val="24"/>
                <w:color w:val="auto"/>
              </w:rPr>
            </w:pPr>
          </w:p>
        </w:tc>
        <w:tc>
          <w:tcPr>
            <w:tcW w:w="3620" w:type="dxa"/>
            <w:vAlign w:val="bottom"/>
            <w:gridSpan w:val="2"/>
          </w:tcPr>
          <w:p>
            <w:pPr>
              <w:ind w:left="180"/>
              <w:spacing w:after="0"/>
              <w:rPr>
                <w:sz w:val="20"/>
                <w:szCs w:val="20"/>
                <w:color w:val="auto"/>
              </w:rPr>
            </w:pPr>
            <w:r>
              <w:rPr>
                <w:rFonts w:ascii="Arial" w:cs="Arial" w:eastAsia="Arial" w:hAnsi="Arial"/>
                <w:sz w:val="18"/>
                <w:szCs w:val="18"/>
                <w:color w:val="auto"/>
              </w:rPr>
              <w:t>As of January 1, 2018</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1,858</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235</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75"/>
              </w:rPr>
              <w:t>2,093</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60" w:type="dxa"/>
            <w:vAlign w:val="bottom"/>
          </w:tcPr>
          <w:p>
            <w:pPr>
              <w:spacing w:after="0"/>
              <w:rPr>
                <w:sz w:val="24"/>
                <w:szCs w:val="24"/>
                <w:color w:val="auto"/>
              </w:rPr>
            </w:pPr>
          </w:p>
        </w:tc>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 of December 31, 2018</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5,975</w:t>
            </w:r>
          </w:p>
        </w:tc>
        <w:tc>
          <w:tcPr>
            <w:tcW w:w="2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24"/>
                <w:szCs w:val="24"/>
                <w:color w:val="auto"/>
              </w:rPr>
            </w:pPr>
          </w:p>
        </w:tc>
        <w:tc>
          <w:tcPr>
            <w:tcW w:w="280" w:type="dxa"/>
            <w:vAlign w:val="bottom"/>
            <w:tcBorders>
              <w:right w:val="single" w:sz="8" w:color="CCEEFF"/>
            </w:tcBorders>
            <w:shd w:val="clear" w:color="auto" w:fill="CCEEFF"/>
          </w:tcPr>
          <w:p>
            <w:pPr>
              <w:spacing w:after="0"/>
              <w:rPr>
                <w:sz w:val="24"/>
                <w:szCs w:val="24"/>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5"/>
              </w:rPr>
              <w:t>6,213</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60" w:type="dxa"/>
            <w:vAlign w:val="bottom"/>
          </w:tcPr>
          <w:p>
            <w:pPr>
              <w:spacing w:after="0"/>
              <w:rPr>
                <w:sz w:val="24"/>
                <w:szCs w:val="24"/>
                <w:color w:val="auto"/>
              </w:rPr>
            </w:pPr>
          </w:p>
        </w:tc>
        <w:tc>
          <w:tcPr>
            <w:tcW w:w="3620" w:type="dxa"/>
            <w:vAlign w:val="bottom"/>
            <w:gridSpan w:val="2"/>
          </w:tcPr>
          <w:p>
            <w:pPr>
              <w:ind w:left="180"/>
              <w:spacing w:after="0"/>
              <w:rPr>
                <w:sz w:val="20"/>
                <w:szCs w:val="20"/>
                <w:color w:val="auto"/>
              </w:rPr>
            </w:pPr>
            <w:r>
              <w:rPr>
                <w:rFonts w:ascii="Arial" w:cs="Arial" w:eastAsia="Arial" w:hAnsi="Arial"/>
                <w:sz w:val="18"/>
                <w:szCs w:val="18"/>
                <w:b w:val="1"/>
                <w:bCs w:val="1"/>
                <w:color w:val="auto"/>
              </w:rPr>
              <w:t>As of December 31, 2019</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b w:val="1"/>
                <w:bCs w:val="1"/>
                <w:color w:val="auto"/>
              </w:rPr>
              <w:t>5,416</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b w:val="1"/>
                <w:bCs w:val="1"/>
                <w:color w:val="auto"/>
              </w:rPr>
              <w:t>282</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w w:val="75"/>
              </w:rPr>
              <w:t>5,698</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98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Property, plant and equipment</w:t>
            </w: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398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3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6"/>
              </w:rPr>
              <w:t>Technical</w:t>
            </w:r>
          </w:p>
        </w:tc>
        <w:tc>
          <w:tcPr>
            <w:tcW w:w="220" w:type="dxa"/>
            <w:vAlign w:val="bottom"/>
          </w:tcPr>
          <w:p>
            <w:pPr>
              <w:spacing w:after="0"/>
              <w:rPr>
                <w:sz w:val="14"/>
                <w:szCs w:val="14"/>
                <w:color w:val="auto"/>
              </w:rPr>
            </w:pPr>
          </w:p>
        </w:tc>
        <w:tc>
          <w:tcPr>
            <w:tcW w:w="8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8"/>
              </w:rPr>
              <w:t>equipment,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7"/>
              </w:rPr>
              <w:t>Assets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equipment</w:t>
            </w:r>
          </w:p>
        </w:tc>
        <w:tc>
          <w:tcPr>
            <w:tcW w:w="220" w:type="dxa"/>
            <w:vAlign w:val="bottom"/>
          </w:tcPr>
          <w:p>
            <w:pPr>
              <w:spacing w:after="0"/>
              <w:rPr>
                <w:sz w:val="14"/>
                <w:szCs w:val="14"/>
                <w:color w:val="auto"/>
              </w:rPr>
            </w:pPr>
          </w:p>
        </w:tc>
        <w:tc>
          <w:tcPr>
            <w:tcW w:w="8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furniture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under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980" w:type="dxa"/>
            <w:vAlign w:val="bottom"/>
            <w:gridSpan w:val="3"/>
          </w:tcPr>
          <w:p>
            <w:pPr>
              <w:spacing w:after="0"/>
              <w:rPr>
                <w:sz w:val="20"/>
                <w:szCs w:val="20"/>
                <w:color w:val="auto"/>
              </w:rPr>
            </w:pPr>
            <w:r>
              <w:rPr>
                <w:rFonts w:ascii="Arial" w:cs="Arial" w:eastAsia="Arial" w:hAnsi="Arial"/>
                <w:sz w:val="14"/>
                <w:szCs w:val="14"/>
                <w:b w:val="1"/>
                <w:bCs w:val="1"/>
                <w:color w:val="auto"/>
              </w:rPr>
              <w:t>(in thousands of EUR)</w:t>
            </w:r>
          </w:p>
        </w:tc>
        <w:tc>
          <w:tcPr>
            <w:tcW w:w="780" w:type="dxa"/>
            <w:vAlign w:val="bottom"/>
            <w:gridSpan w:val="4"/>
          </w:tcPr>
          <w:p>
            <w:pPr>
              <w:spacing w:after="0"/>
              <w:rPr>
                <w:sz w:val="20"/>
                <w:szCs w:val="20"/>
                <w:color w:val="auto"/>
              </w:rPr>
            </w:pPr>
            <w:r>
              <w:rPr>
                <w:rFonts w:ascii="Arial" w:cs="Arial" w:eastAsia="Arial" w:hAnsi="Arial"/>
                <w:sz w:val="14"/>
                <w:szCs w:val="14"/>
                <w:b w:val="1"/>
                <w:bCs w:val="1"/>
                <w:color w:val="auto"/>
              </w:rPr>
              <w:t>Buildings</w:t>
            </w:r>
          </w:p>
        </w:tc>
        <w:tc>
          <w:tcPr>
            <w:tcW w:w="8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and machines</w:t>
            </w:r>
          </w:p>
        </w:tc>
        <w:tc>
          <w:tcPr>
            <w:tcW w:w="220" w:type="dxa"/>
            <w:vAlign w:val="bottom"/>
          </w:tcPr>
          <w:p>
            <w:pPr>
              <w:spacing w:after="0"/>
              <w:rPr>
                <w:sz w:val="16"/>
                <w:szCs w:val="16"/>
                <w:color w:val="auto"/>
              </w:rPr>
            </w:pPr>
          </w:p>
        </w:tc>
        <w:tc>
          <w:tcPr>
            <w:tcW w:w="8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8"/>
              </w:rPr>
              <w:t>and fixtures</w:t>
            </w:r>
          </w:p>
        </w:tc>
        <w:tc>
          <w:tcPr>
            <w:tcW w:w="160" w:type="dxa"/>
            <w:vAlign w:val="bottom"/>
          </w:tcPr>
          <w:p>
            <w:pPr>
              <w:spacing w:after="0"/>
              <w:rPr>
                <w:sz w:val="16"/>
                <w:szCs w:val="16"/>
                <w:color w:val="auto"/>
              </w:rPr>
            </w:pPr>
          </w:p>
        </w:tc>
        <w:tc>
          <w:tcPr>
            <w:tcW w:w="700" w:type="dxa"/>
            <w:vAlign w:val="bottom"/>
            <w:gridSpan w:val="4"/>
          </w:tcPr>
          <w:p>
            <w:pPr>
              <w:jc w:val="right"/>
              <w:spacing w:after="0"/>
              <w:rPr>
                <w:sz w:val="20"/>
                <w:szCs w:val="20"/>
                <w:color w:val="auto"/>
              </w:rPr>
            </w:pPr>
            <w:r>
              <w:rPr>
                <w:rFonts w:ascii="Arial" w:cs="Arial" w:eastAsia="Arial" w:hAnsi="Arial"/>
                <w:sz w:val="14"/>
                <w:szCs w:val="14"/>
                <w:b w:val="1"/>
                <w:bCs w:val="1"/>
                <w:color w:val="auto"/>
                <w:w w:val="80"/>
              </w:rPr>
              <w:t>construction</w:t>
            </w:r>
          </w:p>
        </w:tc>
        <w:tc>
          <w:tcPr>
            <w:tcW w:w="220" w:type="dxa"/>
            <w:vAlign w:val="bottom"/>
          </w:tcPr>
          <w:p>
            <w:pPr>
              <w:spacing w:after="0"/>
              <w:rPr>
                <w:sz w:val="16"/>
                <w:szCs w:val="16"/>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
        </w:trPr>
        <w:tc>
          <w:tcPr>
            <w:tcW w:w="38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Acquisition costs</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980" w:type="dxa"/>
            <w:vAlign w:val="bottom"/>
            <w:gridSpan w:val="3"/>
          </w:tcPr>
          <w:p>
            <w:pPr>
              <w:ind w:left="180"/>
              <w:spacing w:after="0"/>
              <w:rPr>
                <w:sz w:val="20"/>
                <w:szCs w:val="20"/>
                <w:color w:val="auto"/>
              </w:rPr>
            </w:pPr>
            <w:r>
              <w:rPr>
                <w:rFonts w:ascii="Arial" w:cs="Arial" w:eastAsia="Arial" w:hAnsi="Arial"/>
                <w:sz w:val="18"/>
                <w:szCs w:val="18"/>
                <w:color w:val="auto"/>
              </w:rPr>
              <w:t>As of January 1, 2018</w:t>
            </w: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5,398</w:t>
            </w:r>
          </w:p>
        </w:tc>
        <w:tc>
          <w:tcPr>
            <w:tcW w:w="220" w:type="dxa"/>
            <w:vAlign w:val="bottom"/>
          </w:tcPr>
          <w:p>
            <w:pPr>
              <w:spacing w:after="0"/>
              <w:rPr>
                <w:sz w:val="22"/>
                <w:szCs w:val="22"/>
                <w:color w:val="auto"/>
              </w:rPr>
            </w:pPr>
          </w:p>
        </w:tc>
        <w:tc>
          <w:tcPr>
            <w:tcW w:w="820" w:type="dxa"/>
            <w:vAlign w:val="bottom"/>
            <w:gridSpan w:val="4"/>
          </w:tcPr>
          <w:p>
            <w:pPr>
              <w:jc w:val="right"/>
              <w:ind w:right="160"/>
              <w:spacing w:after="0"/>
              <w:rPr>
                <w:sz w:val="20"/>
                <w:szCs w:val="20"/>
                <w:color w:val="auto"/>
              </w:rPr>
            </w:pPr>
            <w:r>
              <w:rPr>
                <w:rFonts w:ascii="Arial" w:cs="Arial" w:eastAsia="Arial" w:hAnsi="Arial"/>
                <w:sz w:val="18"/>
                <w:szCs w:val="18"/>
                <w:color w:val="auto"/>
              </w:rPr>
              <w:t>12,230</w:t>
            </w: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rPr>
              <w:t>4,665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5"/>
          </w:tcPr>
          <w:p>
            <w:pPr>
              <w:jc w:val="right"/>
              <w:ind w:right="120"/>
              <w:spacing w:after="0"/>
              <w:rPr>
                <w:sz w:val="20"/>
                <w:szCs w:val="20"/>
                <w:color w:val="auto"/>
              </w:rPr>
            </w:pPr>
            <w:r>
              <w:rPr>
                <w:rFonts w:ascii="Arial" w:cs="Arial" w:eastAsia="Arial" w:hAnsi="Arial"/>
                <w:sz w:val="18"/>
                <w:szCs w:val="18"/>
                <w:color w:val="auto"/>
              </w:rPr>
              <w:t>27,103</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49,397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9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Additions</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490</w:t>
            </w:r>
          </w:p>
        </w:tc>
        <w:tc>
          <w:tcPr>
            <w:tcW w:w="220" w:type="dxa"/>
            <w:vAlign w:val="bottom"/>
            <w:shd w:val="clear" w:color="auto" w:fill="CCEEFF"/>
          </w:tcPr>
          <w:p>
            <w:pPr>
              <w:spacing w:after="0"/>
              <w:rPr>
                <w:sz w:val="22"/>
                <w:szCs w:val="22"/>
                <w:color w:val="auto"/>
              </w:rPr>
            </w:pPr>
          </w:p>
        </w:tc>
        <w:tc>
          <w:tcPr>
            <w:tcW w:w="8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953</w:t>
            </w:r>
          </w:p>
        </w:tc>
        <w:tc>
          <w:tcPr>
            <w:tcW w:w="84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tcBorders>
              <w:right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7,244</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9,406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980" w:type="dxa"/>
            <w:vAlign w:val="bottom"/>
            <w:gridSpan w:val="3"/>
          </w:tcPr>
          <w:p>
            <w:pPr>
              <w:ind w:left="360"/>
              <w:spacing w:after="0"/>
              <w:rPr>
                <w:sz w:val="20"/>
                <w:szCs w:val="20"/>
                <w:color w:val="auto"/>
              </w:rPr>
            </w:pPr>
            <w:r>
              <w:rPr>
                <w:rFonts w:ascii="Arial" w:cs="Arial" w:eastAsia="Arial" w:hAnsi="Arial"/>
                <w:sz w:val="18"/>
                <w:szCs w:val="18"/>
                <w:color w:val="auto"/>
              </w:rPr>
              <w:t>Disposals</w:t>
            </w:r>
          </w:p>
        </w:tc>
        <w:tc>
          <w:tcPr>
            <w:tcW w:w="80" w:type="dxa"/>
            <w:vAlign w:val="bottom"/>
          </w:tcPr>
          <w:p>
            <w:pPr>
              <w:spacing w:after="0"/>
              <w:rPr>
                <w:sz w:val="22"/>
                <w:szCs w:val="22"/>
                <w:color w:val="auto"/>
              </w:rPr>
            </w:pPr>
          </w:p>
        </w:tc>
        <w:tc>
          <w:tcPr>
            <w:tcW w:w="7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(150)</w:t>
            </w:r>
          </w:p>
        </w:tc>
        <w:tc>
          <w:tcPr>
            <w:tcW w:w="940" w:type="dxa"/>
            <w:vAlign w:val="bottom"/>
            <w:gridSpan w:val="5"/>
          </w:tcPr>
          <w:p>
            <w:pPr>
              <w:jc w:val="right"/>
              <w:ind w:right="10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56"/>
        </w:trPr>
        <w:tc>
          <w:tcPr>
            <w:tcW w:w="39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Reclassifications</w:t>
            </w:r>
          </w:p>
        </w:tc>
        <w:tc>
          <w:tcPr>
            <w:tcW w:w="8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1,303</w:t>
            </w:r>
          </w:p>
        </w:tc>
        <w:tc>
          <w:tcPr>
            <w:tcW w:w="84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tcBorders>
              <w:right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(1,323)</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980" w:type="dxa"/>
            <w:vAlign w:val="bottom"/>
            <w:gridSpan w:val="3"/>
          </w:tcPr>
          <w:p>
            <w:pPr>
              <w:ind w:left="360"/>
              <w:spacing w:after="0"/>
              <w:rPr>
                <w:sz w:val="20"/>
                <w:szCs w:val="20"/>
                <w:color w:val="auto"/>
              </w:rPr>
            </w:pPr>
            <w:r>
              <w:rPr>
                <w:rFonts w:ascii="Arial" w:cs="Arial" w:eastAsia="Arial" w:hAnsi="Arial"/>
                <w:sz w:val="18"/>
                <w:szCs w:val="18"/>
                <w:color w:val="auto"/>
              </w:rPr>
              <w:t>Currency translation</w:t>
            </w:r>
          </w:p>
        </w:tc>
        <w:tc>
          <w:tcPr>
            <w:tcW w:w="80" w:type="dxa"/>
            <w:vAlign w:val="bottom"/>
          </w:tcPr>
          <w:p>
            <w:pPr>
              <w:spacing w:after="0"/>
              <w:rPr>
                <w:sz w:val="22"/>
                <w:szCs w:val="22"/>
                <w:color w:val="auto"/>
              </w:rPr>
            </w:pPr>
          </w:p>
        </w:tc>
        <w:tc>
          <w:tcPr>
            <w:tcW w:w="7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5"/>
          </w:tcPr>
          <w:p>
            <w:pPr>
              <w:jc w:val="right"/>
              <w:ind w:right="120"/>
              <w:spacing w:after="0"/>
              <w:rPr>
                <w:sz w:val="20"/>
                <w:szCs w:val="20"/>
                <w:color w:val="auto"/>
              </w:rPr>
            </w:pPr>
            <w:r>
              <w:rPr>
                <w:rFonts w:ascii="Arial" w:cs="Arial" w:eastAsia="Arial" w:hAnsi="Arial"/>
                <w:sz w:val="18"/>
                <w:szCs w:val="18"/>
                <w:color w:val="auto"/>
              </w:rPr>
              <w:t>1</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80" w:type="dxa"/>
            <w:vAlign w:val="bottom"/>
            <w:gridSpan w:val="3"/>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980" w:type="dxa"/>
            <w:vAlign w:val="bottom"/>
            <w:gridSpan w:val="3"/>
            <w:shd w:val="clear" w:color="auto" w:fill="CCEEFF"/>
          </w:tcPr>
          <w:p>
            <w:pPr>
              <w:jc w:val="center"/>
              <w:ind w:right="1800"/>
              <w:spacing w:after="0"/>
              <w:rPr>
                <w:sz w:val="20"/>
                <w:szCs w:val="20"/>
                <w:color w:val="auto"/>
              </w:rPr>
            </w:pPr>
            <w:r>
              <w:rPr>
                <w:rFonts w:ascii="Arial" w:cs="Arial" w:eastAsia="Arial" w:hAnsi="Arial"/>
                <w:sz w:val="18"/>
                <w:szCs w:val="18"/>
                <w:b w:val="1"/>
                <w:bCs w:val="1"/>
                <w:color w:val="auto"/>
                <w:w w:val="85"/>
              </w:rPr>
              <w:t>As of December 31, 2018</w:t>
            </w:r>
          </w:p>
        </w:tc>
        <w:tc>
          <w:tcPr>
            <w:tcW w:w="8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4"/>
              </w:rPr>
              <w:t>5,888</w:t>
            </w:r>
          </w:p>
        </w:tc>
        <w:tc>
          <w:tcPr>
            <w:tcW w:w="220" w:type="dxa"/>
            <w:vAlign w:val="bottom"/>
            <w:shd w:val="clear" w:color="auto" w:fill="CCEEFF"/>
          </w:tcPr>
          <w:p>
            <w:pPr>
              <w:spacing w:after="0"/>
              <w:rPr>
                <w:sz w:val="22"/>
                <w:szCs w:val="22"/>
                <w:color w:val="auto"/>
              </w:rPr>
            </w:pPr>
          </w:p>
        </w:tc>
        <w:tc>
          <w:tcPr>
            <w:tcW w:w="8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14,336</w:t>
            </w:r>
          </w:p>
        </w:tc>
        <w:tc>
          <w:tcPr>
            <w:tcW w:w="84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5,247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tcBorders>
              <w:right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33,025</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58,497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i w:val="1"/>
                <w:iCs w:val="1"/>
                <w:color w:val="auto"/>
                <w:w w:val="93"/>
              </w:rPr>
              <w:t>Cumulative depreciation and impairment charges</w:t>
            </w: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8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As of January 1, 2018</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1,337</w:t>
            </w:r>
          </w:p>
        </w:tc>
        <w:tc>
          <w:tcPr>
            <w:tcW w:w="220" w:type="dxa"/>
            <w:vAlign w:val="bottom"/>
            <w:shd w:val="clear" w:color="auto" w:fill="CCEEFF"/>
          </w:tcPr>
          <w:p>
            <w:pPr>
              <w:spacing w:after="0"/>
              <w:rPr>
                <w:sz w:val="22"/>
                <w:szCs w:val="22"/>
                <w:color w:val="auto"/>
              </w:rPr>
            </w:pPr>
          </w:p>
        </w:tc>
        <w:tc>
          <w:tcPr>
            <w:tcW w:w="8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4,610</w:t>
            </w:r>
          </w:p>
        </w:tc>
        <w:tc>
          <w:tcPr>
            <w:tcW w:w="84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2,654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tcBorders>
              <w:right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7,120</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15,721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980" w:type="dxa"/>
            <w:vAlign w:val="bottom"/>
            <w:gridSpan w:val="3"/>
          </w:tcPr>
          <w:p>
            <w:pPr>
              <w:ind w:left="360"/>
              <w:spacing w:after="0"/>
              <w:rPr>
                <w:sz w:val="20"/>
                <w:szCs w:val="20"/>
                <w:color w:val="auto"/>
              </w:rPr>
            </w:pPr>
            <w:r>
              <w:rPr>
                <w:rFonts w:ascii="Arial" w:cs="Arial" w:eastAsia="Arial" w:hAnsi="Arial"/>
                <w:sz w:val="18"/>
                <w:szCs w:val="18"/>
                <w:color w:val="auto"/>
              </w:rPr>
              <w:t>Depreciation</w:t>
            </w: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371</w:t>
            </w:r>
          </w:p>
        </w:tc>
        <w:tc>
          <w:tcPr>
            <w:tcW w:w="220" w:type="dxa"/>
            <w:vAlign w:val="bottom"/>
          </w:tcPr>
          <w:p>
            <w:pPr>
              <w:spacing w:after="0"/>
              <w:rPr>
                <w:sz w:val="22"/>
                <w:szCs w:val="22"/>
                <w:color w:val="auto"/>
              </w:rPr>
            </w:pPr>
          </w:p>
        </w:tc>
        <w:tc>
          <w:tcPr>
            <w:tcW w:w="820" w:type="dxa"/>
            <w:vAlign w:val="bottom"/>
            <w:gridSpan w:val="4"/>
          </w:tcPr>
          <w:p>
            <w:pPr>
              <w:jc w:val="right"/>
              <w:ind w:right="160"/>
              <w:spacing w:after="0"/>
              <w:rPr>
                <w:sz w:val="20"/>
                <w:szCs w:val="20"/>
                <w:color w:val="auto"/>
              </w:rPr>
            </w:pPr>
            <w:r>
              <w:rPr>
                <w:rFonts w:ascii="Arial" w:cs="Arial" w:eastAsia="Arial" w:hAnsi="Arial"/>
                <w:sz w:val="18"/>
                <w:szCs w:val="18"/>
                <w:color w:val="auto"/>
              </w:rPr>
              <w:t>1,299</w:t>
            </w: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2,559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Disposals</w:t>
            </w:r>
          </w:p>
        </w:tc>
        <w:tc>
          <w:tcPr>
            <w:tcW w:w="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9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00" w:type="dxa"/>
            <w:vAlign w:val="bottom"/>
            <w:gridSpan w:val="2"/>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980" w:type="dxa"/>
            <w:vAlign w:val="bottom"/>
            <w:gridSpan w:val="3"/>
          </w:tcPr>
          <w:p>
            <w:pPr>
              <w:jc w:val="center"/>
              <w:ind w:right="1800"/>
              <w:spacing w:after="0"/>
              <w:rPr>
                <w:sz w:val="20"/>
                <w:szCs w:val="20"/>
                <w:color w:val="auto"/>
              </w:rPr>
            </w:pPr>
            <w:r>
              <w:rPr>
                <w:rFonts w:ascii="Arial" w:cs="Arial" w:eastAsia="Arial" w:hAnsi="Arial"/>
                <w:sz w:val="18"/>
                <w:szCs w:val="18"/>
                <w:b w:val="1"/>
                <w:bCs w:val="1"/>
                <w:color w:val="auto"/>
                <w:w w:val="85"/>
              </w:rPr>
              <w:t>As of December 31, 2018</w:t>
            </w:r>
          </w:p>
        </w:tc>
        <w:tc>
          <w:tcPr>
            <w:tcW w:w="80" w:type="dxa"/>
            <w:vAlign w:val="bottom"/>
          </w:tcPr>
          <w:p>
            <w:pPr>
              <w:spacing w:after="0"/>
              <w:rPr>
                <w:sz w:val="23"/>
                <w:szCs w:val="23"/>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4"/>
              </w:rPr>
              <w:t>1,708</w:t>
            </w:r>
          </w:p>
        </w:tc>
        <w:tc>
          <w:tcPr>
            <w:tcW w:w="220" w:type="dxa"/>
            <w:vAlign w:val="bottom"/>
          </w:tcPr>
          <w:p>
            <w:pPr>
              <w:spacing w:after="0"/>
              <w:rPr>
                <w:sz w:val="23"/>
                <w:szCs w:val="23"/>
                <w:color w:val="auto"/>
              </w:rPr>
            </w:pPr>
          </w:p>
        </w:tc>
        <w:tc>
          <w:tcPr>
            <w:tcW w:w="82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5,810</w:t>
            </w:r>
          </w:p>
        </w:tc>
        <w:tc>
          <w:tcPr>
            <w:tcW w:w="84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3,387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rPr>
              <w:t>7,120</w:t>
            </w:r>
          </w:p>
        </w:tc>
        <w:tc>
          <w:tcPr>
            <w:tcW w:w="720" w:type="dxa"/>
            <w:vAlign w:val="bottom"/>
            <w:gridSpan w:val="3"/>
          </w:tcPr>
          <w:p>
            <w:pPr>
              <w:jc w:val="right"/>
              <w:spacing w:after="0"/>
              <w:rPr>
                <w:sz w:val="20"/>
                <w:szCs w:val="20"/>
                <w:color w:val="auto"/>
              </w:rPr>
            </w:pPr>
            <w:r>
              <w:rPr>
                <w:rFonts w:ascii="Arial" w:cs="Arial" w:eastAsia="Arial" w:hAnsi="Arial"/>
                <w:sz w:val="18"/>
                <w:szCs w:val="18"/>
                <w:b w:val="1"/>
                <w:bCs w:val="1"/>
                <w:color w:val="auto"/>
              </w:rPr>
              <w:t>18,025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-4036695</wp:posOffset>
            </wp:positionV>
            <wp:extent cx="4749165" cy="17145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-3333750</wp:posOffset>
            </wp:positionV>
            <wp:extent cx="449199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449199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-4705350</wp:posOffset>
            </wp:positionV>
            <wp:extent cx="449199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4491990" cy="8255"/>
                    </a:xfrm>
                    <a:prstGeom prst="rect">
                      <a:avLst/>
                    </a:prstGeom>
                    <a:noFill/>
                  </pic:spPr>
                </pic:pic>
              </a:graphicData>
            </a:graphic>
          </wp:anchor>
        </w:drawing>
        <w:drawing>
          <wp:anchor simplePos="0" relativeHeight="251657728" behindDoc="1" locked="0" layoutInCell="0" allowOverlap="1">
            <wp:simplePos x="0" y="0"/>
            <wp:positionH relativeFrom="column">
              <wp:posOffset>5377815</wp:posOffset>
            </wp:positionH>
            <wp:positionV relativeFrom="paragraph">
              <wp:posOffset>-5374005</wp:posOffset>
            </wp:positionV>
            <wp:extent cx="13716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4871720</wp:posOffset>
            </wp:positionH>
            <wp:positionV relativeFrom="paragraph">
              <wp:posOffset>-5374005</wp:posOffset>
            </wp:positionV>
            <wp:extent cx="13716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-5374005</wp:posOffset>
            </wp:positionV>
            <wp:extent cx="13716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-1045210</wp:posOffset>
            </wp:positionV>
            <wp:extent cx="222885"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-1045210</wp:posOffset>
            </wp:positionV>
            <wp:extent cx="3175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-1045210</wp:posOffset>
            </wp:positionV>
            <wp:extent cx="3780155"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3780155" cy="8890"/>
                    </a:xfrm>
                    <a:prstGeom prst="rect">
                      <a:avLst/>
                    </a:prstGeom>
                    <a:noFill/>
                  </pic:spPr>
                </pic:pic>
              </a:graphicData>
            </a:graphic>
          </wp:anchor>
        </w:drawing>
        <w:drawing>
          <wp:anchor simplePos="0" relativeHeight="251657728" behindDoc="1" locked="0" layoutInCell="0" allowOverlap="1">
            <wp:simplePos x="0" y="0"/>
            <wp:positionH relativeFrom="column">
              <wp:posOffset>5549265</wp:posOffset>
            </wp:positionH>
            <wp:positionV relativeFrom="paragraph">
              <wp:posOffset>-2039620</wp:posOffset>
            </wp:positionV>
            <wp:extent cx="13716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4940300</wp:posOffset>
            </wp:positionH>
            <wp:positionV relativeFrom="paragraph">
              <wp:posOffset>-2039620</wp:posOffset>
            </wp:positionV>
            <wp:extent cx="13716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4349115</wp:posOffset>
            </wp:positionH>
            <wp:positionV relativeFrom="paragraph">
              <wp:posOffset>-2039620</wp:posOffset>
            </wp:positionV>
            <wp:extent cx="13716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3688715</wp:posOffset>
            </wp:positionH>
            <wp:positionV relativeFrom="paragraph">
              <wp:posOffset>-2039620</wp:posOffset>
            </wp:positionV>
            <wp:extent cx="13716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3208655</wp:posOffset>
            </wp:positionH>
            <wp:positionV relativeFrom="paragraph">
              <wp:posOffset>-2039620</wp:posOffset>
            </wp:positionV>
            <wp:extent cx="120015"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58" w:name="page359"/>
    <w:bookmarkEnd w:id="358"/>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6"/>
              </w:rPr>
              <w:t>Technical</w:t>
            </w:r>
          </w:p>
        </w:tc>
        <w:tc>
          <w:tcPr>
            <w:tcW w:w="9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8"/>
              </w:rPr>
              <w:t>equipment,</w:t>
            </w:r>
          </w:p>
        </w:tc>
        <w:tc>
          <w:tcPr>
            <w:tcW w:w="120" w:type="dxa"/>
            <w:vAlign w:val="bottom"/>
          </w:tcPr>
          <w:p>
            <w:pPr>
              <w:spacing w:after="0"/>
              <w:rPr>
                <w:sz w:val="14"/>
                <w:szCs w:val="14"/>
                <w:color w:val="auto"/>
              </w:rPr>
            </w:pPr>
          </w:p>
        </w:tc>
        <w:tc>
          <w:tcPr>
            <w:tcW w:w="8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2"/>
              </w:rPr>
              <w:t>Assets</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0"/>
              </w:rPr>
              <w:t>equipment</w:t>
            </w:r>
          </w:p>
        </w:tc>
        <w:tc>
          <w:tcPr>
            <w:tcW w:w="9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furniture</w:t>
            </w:r>
          </w:p>
        </w:tc>
        <w:tc>
          <w:tcPr>
            <w:tcW w:w="120" w:type="dxa"/>
            <w:vAlign w:val="bottom"/>
          </w:tcPr>
          <w:p>
            <w:pPr>
              <w:spacing w:after="0"/>
              <w:rPr>
                <w:sz w:val="14"/>
                <w:szCs w:val="14"/>
                <w:color w:val="auto"/>
              </w:rPr>
            </w:pPr>
          </w:p>
        </w:tc>
        <w:tc>
          <w:tcPr>
            <w:tcW w:w="8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under</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800" w:type="dxa"/>
            <w:vAlign w:val="bottom"/>
          </w:tcPr>
          <w:p>
            <w:pPr>
              <w:spacing w:after="0"/>
              <w:rPr>
                <w:sz w:val="20"/>
                <w:szCs w:val="20"/>
                <w:color w:val="auto"/>
              </w:rPr>
            </w:pPr>
            <w:r>
              <w:rPr>
                <w:rFonts w:ascii="Arial" w:cs="Arial" w:eastAsia="Arial" w:hAnsi="Arial"/>
                <w:sz w:val="14"/>
                <w:szCs w:val="14"/>
                <w:b w:val="1"/>
                <w:bCs w:val="1"/>
                <w:color w:val="auto"/>
              </w:rPr>
              <w:t>(in thousands of EUR)</w:t>
            </w:r>
          </w:p>
        </w:tc>
        <w:tc>
          <w:tcPr>
            <w:tcW w:w="180" w:type="dxa"/>
            <w:vAlign w:val="bottom"/>
          </w:tcPr>
          <w:p>
            <w:pPr>
              <w:spacing w:after="0"/>
              <w:rPr>
                <w:sz w:val="16"/>
                <w:szCs w:val="16"/>
                <w:color w:val="auto"/>
              </w:rPr>
            </w:pPr>
          </w:p>
        </w:tc>
        <w:tc>
          <w:tcPr>
            <w:tcW w:w="780" w:type="dxa"/>
            <w:vAlign w:val="bottom"/>
            <w:gridSpan w:val="4"/>
          </w:tcPr>
          <w:p>
            <w:pPr>
              <w:spacing w:after="0"/>
              <w:rPr>
                <w:sz w:val="20"/>
                <w:szCs w:val="20"/>
                <w:color w:val="auto"/>
              </w:rPr>
            </w:pPr>
            <w:r>
              <w:rPr>
                <w:rFonts w:ascii="Arial" w:cs="Arial" w:eastAsia="Arial" w:hAnsi="Arial"/>
                <w:sz w:val="14"/>
                <w:szCs w:val="14"/>
                <w:b w:val="1"/>
                <w:bCs w:val="1"/>
                <w:color w:val="auto"/>
              </w:rPr>
              <w:t>Buildings</w:t>
            </w:r>
          </w:p>
        </w:tc>
        <w:tc>
          <w:tcPr>
            <w:tcW w:w="10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5"/>
              </w:rPr>
              <w:t>and machines</w:t>
            </w:r>
          </w:p>
        </w:tc>
        <w:tc>
          <w:tcPr>
            <w:tcW w:w="9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8"/>
              </w:rPr>
              <w:t>and fixtures</w:t>
            </w:r>
          </w:p>
        </w:tc>
        <w:tc>
          <w:tcPr>
            <w:tcW w:w="9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7"/>
              </w:rPr>
              <w:t>construction</w:t>
            </w:r>
          </w:p>
        </w:tc>
        <w:tc>
          <w:tcPr>
            <w:tcW w:w="5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38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Acquisition costs</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180"/>
              <w:spacing w:after="0"/>
              <w:rPr>
                <w:sz w:val="20"/>
                <w:szCs w:val="20"/>
                <w:color w:val="auto"/>
              </w:rPr>
            </w:pPr>
            <w:r>
              <w:rPr>
                <w:rFonts w:ascii="Arial" w:cs="Arial" w:eastAsia="Arial" w:hAnsi="Arial"/>
                <w:sz w:val="18"/>
                <w:szCs w:val="18"/>
                <w:color w:val="auto"/>
              </w:rPr>
              <w:t>As of January 1, 2019</w:t>
            </w:r>
          </w:p>
        </w:tc>
        <w:tc>
          <w:tcPr>
            <w:tcW w:w="740" w:type="dxa"/>
            <w:vAlign w:val="bottom"/>
            <w:gridSpan w:val="4"/>
          </w:tcPr>
          <w:p>
            <w:pPr>
              <w:jc w:val="right"/>
              <w:ind w:right="80"/>
              <w:spacing w:after="0"/>
              <w:rPr>
                <w:sz w:val="20"/>
                <w:szCs w:val="20"/>
                <w:color w:val="auto"/>
              </w:rPr>
            </w:pPr>
            <w:r>
              <w:rPr>
                <w:rFonts w:ascii="Arial" w:cs="Arial" w:eastAsia="Arial" w:hAnsi="Arial"/>
                <w:sz w:val="18"/>
                <w:szCs w:val="18"/>
                <w:color w:val="auto"/>
              </w:rPr>
              <w:t>5,888</w:t>
            </w:r>
          </w:p>
        </w:tc>
        <w:tc>
          <w:tcPr>
            <w:tcW w:w="220" w:type="dxa"/>
            <w:vAlign w:val="bottom"/>
          </w:tcPr>
          <w:p>
            <w:pPr>
              <w:spacing w:after="0"/>
              <w:rPr>
                <w:sz w:val="21"/>
                <w:szCs w:val="21"/>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14,336</w:t>
            </w:r>
          </w:p>
        </w:tc>
        <w:tc>
          <w:tcPr>
            <w:tcW w:w="220" w:type="dxa"/>
            <w:vAlign w:val="bottom"/>
          </w:tcPr>
          <w:p>
            <w:pPr>
              <w:spacing w:after="0"/>
              <w:rPr>
                <w:sz w:val="21"/>
                <w:szCs w:val="21"/>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5,247</w:t>
            </w:r>
          </w:p>
        </w:tc>
        <w:tc>
          <w:tcPr>
            <w:tcW w:w="220" w:type="dxa"/>
            <w:vAlign w:val="bottom"/>
          </w:tcPr>
          <w:p>
            <w:pPr>
              <w:spacing w:after="0"/>
              <w:rPr>
                <w:sz w:val="21"/>
                <w:szCs w:val="21"/>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33,025</w:t>
            </w:r>
          </w:p>
        </w:tc>
        <w:tc>
          <w:tcPr>
            <w:tcW w:w="22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58,497</w:t>
            </w:r>
          </w:p>
        </w:tc>
        <w:tc>
          <w:tcPr>
            <w:tcW w:w="0" w:type="dxa"/>
            <w:vAlign w:val="bottom"/>
          </w:tcPr>
          <w:p>
            <w:pPr>
              <w:spacing w:after="0"/>
              <w:rPr>
                <w:sz w:val="1"/>
                <w:szCs w:val="1"/>
                <w:color w:val="auto"/>
              </w:rPr>
            </w:pPr>
          </w:p>
        </w:tc>
      </w:tr>
      <w:tr>
        <w:trPr>
          <w:trHeight w:val="243"/>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w:t>
            </w:r>
          </w:p>
        </w:tc>
        <w:tc>
          <w:tcPr>
            <w:tcW w:w="7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854</w:t>
            </w:r>
          </w:p>
        </w:tc>
        <w:tc>
          <w:tcPr>
            <w:tcW w:w="22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2,152</w:t>
            </w:r>
          </w:p>
        </w:tc>
        <w:tc>
          <w:tcPr>
            <w:tcW w:w="22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712</w:t>
            </w:r>
          </w:p>
        </w:tc>
        <w:tc>
          <w:tcPr>
            <w:tcW w:w="22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7,435</w:t>
            </w:r>
          </w:p>
        </w:tc>
        <w:tc>
          <w:tcPr>
            <w:tcW w:w="2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11,152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360"/>
              <w:spacing w:after="0"/>
              <w:rPr>
                <w:sz w:val="20"/>
                <w:szCs w:val="20"/>
                <w:color w:val="auto"/>
              </w:rPr>
            </w:pPr>
            <w:r>
              <w:rPr>
                <w:rFonts w:ascii="Arial" w:cs="Arial" w:eastAsia="Arial" w:hAnsi="Arial"/>
                <w:sz w:val="18"/>
                <w:szCs w:val="18"/>
                <w:color w:val="auto"/>
              </w:rPr>
              <w:t>Disposals</w:t>
            </w: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21"/>
                <w:szCs w:val="21"/>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(319)</w:t>
            </w:r>
          </w:p>
        </w:tc>
        <w:tc>
          <w:tcPr>
            <w:tcW w:w="220" w:type="dxa"/>
            <w:vAlign w:val="bottom"/>
          </w:tcPr>
          <w:p>
            <w:pPr>
              <w:spacing w:after="0"/>
              <w:rPr>
                <w:sz w:val="21"/>
                <w:szCs w:val="21"/>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(248)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43"/>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Reclassifications</w:t>
            </w:r>
          </w:p>
        </w:tc>
        <w:tc>
          <w:tcPr>
            <w:tcW w:w="7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167</w:t>
            </w:r>
          </w:p>
        </w:tc>
        <w:tc>
          <w:tcPr>
            <w:tcW w:w="22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883</w:t>
            </w:r>
          </w:p>
        </w:tc>
        <w:tc>
          <w:tcPr>
            <w:tcW w:w="22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187</w:t>
            </w:r>
          </w:p>
        </w:tc>
        <w:tc>
          <w:tcPr>
            <w:tcW w:w="22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(1,237)</w:t>
            </w:r>
          </w:p>
        </w:tc>
        <w:tc>
          <w:tcPr>
            <w:tcW w:w="2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800" w:type="dxa"/>
            <w:vAlign w:val="bottom"/>
          </w:tcPr>
          <w:p>
            <w:pPr>
              <w:ind w:left="360"/>
              <w:spacing w:after="0"/>
              <w:rPr>
                <w:sz w:val="20"/>
                <w:szCs w:val="20"/>
                <w:color w:val="auto"/>
              </w:rPr>
            </w:pPr>
            <w:r>
              <w:rPr>
                <w:rFonts w:ascii="Arial" w:cs="Arial" w:eastAsia="Arial" w:hAnsi="Arial"/>
                <w:sz w:val="18"/>
                <w:szCs w:val="18"/>
                <w:color w:val="auto"/>
              </w:rPr>
              <w:t>Currency translation</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2"/>
                <w:szCs w:val="22"/>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2"/>
                <w:szCs w:val="2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2019</w:t>
            </w:r>
          </w:p>
        </w:tc>
        <w:tc>
          <w:tcPr>
            <w:tcW w:w="260" w:type="dxa"/>
            <w:vAlign w:val="bottom"/>
            <w:gridSpan w:val="2"/>
            <w:shd w:val="clear" w:color="auto" w:fill="CCEEFF"/>
          </w:tcPr>
          <w:p>
            <w:pPr>
              <w:spacing w:after="0"/>
              <w:rPr>
                <w:sz w:val="20"/>
                <w:szCs w:val="20"/>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4"/>
              </w:rPr>
              <w:t>6,844</w:t>
            </w:r>
          </w:p>
        </w:tc>
        <w:tc>
          <w:tcPr>
            <w:tcW w:w="22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17,051</w:t>
            </w:r>
          </w:p>
        </w:tc>
        <w:tc>
          <w:tcPr>
            <w:tcW w:w="22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5,902</w:t>
            </w:r>
          </w:p>
        </w:tc>
        <w:tc>
          <w:tcPr>
            <w:tcW w:w="22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39,226</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69,023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w w:val="89"/>
              </w:rPr>
              <w:t>Cumulative depreciation and impairment charges</w:t>
            </w: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 of January 1, 2019</w:t>
            </w:r>
          </w:p>
        </w:tc>
        <w:tc>
          <w:tcPr>
            <w:tcW w:w="7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1,708</w:t>
            </w:r>
          </w:p>
        </w:tc>
        <w:tc>
          <w:tcPr>
            <w:tcW w:w="22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5,810</w:t>
            </w:r>
          </w:p>
        </w:tc>
        <w:tc>
          <w:tcPr>
            <w:tcW w:w="22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3,388</w:t>
            </w:r>
          </w:p>
        </w:tc>
        <w:tc>
          <w:tcPr>
            <w:tcW w:w="22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7,120</w:t>
            </w:r>
          </w:p>
        </w:tc>
        <w:tc>
          <w:tcPr>
            <w:tcW w:w="2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18,026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740" w:type="dxa"/>
            <w:vAlign w:val="bottom"/>
            <w:gridSpan w:val="4"/>
          </w:tcPr>
          <w:p>
            <w:pPr>
              <w:jc w:val="right"/>
              <w:ind w:right="80"/>
              <w:spacing w:after="0"/>
              <w:rPr>
                <w:sz w:val="20"/>
                <w:szCs w:val="20"/>
                <w:color w:val="auto"/>
              </w:rPr>
            </w:pPr>
            <w:r>
              <w:rPr>
                <w:rFonts w:ascii="Arial" w:cs="Arial" w:eastAsia="Arial" w:hAnsi="Arial"/>
                <w:sz w:val="18"/>
                <w:szCs w:val="18"/>
                <w:color w:val="auto"/>
              </w:rPr>
              <w:t>779</w:t>
            </w:r>
          </w:p>
        </w:tc>
        <w:tc>
          <w:tcPr>
            <w:tcW w:w="220" w:type="dxa"/>
            <w:vAlign w:val="bottom"/>
          </w:tcPr>
          <w:p>
            <w:pPr>
              <w:spacing w:after="0"/>
              <w:rPr>
                <w:sz w:val="21"/>
                <w:szCs w:val="21"/>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1,637</w:t>
            </w:r>
          </w:p>
        </w:tc>
        <w:tc>
          <w:tcPr>
            <w:tcW w:w="220" w:type="dxa"/>
            <w:vAlign w:val="bottom"/>
          </w:tcPr>
          <w:p>
            <w:pPr>
              <w:spacing w:after="0"/>
              <w:rPr>
                <w:sz w:val="21"/>
                <w:szCs w:val="21"/>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899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3,315</w:t>
            </w:r>
          </w:p>
        </w:tc>
        <w:tc>
          <w:tcPr>
            <w:tcW w:w="0" w:type="dxa"/>
            <w:vAlign w:val="bottom"/>
          </w:tcPr>
          <w:p>
            <w:pPr>
              <w:spacing w:after="0"/>
              <w:rPr>
                <w:sz w:val="1"/>
                <w:szCs w:val="1"/>
                <w:color w:val="auto"/>
              </w:rPr>
            </w:pPr>
          </w:p>
        </w:tc>
      </w:tr>
      <w:tr>
        <w:trPr>
          <w:trHeight w:val="243"/>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Disposals</w:t>
            </w: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22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800" w:type="dxa"/>
            <w:vAlign w:val="bottom"/>
          </w:tcPr>
          <w:p>
            <w:pPr>
              <w:ind w:left="360"/>
              <w:spacing w:after="0"/>
              <w:rPr>
                <w:sz w:val="20"/>
                <w:szCs w:val="20"/>
                <w:color w:val="auto"/>
              </w:rPr>
            </w:pPr>
            <w:r>
              <w:rPr>
                <w:rFonts w:ascii="Arial" w:cs="Arial" w:eastAsia="Arial" w:hAnsi="Arial"/>
                <w:sz w:val="18"/>
                <w:szCs w:val="18"/>
                <w:color w:val="auto"/>
              </w:rPr>
              <w:t>Currency translation</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2019</w:t>
            </w:r>
          </w:p>
        </w:tc>
        <w:tc>
          <w:tcPr>
            <w:tcW w:w="260" w:type="dxa"/>
            <w:vAlign w:val="bottom"/>
            <w:gridSpan w:val="2"/>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4"/>
              </w:rPr>
              <w:t>2,449</w:t>
            </w:r>
          </w:p>
        </w:tc>
        <w:tc>
          <w:tcPr>
            <w:tcW w:w="22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7,257</w:t>
            </w:r>
          </w:p>
        </w:tc>
        <w:tc>
          <w:tcPr>
            <w:tcW w:w="22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4,123</w:t>
            </w:r>
          </w:p>
        </w:tc>
        <w:tc>
          <w:tcPr>
            <w:tcW w:w="22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7,120</w:t>
            </w:r>
          </w:p>
        </w:tc>
        <w:tc>
          <w:tcPr>
            <w:tcW w:w="2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20,949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Carrying amount</w:t>
            </w: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 of January 1, 2018</w:t>
            </w:r>
          </w:p>
        </w:tc>
        <w:tc>
          <w:tcPr>
            <w:tcW w:w="260" w:type="dxa"/>
            <w:vAlign w:val="bottom"/>
            <w:gridSpan w:val="2"/>
            <w:shd w:val="clear" w:color="auto" w:fill="CCEEFF"/>
          </w:tcPr>
          <w:p>
            <w:pPr>
              <w:spacing w:after="0"/>
              <w:rPr>
                <w:sz w:val="23"/>
                <w:szCs w:val="23"/>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4"/>
              </w:rPr>
              <w:t>4,061</w:t>
            </w:r>
          </w:p>
        </w:tc>
        <w:tc>
          <w:tcPr>
            <w:tcW w:w="220" w:type="dxa"/>
            <w:vAlign w:val="bottom"/>
            <w:shd w:val="clear" w:color="auto" w:fill="CCEEFF"/>
          </w:tcPr>
          <w:p>
            <w:pPr>
              <w:spacing w:after="0"/>
              <w:rPr>
                <w:sz w:val="23"/>
                <w:szCs w:val="23"/>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7,621</w:t>
            </w:r>
          </w:p>
        </w:tc>
        <w:tc>
          <w:tcPr>
            <w:tcW w:w="220" w:type="dxa"/>
            <w:vAlign w:val="bottom"/>
            <w:shd w:val="clear" w:color="auto" w:fill="CCEEFF"/>
          </w:tcPr>
          <w:p>
            <w:pPr>
              <w:spacing w:after="0"/>
              <w:rPr>
                <w:sz w:val="23"/>
                <w:szCs w:val="23"/>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2,011</w:t>
            </w:r>
          </w:p>
        </w:tc>
        <w:tc>
          <w:tcPr>
            <w:tcW w:w="220" w:type="dxa"/>
            <w:vAlign w:val="bottom"/>
            <w:shd w:val="clear" w:color="auto" w:fill="CCEEFF"/>
          </w:tcPr>
          <w:p>
            <w:pPr>
              <w:spacing w:after="0"/>
              <w:rPr>
                <w:sz w:val="23"/>
                <w:szCs w:val="23"/>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19,982</w:t>
            </w:r>
          </w:p>
        </w:tc>
        <w:tc>
          <w:tcPr>
            <w:tcW w:w="22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33,675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Pr>
          <w:p>
            <w:pPr>
              <w:ind w:left="180"/>
              <w:spacing w:after="0"/>
              <w:rPr>
                <w:sz w:val="20"/>
                <w:szCs w:val="20"/>
                <w:color w:val="auto"/>
              </w:rPr>
            </w:pPr>
            <w:r>
              <w:rPr>
                <w:rFonts w:ascii="Arial" w:cs="Arial" w:eastAsia="Arial" w:hAnsi="Arial"/>
                <w:sz w:val="18"/>
                <w:szCs w:val="18"/>
                <w:color w:val="auto"/>
              </w:rPr>
              <w:t>As of December 31, 2018</w:t>
            </w:r>
          </w:p>
        </w:tc>
        <w:tc>
          <w:tcPr>
            <w:tcW w:w="260" w:type="dxa"/>
            <w:vAlign w:val="bottom"/>
            <w:gridSpan w:val="2"/>
          </w:tcPr>
          <w:p>
            <w:pPr>
              <w:spacing w:after="0"/>
              <w:rPr>
                <w:sz w:val="21"/>
                <w:szCs w:val="21"/>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w w:val="84"/>
              </w:rPr>
              <w:t>4,181</w:t>
            </w:r>
          </w:p>
        </w:tc>
        <w:tc>
          <w:tcPr>
            <w:tcW w:w="220" w:type="dxa"/>
            <w:vAlign w:val="bottom"/>
          </w:tcPr>
          <w:p>
            <w:pPr>
              <w:spacing w:after="0"/>
              <w:rPr>
                <w:sz w:val="21"/>
                <w:szCs w:val="21"/>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8,526</w:t>
            </w:r>
          </w:p>
        </w:tc>
        <w:tc>
          <w:tcPr>
            <w:tcW w:w="220" w:type="dxa"/>
            <w:vAlign w:val="bottom"/>
          </w:tcPr>
          <w:p>
            <w:pPr>
              <w:spacing w:after="0"/>
              <w:rPr>
                <w:sz w:val="21"/>
                <w:szCs w:val="21"/>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1,860</w:t>
            </w:r>
          </w:p>
        </w:tc>
        <w:tc>
          <w:tcPr>
            <w:tcW w:w="220" w:type="dxa"/>
            <w:vAlign w:val="bottom"/>
          </w:tcPr>
          <w:p>
            <w:pPr>
              <w:spacing w:after="0"/>
              <w:rPr>
                <w:sz w:val="21"/>
                <w:szCs w:val="21"/>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25,904</w:t>
            </w:r>
          </w:p>
        </w:tc>
        <w:tc>
          <w:tcPr>
            <w:tcW w:w="22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40,472</w:t>
            </w:r>
          </w:p>
        </w:tc>
        <w:tc>
          <w:tcPr>
            <w:tcW w:w="0" w:type="dxa"/>
            <w:vAlign w:val="bottom"/>
          </w:tcPr>
          <w:p>
            <w:pPr>
              <w:spacing w:after="0"/>
              <w:rPr>
                <w:sz w:val="1"/>
                <w:szCs w:val="1"/>
                <w:color w:val="auto"/>
              </w:rPr>
            </w:pPr>
          </w:p>
        </w:tc>
      </w:tr>
      <w:tr>
        <w:trPr>
          <w:trHeight w:val="20"/>
        </w:trPr>
        <w:tc>
          <w:tcPr>
            <w:tcW w:w="3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As of December 31, 2019</w:t>
            </w:r>
          </w:p>
        </w:tc>
        <w:tc>
          <w:tcPr>
            <w:tcW w:w="260" w:type="dxa"/>
            <w:vAlign w:val="bottom"/>
            <w:gridSpan w:val="2"/>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4"/>
              </w:rPr>
              <w:t>4,395</w:t>
            </w:r>
          </w:p>
        </w:tc>
        <w:tc>
          <w:tcPr>
            <w:tcW w:w="22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9,795</w:t>
            </w:r>
          </w:p>
        </w:tc>
        <w:tc>
          <w:tcPr>
            <w:tcW w:w="22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1,779</w:t>
            </w:r>
          </w:p>
        </w:tc>
        <w:tc>
          <w:tcPr>
            <w:tcW w:w="22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32,105</w:t>
            </w:r>
          </w:p>
        </w:tc>
        <w:tc>
          <w:tcPr>
            <w:tcW w:w="2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48,075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5471795</wp:posOffset>
            </wp:positionH>
            <wp:positionV relativeFrom="paragraph">
              <wp:posOffset>-196850</wp:posOffset>
            </wp:positionV>
            <wp:extent cx="222885"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-196850</wp:posOffset>
            </wp:positionV>
            <wp:extent cx="3175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-196850</wp:posOffset>
            </wp:positionV>
            <wp:extent cx="3780155"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3780155" cy="8890"/>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-873760</wp:posOffset>
            </wp:positionV>
            <wp:extent cx="22288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-873760</wp:posOffset>
            </wp:positionV>
            <wp:extent cx="31750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3175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-873760</wp:posOffset>
            </wp:positionV>
            <wp:extent cx="378015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3780155" cy="8255"/>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-1824990</wp:posOffset>
            </wp:positionV>
            <wp:extent cx="22288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-1824990</wp:posOffset>
            </wp:positionV>
            <wp:extent cx="31750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3175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-1824990</wp:posOffset>
            </wp:positionV>
            <wp:extent cx="378015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3780155" cy="8255"/>
                    </a:xfrm>
                    <a:prstGeom prst="rect">
                      <a:avLst/>
                    </a:prstGeom>
                    <a:noFill/>
                  </pic:spPr>
                </pic:pic>
              </a:graphicData>
            </a:graphic>
          </wp:anchor>
        </w:drawing>
        <w:drawing>
          <wp:anchor simplePos="0" relativeHeight="251657728" behindDoc="1" locked="0" layoutInCell="0" allowOverlap="1">
            <wp:simplePos x="0" y="0"/>
            <wp:positionH relativeFrom="column">
              <wp:posOffset>5549265</wp:posOffset>
            </wp:positionH>
            <wp:positionV relativeFrom="paragraph">
              <wp:posOffset>-2759710</wp:posOffset>
            </wp:positionV>
            <wp:extent cx="13716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4940300</wp:posOffset>
            </wp:positionH>
            <wp:positionV relativeFrom="paragraph">
              <wp:posOffset>-2759710</wp:posOffset>
            </wp:positionV>
            <wp:extent cx="13716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4349115</wp:posOffset>
            </wp:positionH>
            <wp:positionV relativeFrom="paragraph">
              <wp:posOffset>-2759710</wp:posOffset>
            </wp:positionV>
            <wp:extent cx="13716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3688715</wp:posOffset>
            </wp:positionH>
            <wp:positionV relativeFrom="paragraph">
              <wp:posOffset>-2759710</wp:posOffset>
            </wp:positionV>
            <wp:extent cx="13716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3208655</wp:posOffset>
            </wp:positionH>
            <wp:positionV relativeFrom="paragraph">
              <wp:posOffset>-2759710</wp:posOffset>
            </wp:positionV>
            <wp:extent cx="12001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4.2 Non-current other assets</w:t>
      </w:r>
    </w:p>
    <w:p>
      <w:pPr>
        <w:spacing w:after="0" w:line="131"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Non-current other assets of EUR 6,061k (2018: EUR 5,771k) consist of costs to obtain a contract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EUR 966k (2018: EUR 749k), a security deposit for a building of EUR 390k (2018: EUR 390k) as well as a</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deposit payment for a lease of EUR 4,705k (2018: EUR 4,632k).</w:t>
      </w:r>
    </w:p>
    <w:p>
      <w:pPr>
        <w:spacing w:after="0" w:line="128"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The amortization of capitalized costs to obtain a contract in 2019 was EUR 25k (2018: EUR 25k).</w:t>
      </w:r>
    </w:p>
    <w:p>
      <w:pPr>
        <w:spacing w:after="0" w:line="2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 Inventories</w:t>
      </w:r>
    </w:p>
    <w:p>
      <w:pPr>
        <w:spacing w:after="0" w:line="13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Inventories include the following:</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r>
      <w:tr>
        <w:trPr>
          <w:trHeight w:val="25"/>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r>
      <w:tr>
        <w:trPr>
          <w:trHeight w:val="198"/>
        </w:trPr>
        <w:tc>
          <w:tcPr>
            <w:tcW w:w="6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EUR k</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w w:val="96"/>
              </w:rPr>
              <w:t>EUR k</w:t>
            </w:r>
          </w:p>
        </w:tc>
      </w:tr>
      <w:tr>
        <w:trPr>
          <w:trHeight w:val="25"/>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2,742</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6,177</w:t>
            </w:r>
          </w:p>
        </w:tc>
        <w:tc>
          <w:tcPr>
            <w:tcW w:w="20" w:type="dxa"/>
            <w:vAlign w:val="bottom"/>
            <w:shd w:val="clear" w:color="auto" w:fill="CCEEFF"/>
          </w:tcPr>
          <w:p>
            <w:pPr>
              <w:spacing w:after="0"/>
              <w:rPr>
                <w:sz w:val="22"/>
                <w:szCs w:val="22"/>
                <w:color w:val="auto"/>
              </w:rPr>
            </w:pPr>
          </w:p>
        </w:tc>
      </w:tr>
      <w:tr>
        <w:trPr>
          <w:trHeight w:val="257"/>
        </w:trPr>
        <w:tc>
          <w:tcPr>
            <w:tcW w:w="6180" w:type="dxa"/>
            <w:vAlign w:val="bottom"/>
          </w:tcPr>
          <w:p>
            <w:pPr>
              <w:spacing w:after="0"/>
              <w:rPr>
                <w:sz w:val="20"/>
                <w:szCs w:val="20"/>
                <w:color w:val="auto"/>
              </w:rPr>
            </w:pPr>
            <w:r>
              <w:rPr>
                <w:rFonts w:ascii="Arial" w:cs="Arial" w:eastAsia="Arial" w:hAnsi="Arial"/>
                <w:sz w:val="18"/>
                <w:szCs w:val="18"/>
                <w:color w:val="auto"/>
              </w:rPr>
              <w:t>Finished goods</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2"/>
                <w:szCs w:val="22"/>
                <w:color w:val="auto"/>
              </w:rPr>
            </w:pPr>
          </w:p>
        </w:tc>
      </w:tr>
      <w:tr>
        <w:trPr>
          <w:trHeight w:val="263"/>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gridSpan w:val="2"/>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40" w:type="dxa"/>
            <w:vAlign w:val="bottom"/>
            <w:tcBorders>
              <w:bottom w:val="single" w:sz="8" w:color="CCEEFF"/>
            </w:tcBorders>
            <w:gridSpan w:val="2"/>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22"/>
                <w:szCs w:val="22"/>
                <w:color w:val="auto"/>
              </w:rPr>
            </w:pPr>
          </w:p>
        </w:tc>
      </w:tr>
      <w:tr>
        <w:trPr>
          <w:trHeight w:val="264"/>
        </w:trPr>
        <w:tc>
          <w:tcPr>
            <w:tcW w:w="61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gridSpan w:val="3"/>
          </w:tcPr>
          <w:p>
            <w:pPr>
              <w:jc w:val="right"/>
              <w:spacing w:after="0"/>
              <w:rPr>
                <w:sz w:val="20"/>
                <w:szCs w:val="20"/>
                <w:color w:val="auto"/>
              </w:rPr>
            </w:pPr>
            <w:r>
              <w:rPr>
                <w:rFonts w:ascii="Arial" w:cs="Arial" w:eastAsia="Arial" w:hAnsi="Arial"/>
                <w:sz w:val="18"/>
                <w:szCs w:val="18"/>
                <w:b w:val="1"/>
                <w:bCs w:val="1"/>
                <w:color w:val="auto"/>
              </w:rPr>
              <w:t>2,951</w:t>
            </w:r>
          </w:p>
        </w:tc>
        <w:tc>
          <w:tcPr>
            <w:tcW w:w="640" w:type="dxa"/>
            <w:vAlign w:val="bottom"/>
            <w:gridSpan w:val="3"/>
          </w:tcPr>
          <w:p>
            <w:pPr>
              <w:jc w:val="right"/>
              <w:spacing w:after="0"/>
              <w:rPr>
                <w:sz w:val="20"/>
                <w:szCs w:val="20"/>
                <w:color w:val="auto"/>
              </w:rPr>
            </w:pPr>
            <w:r>
              <w:rPr>
                <w:rFonts w:ascii="Arial" w:cs="Arial" w:eastAsia="Arial" w:hAnsi="Arial"/>
                <w:sz w:val="18"/>
                <w:szCs w:val="18"/>
                <w:b w:val="1"/>
                <w:bCs w:val="1"/>
                <w:color w:val="auto"/>
              </w:rPr>
              <w:t>6,197</w:t>
            </w:r>
          </w:p>
        </w:tc>
        <w:tc>
          <w:tcPr>
            <w:tcW w:w="20" w:type="dxa"/>
            <w:vAlign w:val="bottom"/>
          </w:tcPr>
          <w:p>
            <w:pPr>
              <w:spacing w:after="0"/>
              <w:rPr>
                <w:sz w:val="22"/>
                <w:szCs w:val="22"/>
                <w:color w:val="auto"/>
              </w:rPr>
            </w:pPr>
          </w:p>
        </w:tc>
      </w:tr>
      <w:tr>
        <w:trPr>
          <w:trHeight w:val="20"/>
        </w:trPr>
        <w:tc>
          <w:tcPr>
            <w:tcW w:w="6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5772150</wp:posOffset>
            </wp:positionH>
            <wp:positionV relativeFrom="paragraph">
              <wp:posOffset>-205105</wp:posOffset>
            </wp:positionV>
            <wp:extent cx="889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82" w:lineRule="exact"/>
        <w:rPr>
          <w:sz w:val="20"/>
          <w:szCs w:val="20"/>
          <w:color w:val="auto"/>
        </w:rPr>
      </w:pPr>
    </w:p>
    <w:p>
      <w:pPr>
        <w:ind w:left="1260" w:right="619" w:firstLine="648"/>
        <w:spacing w:after="0" w:line="261" w:lineRule="auto"/>
        <w:rPr>
          <w:sz w:val="20"/>
          <w:szCs w:val="20"/>
          <w:color w:val="auto"/>
        </w:rPr>
      </w:pPr>
      <w:r>
        <w:rPr>
          <w:rFonts w:ascii="Arial" w:cs="Arial" w:eastAsia="Arial" w:hAnsi="Arial"/>
          <w:sz w:val="18"/>
          <w:szCs w:val="18"/>
          <w:color w:val="auto"/>
        </w:rPr>
        <w:t>Raw materials were written down by EUR 4,136k (2018: EUR 375k) due to obsolescence and net selling prices being lower than carrying cost related to a specific collaboration arrangement.</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6. Other financial assets</w:t>
      </w:r>
    </w:p>
    <w:p>
      <w:pPr>
        <w:spacing w:after="0" w:line="13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Other financial assets include the following:</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rPr>
              <w:t>2018</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r>
      <w:tr>
        <w:trPr>
          <w:trHeight w:val="25"/>
        </w:trPr>
        <w:tc>
          <w:tcPr>
            <w:tcW w:w="63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r>
      <w:tr>
        <w:trPr>
          <w:trHeight w:val="183"/>
        </w:trPr>
        <w:tc>
          <w:tcPr>
            <w:tcW w:w="6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EUR k</w:t>
            </w:r>
          </w:p>
        </w:tc>
        <w:tc>
          <w:tcPr>
            <w:tcW w:w="220" w:type="dxa"/>
            <w:vAlign w:val="bottom"/>
          </w:tcPr>
          <w:p>
            <w:pPr>
              <w:spacing w:after="0"/>
              <w:rPr>
                <w:sz w:val="15"/>
                <w:szCs w:val="15"/>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w w:val="96"/>
              </w:rPr>
              <w:t>EUR k</w:t>
            </w:r>
          </w:p>
        </w:tc>
      </w:tr>
      <w:tr>
        <w:trPr>
          <w:trHeight w:val="230"/>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39,024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0" w:type="dxa"/>
            <w:vAlign w:val="bottom"/>
            <w:shd w:val="clear" w:color="auto" w:fill="CCEEFF"/>
          </w:tcPr>
          <w:p>
            <w:pPr>
              <w:spacing w:after="0"/>
              <w:rPr>
                <w:sz w:val="19"/>
                <w:szCs w:val="19"/>
                <w:color w:val="auto"/>
              </w:rPr>
            </w:pPr>
          </w:p>
        </w:tc>
      </w:tr>
      <w:tr>
        <w:trPr>
          <w:trHeight w:val="264"/>
        </w:trPr>
        <w:tc>
          <w:tcPr>
            <w:tcW w:w="6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2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1,028</w:t>
            </w:r>
          </w:p>
        </w:tc>
        <w:tc>
          <w:tcPr>
            <w:tcW w:w="20" w:type="dxa"/>
            <w:vAlign w:val="bottom"/>
            <w:tcBorders>
              <w:bottom w:val="single" w:sz="8" w:color="CCEEFF"/>
            </w:tcBorders>
          </w:tcPr>
          <w:p>
            <w:pPr>
              <w:spacing w:after="0"/>
              <w:rPr>
                <w:sz w:val="22"/>
                <w:szCs w:val="22"/>
                <w:color w:val="auto"/>
              </w:rPr>
            </w:pPr>
          </w:p>
        </w:tc>
      </w:tr>
      <w:tr>
        <w:trPr>
          <w:trHeight w:val="25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39,253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1,458</w:t>
            </w:r>
          </w:p>
        </w:tc>
        <w:tc>
          <w:tcPr>
            <w:tcW w:w="20" w:type="dxa"/>
            <w:vAlign w:val="bottom"/>
            <w:shd w:val="clear" w:color="auto" w:fill="CCEEFF"/>
          </w:tcPr>
          <w:p>
            <w:pPr>
              <w:spacing w:after="0"/>
              <w:rPr>
                <w:sz w:val="22"/>
                <w:szCs w:val="22"/>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-196215</wp:posOffset>
            </wp:positionV>
            <wp:extent cx="4749165"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4749165" cy="889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59" w:name="page360"/>
    <w:bookmarkEnd w:id="359"/>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7. Prepaid expenses and other current assets</w:t>
      </w:r>
    </w:p>
    <w:p>
      <w:pPr>
        <w:spacing w:after="0" w:line="162" w:lineRule="exact"/>
        <w:rPr>
          <w:sz w:val="20"/>
          <w:szCs w:val="20"/>
          <w:color w:val="auto"/>
        </w:rPr>
      </w:pPr>
    </w:p>
    <w:p>
      <w:pPr>
        <w:ind w:left="1260" w:right="559" w:firstLine="648"/>
        <w:spacing w:after="0" w:line="262" w:lineRule="auto"/>
        <w:rPr>
          <w:sz w:val="20"/>
          <w:szCs w:val="20"/>
          <w:color w:val="auto"/>
        </w:rPr>
      </w:pPr>
      <w:r>
        <w:rPr>
          <w:rFonts w:ascii="Arial" w:cs="Arial" w:eastAsia="Arial" w:hAnsi="Arial"/>
          <w:sz w:val="17"/>
          <w:szCs w:val="17"/>
          <w:color w:val="auto"/>
        </w:rPr>
        <w:t>Prepaid expenses and other current assets of EUR 1,683k (2018: 2,628k) mainly include prepayments for future service agreements and goods in the amount of EUR 1,150k (2018: EUR 421k) and outstanding VAT refund claims of EUR 533k (2018: EUR 1,761k) . The net amount of VAT refund claims and VAT payables does not bear interest and is reported to the tax authorities on a monthly basis.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8. Equity</w:t>
      </w:r>
    </w:p>
    <w:p>
      <w:pPr>
        <w:spacing w:after="0" w:line="162" w:lineRule="exact"/>
        <w:rPr>
          <w:sz w:val="20"/>
          <w:szCs w:val="20"/>
          <w:color w:val="auto"/>
        </w:rPr>
      </w:pPr>
    </w:p>
    <w:p>
      <w:pPr>
        <w:ind w:left="1260" w:right="519" w:firstLine="648"/>
        <w:spacing w:after="0" w:line="291" w:lineRule="auto"/>
        <w:rPr>
          <w:sz w:val="20"/>
          <w:szCs w:val="20"/>
          <w:color w:val="auto"/>
        </w:rPr>
      </w:pPr>
      <w:r>
        <w:rPr>
          <w:rFonts w:ascii="Arial" w:cs="Arial" w:eastAsia="Arial" w:hAnsi="Arial"/>
          <w:sz w:val="17"/>
          <w:szCs w:val="17"/>
          <w:color w:val="auto"/>
        </w:rPr>
        <w:t>Amounts in this note to the consolidated financial statements have been retrospectively adjusted to reflect the impact of the share split resulting from the corporate reorganization described in Note 1.</w:t>
      </w:r>
    </w:p>
    <w:p>
      <w:pPr>
        <w:spacing w:after="0" w:line="66" w:lineRule="exact"/>
        <w:rPr>
          <w:sz w:val="20"/>
          <w:szCs w:val="20"/>
          <w:color w:val="auto"/>
        </w:rPr>
      </w:pPr>
    </w:p>
    <w:p>
      <w:pPr>
        <w:jc w:val="both"/>
        <w:ind w:left="1260" w:right="619" w:firstLine="648"/>
        <w:spacing w:after="0" w:line="248" w:lineRule="auto"/>
        <w:rPr>
          <w:sz w:val="20"/>
          <w:szCs w:val="20"/>
          <w:color w:val="auto"/>
        </w:rPr>
      </w:pPr>
      <w:r>
        <w:rPr>
          <w:rFonts w:ascii="Arial" w:cs="Arial" w:eastAsia="Arial" w:hAnsi="Arial"/>
          <w:sz w:val="18"/>
          <w:szCs w:val="18"/>
          <w:color w:val="auto"/>
        </w:rPr>
        <w:t>The issued capital consists of Series A, B and C shares which have a nominal value of EUR 0.12, full voting rights and are fully paid- in. The amount of Series A, B and C shares issued as of December 31, 2019 and 2018 and January 1, 2018 are as follows:</w:t>
      </w:r>
    </w:p>
    <w:p>
      <w:pPr>
        <w:spacing w:after="0" w:line="133"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660" w:type="dxa"/>
            <w:vAlign w:val="bottom"/>
            <w:gridSpan w:val="2"/>
          </w:tcPr>
          <w:p>
            <w:pPr>
              <w:spacing w:after="0"/>
              <w:rPr>
                <w:sz w:val="20"/>
                <w:szCs w:val="20"/>
                <w:color w:val="auto"/>
              </w:rPr>
            </w:pPr>
            <w:r>
              <w:rPr>
                <w:rFonts w:ascii="Arial" w:cs="Arial" w:eastAsia="Arial" w:hAnsi="Arial"/>
                <w:sz w:val="14"/>
                <w:szCs w:val="14"/>
                <w:b w:val="1"/>
                <w:bCs w:val="1"/>
                <w:color w:val="auto"/>
              </w:rPr>
              <w:t>Series</w:t>
            </w:r>
          </w:p>
        </w:tc>
        <w:tc>
          <w:tcPr>
            <w:tcW w:w="20" w:type="dxa"/>
            <w:vAlign w:val="bottom"/>
          </w:tcPr>
          <w:p>
            <w:pPr>
              <w:spacing w:after="0"/>
              <w:rPr>
                <w:sz w:val="16"/>
                <w:szCs w:val="16"/>
                <w:color w:val="auto"/>
              </w:rPr>
            </w:pPr>
          </w:p>
        </w:tc>
        <w:tc>
          <w:tcPr>
            <w:tcW w:w="800" w:type="dxa"/>
            <w:vAlign w:val="bottom"/>
          </w:tcPr>
          <w:p>
            <w:pPr>
              <w:jc w:val="right"/>
              <w:ind w:right="139"/>
              <w:spacing w:after="0"/>
              <w:rPr>
                <w:sz w:val="20"/>
                <w:szCs w:val="20"/>
                <w:color w:val="auto"/>
              </w:rPr>
            </w:pPr>
            <w:r>
              <w:rPr>
                <w:rFonts w:ascii="Arial" w:cs="Arial" w:eastAsia="Arial" w:hAnsi="Arial"/>
                <w:sz w:val="14"/>
                <w:szCs w:val="14"/>
                <w:b w:val="1"/>
                <w:bCs w:val="1"/>
                <w:color w:val="auto"/>
              </w:rPr>
              <w:t>Shares</w:t>
            </w:r>
          </w:p>
        </w:tc>
      </w:tr>
      <w:tr>
        <w:trPr>
          <w:trHeight w:val="26"/>
        </w:trPr>
        <w:tc>
          <w:tcPr>
            <w:tcW w:w="6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3,114,021</w:t>
            </w:r>
          </w:p>
        </w:tc>
      </w:tr>
      <w:tr>
        <w:trPr>
          <w:trHeight w:val="257"/>
        </w:trPr>
        <w:tc>
          <w:tcPr>
            <w:tcW w:w="6660" w:type="dxa"/>
            <w:vAlign w:val="bottom"/>
            <w:gridSpan w:val="2"/>
          </w:tcPr>
          <w:p>
            <w:pPr>
              <w:spacing w:after="0"/>
              <w:rPr>
                <w:sz w:val="20"/>
                <w:szCs w:val="20"/>
                <w:color w:val="auto"/>
              </w:rPr>
            </w:pPr>
            <w:r>
              <w:rPr>
                <w:rFonts w:ascii="Arial" w:cs="Arial" w:eastAsia="Arial" w:hAnsi="Arial"/>
                <w:sz w:val="18"/>
                <w:szCs w:val="18"/>
                <w:color w:val="auto"/>
              </w:rPr>
              <w:t>B</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8"/>
              </w:rPr>
              <w:t>91,649,616</w:t>
            </w:r>
          </w:p>
        </w:tc>
      </w:tr>
      <w:tr>
        <w:trPr>
          <w:trHeight w:val="263"/>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1,929,628</w:t>
            </w:r>
          </w:p>
        </w:tc>
      </w:tr>
      <w:tr>
        <w:trPr>
          <w:trHeight w:val="263"/>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96,693,265</w:t>
            </w:r>
          </w:p>
        </w:tc>
      </w:tr>
      <w:tr>
        <w:trPr>
          <w:trHeight w:val="20"/>
        </w:trPr>
        <w:tc>
          <w:tcPr>
            <w:tcW w:w="6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5120640</wp:posOffset>
            </wp:positionH>
            <wp:positionV relativeFrom="paragraph">
              <wp:posOffset>-711200</wp:posOffset>
            </wp:positionV>
            <wp:extent cx="13716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5" w:lineRule="exact"/>
        <w:rPr>
          <w:sz w:val="20"/>
          <w:szCs w:val="20"/>
          <w:color w:val="auto"/>
        </w:rPr>
      </w:pPr>
    </w:p>
    <w:p>
      <w:pPr>
        <w:ind w:left="1260" w:right="619" w:firstLine="648"/>
        <w:spacing w:after="0" w:line="257" w:lineRule="auto"/>
        <w:rPr>
          <w:sz w:val="20"/>
          <w:szCs w:val="20"/>
          <w:color w:val="auto"/>
        </w:rPr>
      </w:pPr>
      <w:r>
        <w:rPr>
          <w:rFonts w:ascii="Arial" w:cs="Arial" w:eastAsia="Arial" w:hAnsi="Arial"/>
          <w:sz w:val="17"/>
          <w:szCs w:val="17"/>
          <w:color w:val="auto"/>
        </w:rPr>
        <w:t>Series B and C shares include preference rights in the case of a defined exit event (e.g., trade sale or merger) of CureVac. The Series C shares also include a liquidation preference which grants the shareholders the right to adjust their shares by a factor of between 1 and 3 depending on the proceeds generated in such defined exit event. The Series C shares were issued for share-based compensation (see Note 9). In case of an initial public offering (IPO) of CureVac, the liquidation preferences of the Series B and C shares lapse. This liquidation preference is classified as an equity-settled share-based payment.</w:t>
      </w:r>
    </w:p>
    <w:p>
      <w:pPr>
        <w:spacing w:after="0" w:line="94" w:lineRule="exact"/>
        <w:rPr>
          <w:sz w:val="20"/>
          <w:szCs w:val="20"/>
          <w:color w:val="auto"/>
        </w:rPr>
      </w:pPr>
    </w:p>
    <w:p>
      <w:pPr>
        <w:ind w:left="1260" w:right="479" w:firstLine="648"/>
        <w:spacing w:after="0" w:line="248" w:lineRule="auto"/>
        <w:rPr>
          <w:sz w:val="20"/>
          <w:szCs w:val="20"/>
          <w:color w:val="auto"/>
        </w:rPr>
      </w:pPr>
      <w:r>
        <w:rPr>
          <w:rFonts w:ascii="Arial" w:cs="Arial" w:eastAsia="Arial" w:hAnsi="Arial"/>
          <w:sz w:val="18"/>
          <w:szCs w:val="18"/>
          <w:color w:val="auto"/>
        </w:rPr>
        <w:t>At the Annual General Meeting of June 17, 2019, it was decided that the number of (virtual) option rights to be issued as part of a new employee program (taking into account the scope of the existing employee participation program) will be set at 15% of the issued capital of CureVac AG.</w:t>
      </w:r>
    </w:p>
    <w:p>
      <w:pPr>
        <w:spacing w:after="0" w:line="114" w:lineRule="exact"/>
        <w:rPr>
          <w:sz w:val="20"/>
          <w:szCs w:val="20"/>
          <w:color w:val="auto"/>
        </w:rPr>
      </w:pPr>
    </w:p>
    <w:p>
      <w:pPr>
        <w:ind w:left="1260" w:right="459" w:firstLine="648"/>
        <w:spacing w:after="0" w:line="262" w:lineRule="auto"/>
        <w:rPr>
          <w:sz w:val="20"/>
          <w:szCs w:val="20"/>
          <w:color w:val="auto"/>
        </w:rPr>
      </w:pPr>
      <w:r>
        <w:rPr>
          <w:rFonts w:ascii="Arial" w:cs="Arial" w:eastAsia="Arial" w:hAnsi="Arial"/>
          <w:sz w:val="17"/>
          <w:szCs w:val="17"/>
          <w:color w:val="auto"/>
        </w:rPr>
        <w:t>The Series B shares held by the Bill and Melinda Gates Foundation (BMGF) include certain further rights under which CureVac would be obliged to buy back the shares at a specified minimum amount under defined circumstances if the buy-back is allowed according to German corporate law (Aktiengesetz). However, management has concluded the defined circumstances are all under the control of the Company.</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Capital reserves</w:t>
      </w:r>
    </w:p>
    <w:p>
      <w:pPr>
        <w:spacing w:after="0" w:line="158" w:lineRule="exact"/>
        <w:rPr>
          <w:sz w:val="20"/>
          <w:szCs w:val="20"/>
          <w:color w:val="auto"/>
        </w:rPr>
      </w:pPr>
    </w:p>
    <w:p>
      <w:pPr>
        <w:ind w:left="1260" w:right="619" w:firstLine="648"/>
        <w:spacing w:after="0" w:line="243" w:lineRule="auto"/>
        <w:rPr>
          <w:sz w:val="20"/>
          <w:szCs w:val="20"/>
          <w:color w:val="auto"/>
        </w:rPr>
      </w:pPr>
      <w:r>
        <w:rPr>
          <w:rFonts w:ascii="Arial" w:cs="Arial" w:eastAsia="Arial" w:hAnsi="Arial"/>
          <w:sz w:val="18"/>
          <w:szCs w:val="18"/>
          <w:color w:val="auto"/>
        </w:rPr>
        <w:t>Capital reserves may only be released and distributed to shareholders to the extent that the additional paid-in capital as reported in the Group’s statutory financial statements prepared under German GAAP is available for release and exceeds the accumulated deficit, including current year losses, as reported in those statutory financial statements.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Recent financing rounds</w:t>
      </w:r>
    </w:p>
    <w:p>
      <w:pPr>
        <w:spacing w:after="0" w:line="14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following financings were initiated by the end of fiscal 2019:</w:t>
      </w:r>
    </w:p>
    <w:p>
      <w:pPr>
        <w:spacing w:after="0" w:line="158" w:lineRule="exact"/>
        <w:rPr>
          <w:sz w:val="20"/>
          <w:szCs w:val="20"/>
          <w:color w:val="auto"/>
        </w:rPr>
      </w:pPr>
    </w:p>
    <w:p>
      <w:pPr>
        <w:ind w:left="1260" w:right="739" w:firstLine="648"/>
        <w:spacing w:after="0" w:line="263" w:lineRule="auto"/>
        <w:rPr>
          <w:sz w:val="20"/>
          <w:szCs w:val="20"/>
          <w:color w:val="auto"/>
        </w:rPr>
      </w:pPr>
      <w:r>
        <w:rPr>
          <w:rFonts w:ascii="Arial" w:cs="Arial" w:eastAsia="Arial" w:hAnsi="Arial"/>
          <w:sz w:val="18"/>
          <w:szCs w:val="18"/>
          <w:color w:val="auto"/>
        </w:rPr>
        <w:t>Pursuant to an Investment and Shareholders` Agreement (“ISA”), effective December 19, 2019, Genmab A/S, a Danish corporation, agreed to purchase 2,175,157 Series B shares in the Company in exchange for EUR 20,000k in cash.</w:t>
      </w:r>
    </w:p>
    <w:p>
      <w:pPr>
        <w:spacing w:after="0" w:line="116" w:lineRule="exact"/>
        <w:rPr>
          <w:sz w:val="20"/>
          <w:szCs w:val="20"/>
          <w:color w:val="auto"/>
        </w:rPr>
      </w:pPr>
    </w:p>
    <w:p>
      <w:pPr>
        <w:ind w:left="1260" w:right="439" w:firstLine="648"/>
        <w:spacing w:after="0" w:line="259" w:lineRule="auto"/>
        <w:rPr>
          <w:sz w:val="20"/>
          <w:szCs w:val="20"/>
          <w:color w:val="auto"/>
        </w:rPr>
      </w:pPr>
      <w:r>
        <w:rPr>
          <w:rFonts w:ascii="Arial" w:cs="Arial" w:eastAsia="Arial" w:hAnsi="Arial"/>
          <w:sz w:val="18"/>
          <w:szCs w:val="18"/>
          <w:color w:val="auto"/>
        </w:rPr>
        <w:t>As of December 31, 2019, CureVac had received a total amount of EUR 16,345, corresponding to the par value of EUR 1 per share agreed to be purchased under the ISA. However, as the shares were not yet registered in the commercial register as of December 31, 2019, according to German law, the shares were not considered issued as of this date.</w:t>
      </w:r>
    </w:p>
    <w:p>
      <w:pPr>
        <w:spacing w:after="0" w:line="36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60" w:name="page361"/>
    <w:bookmarkEnd w:id="360"/>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Convertible loans</w:t>
      </w:r>
    </w:p>
    <w:p>
      <w:pPr>
        <w:spacing w:after="0" w:line="158" w:lineRule="exact"/>
        <w:rPr>
          <w:sz w:val="20"/>
          <w:szCs w:val="20"/>
          <w:color w:val="auto"/>
        </w:rPr>
      </w:pPr>
    </w:p>
    <w:p>
      <w:pPr>
        <w:ind w:left="1260" w:right="419" w:firstLine="648"/>
        <w:spacing w:after="0" w:line="248" w:lineRule="auto"/>
        <w:rPr>
          <w:sz w:val="20"/>
          <w:szCs w:val="20"/>
          <w:color w:val="auto"/>
        </w:rPr>
      </w:pPr>
      <w:r>
        <w:rPr>
          <w:rFonts w:ascii="Arial" w:cs="Arial" w:eastAsia="Arial" w:hAnsi="Arial"/>
          <w:sz w:val="18"/>
          <w:szCs w:val="18"/>
          <w:color w:val="auto"/>
        </w:rPr>
        <w:t>The total amount recognized in equity in fiscal 2019 has been EUR 7,604k. Directly attributable transaction costs from this transaction have been determined to be immaterial and therefore recognized as an expense in fiscal 2019. See Note 12 for further information.</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9. Share-based payments</w:t>
      </w:r>
    </w:p>
    <w:p>
      <w:pPr>
        <w:spacing w:after="0" w:line="162" w:lineRule="exact"/>
        <w:rPr>
          <w:sz w:val="20"/>
          <w:szCs w:val="20"/>
          <w:color w:val="auto"/>
        </w:rPr>
      </w:pPr>
    </w:p>
    <w:p>
      <w:pPr>
        <w:ind w:left="1260" w:right="519" w:firstLine="648"/>
        <w:spacing w:after="0" w:line="291" w:lineRule="auto"/>
        <w:rPr>
          <w:sz w:val="20"/>
          <w:szCs w:val="20"/>
          <w:color w:val="auto"/>
        </w:rPr>
      </w:pPr>
      <w:r>
        <w:rPr>
          <w:rFonts w:ascii="Arial" w:cs="Arial" w:eastAsia="Arial" w:hAnsi="Arial"/>
          <w:sz w:val="17"/>
          <w:szCs w:val="17"/>
          <w:color w:val="auto"/>
        </w:rPr>
        <w:t>Amounts in this note to the consolidated financial statements have been retrospectively adjusted to reflect the impact of the share split resulting from the corporate reorganization described in Note 1.</w:t>
      </w:r>
    </w:p>
    <w:p>
      <w:pPr>
        <w:spacing w:after="0" w:line="66" w:lineRule="exact"/>
        <w:rPr>
          <w:sz w:val="20"/>
          <w:szCs w:val="20"/>
          <w:color w:val="auto"/>
        </w:rPr>
      </w:pPr>
    </w:p>
    <w:p>
      <w:pPr>
        <w:ind w:left="1260" w:right="619" w:firstLine="648"/>
        <w:spacing w:after="0" w:line="261" w:lineRule="auto"/>
        <w:rPr>
          <w:sz w:val="20"/>
          <w:szCs w:val="20"/>
          <w:color w:val="auto"/>
        </w:rPr>
      </w:pPr>
      <w:r>
        <w:rPr>
          <w:rFonts w:ascii="Arial" w:cs="Arial" w:eastAsia="Arial" w:hAnsi="Arial"/>
          <w:sz w:val="18"/>
          <w:szCs w:val="18"/>
          <w:color w:val="auto"/>
        </w:rPr>
        <w:t>During the years ended December 31, 2019 and December 31, 2018, the Group had the following share-based arrangements.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9.1 Management share option plans</w:t>
      </w:r>
    </w:p>
    <w:p>
      <w:pPr>
        <w:spacing w:after="0" w:line="158" w:lineRule="exact"/>
        <w:rPr>
          <w:sz w:val="20"/>
          <w:szCs w:val="20"/>
          <w:color w:val="auto"/>
        </w:rPr>
      </w:pPr>
    </w:p>
    <w:p>
      <w:pPr>
        <w:ind w:left="1260" w:right="479" w:firstLine="648"/>
        <w:spacing w:after="0" w:line="275" w:lineRule="auto"/>
        <w:rPr>
          <w:sz w:val="20"/>
          <w:szCs w:val="20"/>
          <w:color w:val="auto"/>
        </w:rPr>
      </w:pPr>
      <w:r>
        <w:rPr>
          <w:rFonts w:ascii="Arial" w:cs="Arial" w:eastAsia="Arial" w:hAnsi="Arial"/>
          <w:sz w:val="17"/>
          <w:szCs w:val="17"/>
          <w:color w:val="auto"/>
        </w:rPr>
        <w:t>At January 1, 2018, a total of 1,188,651 share options granted to five members of (former) management were outstanding and exercisable. All these options grant the holder the right to acquire shares of CureVac at nominal value and are classified as equity-settled share-based payments. These management share options were granted and vested prior to January 1, 2013. 485,734 of these options expired on December 31, 2018 and the remaining 702,917 options will expire on December 31, 2021.</w:t>
      </w:r>
    </w:p>
    <w:p>
      <w:pPr>
        <w:spacing w:after="0" w:line="109" w:lineRule="exact"/>
        <w:rPr>
          <w:sz w:val="20"/>
          <w:szCs w:val="20"/>
          <w:color w:val="auto"/>
        </w:rPr>
      </w:pPr>
    </w:p>
    <w:p>
      <w:pPr>
        <w:ind w:left="1260" w:right="459" w:firstLine="648"/>
        <w:spacing w:after="0" w:line="259" w:lineRule="auto"/>
        <w:rPr>
          <w:sz w:val="20"/>
          <w:szCs w:val="20"/>
          <w:color w:val="auto"/>
        </w:rPr>
      </w:pPr>
      <w:r>
        <w:rPr>
          <w:rFonts w:ascii="Arial" w:cs="Arial" w:eastAsia="Arial" w:hAnsi="Arial"/>
          <w:sz w:val="18"/>
          <w:szCs w:val="18"/>
          <w:color w:val="auto"/>
        </w:rPr>
        <w:t>According to the shareholder`s agreement in place, sufficient authorized capital (“genehmigtes Kapital”) to enable CureVac AG to fulfill the rights under these 702,917 remaining share options at December 31, 2019 was authorized at the Annual General Meeting in 2016 and can be utilized until July 25, 2021.</w:t>
      </w:r>
    </w:p>
    <w:p>
      <w:pPr>
        <w:spacing w:after="0" w:line="106"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See the description of the accounting for the Series C shares under Note 8. Equity.</w:t>
      </w:r>
    </w:p>
    <w:p>
      <w:pPr>
        <w:spacing w:after="0" w:line="158" w:lineRule="exact"/>
        <w:rPr>
          <w:sz w:val="20"/>
          <w:szCs w:val="20"/>
          <w:color w:val="auto"/>
        </w:rPr>
      </w:pPr>
    </w:p>
    <w:p>
      <w:pPr>
        <w:ind w:left="1260" w:right="639" w:firstLine="648"/>
        <w:spacing w:after="0" w:line="277" w:lineRule="auto"/>
        <w:rPr>
          <w:sz w:val="20"/>
          <w:szCs w:val="20"/>
          <w:color w:val="auto"/>
        </w:rPr>
      </w:pPr>
      <w:r>
        <w:rPr>
          <w:rFonts w:ascii="Arial" w:cs="Arial" w:eastAsia="Arial" w:hAnsi="Arial"/>
          <w:sz w:val="18"/>
          <w:szCs w:val="18"/>
          <w:color w:val="auto"/>
        </w:rPr>
        <w:t>No expenses have been recognized during the years ended December 31, 2019 and December 31, 2018 under these programs.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9.2 Virtual shares program I</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Description of the program</w:t>
      </w:r>
    </w:p>
    <w:p>
      <w:pPr>
        <w:spacing w:after="0" w:line="162" w:lineRule="exact"/>
        <w:rPr>
          <w:sz w:val="20"/>
          <w:szCs w:val="20"/>
          <w:color w:val="auto"/>
        </w:rPr>
      </w:pPr>
    </w:p>
    <w:p>
      <w:pPr>
        <w:ind w:left="1260" w:right="539" w:firstLine="648"/>
        <w:spacing w:after="0" w:line="259" w:lineRule="auto"/>
        <w:rPr>
          <w:sz w:val="20"/>
          <w:szCs w:val="20"/>
          <w:color w:val="auto"/>
        </w:rPr>
      </w:pPr>
      <w:r>
        <w:rPr>
          <w:rFonts w:ascii="Arial" w:cs="Arial" w:eastAsia="Arial" w:hAnsi="Arial"/>
          <w:sz w:val="18"/>
          <w:szCs w:val="18"/>
          <w:color w:val="auto"/>
        </w:rPr>
        <w:t>In addition to the management share option plans described above, since 2009, CureVac has operated a virtual shares program for selected key employees of the Group (“Prior VSOP”) originally up to 8,007,957 (2018: 8,007,957) Beteiligungspunkte (herein referenced as “virtual shares”). The main features of the Prior VSOP were originally as follows:</w:t>
      </w:r>
    </w:p>
    <w:p>
      <w:pPr>
        <w:spacing w:after="0" w:line="79" w:lineRule="exact"/>
        <w:rPr>
          <w:sz w:val="20"/>
          <w:szCs w:val="20"/>
          <w:color w:val="auto"/>
        </w:rPr>
      </w:pPr>
    </w:p>
    <w:p>
      <w:pPr>
        <w:ind w:left="2260" w:right="579" w:hanging="352"/>
        <w:spacing w:after="0" w:line="277" w:lineRule="auto"/>
        <w:tabs>
          <w:tab w:leader="none" w:pos="22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beneficiaries do not hold direct interests in CureVac but receive virtual shares at no cost, the notional value of which is equal to EUR 0.12 per ordinary share.</w:t>
      </w:r>
    </w:p>
    <w:p>
      <w:pPr>
        <w:spacing w:after="0" w:line="62" w:lineRule="exact"/>
        <w:rPr>
          <w:rFonts w:ascii="Arial" w:cs="Arial" w:eastAsia="Arial" w:hAnsi="Arial"/>
          <w:sz w:val="18"/>
          <w:szCs w:val="18"/>
          <w:color w:val="auto"/>
        </w:rPr>
      </w:pPr>
    </w:p>
    <w:p>
      <w:pPr>
        <w:ind w:left="2260" w:right="919" w:hanging="352"/>
        <w:spacing w:after="0" w:line="277" w:lineRule="auto"/>
        <w:tabs>
          <w:tab w:leader="none" w:pos="22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virtual shares are earned on a monthly basis (graded vesting) over a period of one to five years.</w:t>
      </w:r>
    </w:p>
    <w:p>
      <w:pPr>
        <w:spacing w:after="0" w:line="62" w:lineRule="exact"/>
        <w:rPr>
          <w:rFonts w:ascii="Arial" w:cs="Arial" w:eastAsia="Arial" w:hAnsi="Arial"/>
          <w:sz w:val="18"/>
          <w:szCs w:val="18"/>
          <w:color w:val="auto"/>
        </w:rPr>
      </w:pPr>
    </w:p>
    <w:p>
      <w:pPr>
        <w:jc w:val="both"/>
        <w:ind w:left="2260" w:right="479" w:hanging="352"/>
        <w:spacing w:after="0" w:line="263" w:lineRule="auto"/>
        <w:tabs>
          <w:tab w:leader="none" w:pos="22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Virtual shares allocated and earned are settled by CureVac in cash if an exit event occurs (e.g., trade sale, merger). In the event of a change of the former CureVac GmbH to an AG, CureVac may convert those virtual shares to share options.</w:t>
      </w:r>
    </w:p>
    <w:p>
      <w:pPr>
        <w:spacing w:after="0" w:line="75" w:lineRule="exact"/>
        <w:rPr>
          <w:rFonts w:ascii="Arial" w:cs="Arial" w:eastAsia="Arial" w:hAnsi="Arial"/>
          <w:sz w:val="18"/>
          <w:szCs w:val="18"/>
          <w:color w:val="auto"/>
        </w:rPr>
      </w:pPr>
    </w:p>
    <w:p>
      <w:pPr>
        <w:ind w:left="2260" w:right="839" w:hanging="352"/>
        <w:spacing w:after="0" w:line="259" w:lineRule="auto"/>
        <w:tabs>
          <w:tab w:leader="none" w:pos="22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If no exit event or no modification into share options occurs within the term of the virtual shares program all rights from the virtual shares program lapse / have lapsed (which, depending on the individual agreements, is / has been September 30, 2018, December 31, 2018, September 30, 2020 or December 31, 2020).</w:t>
      </w:r>
    </w:p>
    <w:p>
      <w:pPr>
        <w:spacing w:after="0" w:line="78" w:lineRule="exact"/>
        <w:rPr>
          <w:rFonts w:ascii="Arial" w:cs="Arial" w:eastAsia="Arial" w:hAnsi="Arial"/>
          <w:sz w:val="18"/>
          <w:szCs w:val="18"/>
          <w:color w:val="auto"/>
        </w:rPr>
      </w:pPr>
    </w:p>
    <w:p>
      <w:pPr>
        <w:ind w:left="2260" w:right="499" w:hanging="352"/>
        <w:spacing w:after="0" w:line="277" w:lineRule="auto"/>
        <w:tabs>
          <w:tab w:leader="none" w:pos="22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Vested virtual shares of former employees are measured based on the relevant valuation of the Company at the time of leaving the company.</w:t>
      </w:r>
    </w:p>
    <w:p>
      <w:pPr>
        <w:spacing w:after="0" w:line="89" w:lineRule="exact"/>
        <w:rPr>
          <w:sz w:val="20"/>
          <w:szCs w:val="20"/>
          <w:color w:val="auto"/>
        </w:rPr>
      </w:pPr>
    </w:p>
    <w:p>
      <w:pPr>
        <w:ind w:left="1260" w:right="659" w:firstLine="648"/>
        <w:spacing w:after="0" w:line="308" w:lineRule="auto"/>
        <w:rPr>
          <w:sz w:val="20"/>
          <w:szCs w:val="20"/>
          <w:color w:val="auto"/>
        </w:rPr>
      </w:pPr>
      <w:r>
        <w:rPr>
          <w:rFonts w:ascii="Arial" w:cs="Arial" w:eastAsia="Arial" w:hAnsi="Arial"/>
          <w:sz w:val="17"/>
          <w:szCs w:val="17"/>
          <w:color w:val="auto"/>
        </w:rPr>
        <w:t>In July 2016, the Company modified the Prior VSOP adding an IPO as additional exit scenario. Under the terms of that scenario, participants would be able to exercise all or part of their (vested) virtual</w:t>
      </w:r>
    </w:p>
    <w:p>
      <w:pPr>
        <w:sectPr>
          <w:pgSz w:w="11900" w:h="16838" w:orient="portrait"/>
          <w:cols w:equalWidth="0" w:num="1">
            <w:col w:w="9879"/>
          </w:cols>
          <w:pgMar w:left="580" w:top="131" w:right="1440" w:bottom="1440" w:gutter="0" w:footer="0" w:header="0"/>
        </w:sectPr>
      </w:pPr>
    </w:p>
    <w:p>
      <w:pPr>
        <w:spacing w:after="0" w:line="33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61" w:name="page362"/>
    <w:bookmarkEnd w:id="361"/>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59"/>
        <w:spacing w:after="0" w:line="255" w:lineRule="auto"/>
        <w:rPr>
          <w:sz w:val="20"/>
          <w:szCs w:val="20"/>
          <w:color w:val="auto"/>
        </w:rPr>
      </w:pPr>
      <w:r>
        <w:rPr>
          <w:rFonts w:ascii="Arial" w:cs="Arial" w:eastAsia="Arial" w:hAnsi="Arial"/>
          <w:sz w:val="18"/>
          <w:szCs w:val="18"/>
          <w:color w:val="auto"/>
        </w:rPr>
        <w:t>shares entitlement subject to further conditions such as the ability of the main shareholder to divest portions of its investment, minimum trading volumes or the ultimate marketing approval of relevant products. The Company may settle such entitlements in shares of the Company or in cash. As part of this modification the Company extended the term of the program until December 31, 2025 or by the end of nine years after the day of the initial listing in the case of an IPO. Since then, the virtual shares program was accounted for as equity-settled.</w:t>
      </w:r>
    </w:p>
    <w:p>
      <w:pPr>
        <w:spacing w:after="0" w:line="125" w:lineRule="exact"/>
        <w:rPr>
          <w:sz w:val="20"/>
          <w:szCs w:val="20"/>
          <w:color w:val="auto"/>
        </w:rPr>
      </w:pPr>
    </w:p>
    <w:p>
      <w:pPr>
        <w:ind w:left="1260" w:right="479" w:firstLine="648"/>
        <w:spacing w:after="0" w:line="255" w:lineRule="auto"/>
        <w:rPr>
          <w:sz w:val="20"/>
          <w:szCs w:val="20"/>
          <w:color w:val="auto"/>
        </w:rPr>
      </w:pPr>
      <w:r>
        <w:rPr>
          <w:rFonts w:ascii="Arial" w:cs="Arial" w:eastAsia="Arial" w:hAnsi="Arial"/>
          <w:sz w:val="18"/>
          <w:szCs w:val="18"/>
          <w:color w:val="auto"/>
        </w:rPr>
        <w:t>However, according to the Investment and Shareholders` Agreement (“ISA”) with an effective date as of December 19, 2019, in all defined exit events the economic burden of the Prior VSOP shall be borne exclusively by the existing shareholders before the financing round which took place in October 2015 and therefore this group of shareholders will settle the claims of the Prior VSOP’s beneficiaries by transferring their shares to CureVac for nominal amount or by transferring cash, if CureVac has to settle or settles voluntarily in cash.</w:t>
      </w:r>
    </w:p>
    <w:p>
      <w:pPr>
        <w:spacing w:after="0" w:line="125" w:lineRule="exact"/>
        <w:rPr>
          <w:sz w:val="20"/>
          <w:szCs w:val="20"/>
          <w:color w:val="auto"/>
        </w:rPr>
      </w:pPr>
    </w:p>
    <w:p>
      <w:pPr>
        <w:ind w:left="1260" w:right="619" w:firstLine="648"/>
        <w:spacing w:after="0" w:line="277" w:lineRule="auto"/>
        <w:rPr>
          <w:sz w:val="20"/>
          <w:szCs w:val="20"/>
          <w:color w:val="auto"/>
        </w:rPr>
      </w:pPr>
      <w:r>
        <w:rPr>
          <w:rFonts w:ascii="Arial" w:cs="Arial" w:eastAsia="Arial" w:hAnsi="Arial"/>
          <w:sz w:val="18"/>
          <w:szCs w:val="18"/>
          <w:color w:val="auto"/>
        </w:rPr>
        <w:t>The development of the virtual shares in this program granted to management and key employees was as follows:</w:t>
      </w:r>
    </w:p>
    <w:p>
      <w:pPr>
        <w:spacing w:after="0" w:line="108"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100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jc w:val="right"/>
              <w:ind w:right="153"/>
              <w:spacing w:after="0"/>
              <w:rPr>
                <w:sz w:val="20"/>
                <w:szCs w:val="20"/>
                <w:color w:val="auto"/>
              </w:rPr>
            </w:pPr>
            <w:r>
              <w:rPr>
                <w:rFonts w:ascii="Arial" w:cs="Arial" w:eastAsia="Arial" w:hAnsi="Arial"/>
                <w:sz w:val="14"/>
                <w:szCs w:val="14"/>
                <w:b w:val="1"/>
                <w:bCs w:val="1"/>
                <w:color w:val="auto"/>
              </w:rPr>
              <w:t>2019</w:t>
            </w:r>
          </w:p>
        </w:tc>
      </w:tr>
      <w:tr>
        <w:trPr>
          <w:trHeight w:val="26"/>
        </w:trPr>
        <w:tc>
          <w:tcPr>
            <w:tcW w:w="55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the beginning of the period</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7,972,425</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6,640,449</w:t>
            </w:r>
          </w:p>
        </w:tc>
      </w:tr>
      <w:tr>
        <w:trPr>
          <w:trHeight w:val="257"/>
        </w:trPr>
        <w:tc>
          <w:tcPr>
            <w:tcW w:w="5520" w:type="dxa"/>
            <w:vAlign w:val="bottom"/>
          </w:tcPr>
          <w:p>
            <w:pPr>
              <w:ind w:left="180"/>
              <w:spacing w:after="0"/>
              <w:rPr>
                <w:sz w:val="20"/>
                <w:szCs w:val="20"/>
                <w:color w:val="auto"/>
              </w:rPr>
            </w:pPr>
            <w:r>
              <w:rPr>
                <w:rFonts w:ascii="Arial" w:cs="Arial" w:eastAsia="Arial" w:hAnsi="Arial"/>
                <w:sz w:val="18"/>
                <w:szCs w:val="18"/>
                <w:color w:val="auto"/>
              </w:rPr>
              <w:t>Granted during the period</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665,389</w:t>
            </w:r>
          </w:p>
        </w:tc>
      </w:tr>
      <w:tr>
        <w:trPr>
          <w:trHeight w:val="263"/>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Expired during the period</w:t>
            </w:r>
          </w:p>
        </w:tc>
        <w:tc>
          <w:tcPr>
            <w:tcW w:w="220" w:type="dxa"/>
            <w:vAlign w:val="bottom"/>
            <w:gridSpan w:val="2"/>
            <w:shd w:val="clear" w:color="auto" w:fill="CCEEFF"/>
          </w:tcPr>
          <w:p>
            <w:pPr>
              <w:spacing w:after="0"/>
              <w:rPr>
                <w:sz w:val="22"/>
                <w:szCs w:val="22"/>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(1,331,976)</w:t>
            </w:r>
          </w:p>
        </w:tc>
        <w:tc>
          <w:tcPr>
            <w:tcW w:w="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03"/>
        </w:trPr>
        <w:tc>
          <w:tcPr>
            <w:tcW w:w="55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Outstanding at the end of the period</w:t>
            </w:r>
          </w:p>
        </w:tc>
        <w:tc>
          <w:tcPr>
            <w:tcW w:w="220" w:type="dxa"/>
            <w:vAlign w:val="bottom"/>
            <w:tcBorders>
              <w:top w:val="single" w:sz="8" w:color="CCEEFF"/>
              <w:bottom w:val="single" w:sz="8" w:color="CCEEFF"/>
            </w:tcBorders>
            <w:gridSpan w:val="2"/>
          </w:tcPr>
          <w:p>
            <w:pPr>
              <w:spacing w:after="0"/>
              <w:rPr>
                <w:sz w:val="24"/>
                <w:szCs w:val="2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6,640,449</w:t>
            </w:r>
          </w:p>
        </w:tc>
        <w:tc>
          <w:tcPr>
            <w:tcW w:w="220" w:type="dxa"/>
            <w:vAlign w:val="bottom"/>
            <w:tcBorders>
              <w:top w:val="single" w:sz="8" w:color="CCEEFF"/>
              <w:bottom w:val="single" w:sz="8" w:color="CCEEFF"/>
            </w:tcBorders>
          </w:tcPr>
          <w:p>
            <w:pPr>
              <w:spacing w:after="0"/>
              <w:rPr>
                <w:sz w:val="24"/>
                <w:szCs w:val="24"/>
                <w:color w:val="auto"/>
              </w:rPr>
            </w:pPr>
          </w:p>
        </w:tc>
        <w:tc>
          <w:tcPr>
            <w:tcW w:w="20" w:type="dxa"/>
            <w:vAlign w:val="bottom"/>
            <w:tcBorders>
              <w:top w:val="single" w:sz="8" w:color="CCEEFF"/>
              <w:bottom w:val="single" w:sz="8" w:color="CCEEFF"/>
            </w:tcBorders>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7,305,838</w:t>
            </w:r>
          </w:p>
        </w:tc>
      </w:tr>
      <w:tr>
        <w:trPr>
          <w:trHeight w:val="244"/>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Thereof vested (and expensed)</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6,640,449</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7,305,838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-873760</wp:posOffset>
            </wp:positionV>
            <wp:extent cx="427736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11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665,389 virtual shares awarded in April 2019 (2018: none) were to the management.</w:t>
      </w:r>
    </w:p>
    <w:p>
      <w:pPr>
        <w:spacing w:after="0" w:line="158" w:lineRule="exact"/>
        <w:rPr>
          <w:sz w:val="20"/>
          <w:szCs w:val="20"/>
          <w:color w:val="auto"/>
        </w:rPr>
      </w:pPr>
    </w:p>
    <w:p>
      <w:pPr>
        <w:ind w:left="1260" w:right="619" w:firstLine="648"/>
        <w:spacing w:after="0" w:line="277" w:lineRule="auto"/>
        <w:rPr>
          <w:sz w:val="20"/>
          <w:szCs w:val="20"/>
          <w:color w:val="auto"/>
        </w:rPr>
      </w:pPr>
      <w:r>
        <w:rPr>
          <w:rFonts w:ascii="Arial" w:cs="Arial" w:eastAsia="Arial" w:hAnsi="Arial"/>
          <w:sz w:val="18"/>
          <w:szCs w:val="18"/>
          <w:color w:val="auto"/>
        </w:rPr>
        <w:t>As of December 31, 2019, and 2018, none of the virtual shares of the Prior VSOP are exercisable because an exit event or capital market transaction has not occurred.</w:t>
      </w:r>
    </w:p>
    <w:p>
      <w:pPr>
        <w:spacing w:after="0" w:line="85" w:lineRule="exact"/>
        <w:rPr>
          <w:sz w:val="20"/>
          <w:szCs w:val="20"/>
          <w:color w:val="auto"/>
        </w:rPr>
      </w:pPr>
    </w:p>
    <w:p>
      <w:pPr>
        <w:ind w:left="1900"/>
        <w:spacing w:after="0"/>
        <w:rPr>
          <w:sz w:val="20"/>
          <w:szCs w:val="20"/>
          <w:color w:val="auto"/>
        </w:rPr>
      </w:pPr>
      <w:r>
        <w:rPr>
          <w:rFonts w:ascii="Arial" w:cs="Arial" w:eastAsia="Arial" w:hAnsi="Arial"/>
          <w:sz w:val="15"/>
          <w:szCs w:val="15"/>
          <w:b w:val="1"/>
          <w:bCs w:val="1"/>
          <w:color w:val="auto"/>
        </w:rPr>
        <w:t>(Expense) / benefit recognized in the statement of operations and other comprehensive income (loss)</w:t>
      </w:r>
    </w:p>
    <w:p>
      <w:pPr>
        <w:spacing w:after="0" w:line="196"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(expense) / benefit recognized for share-based payment plans during 2018 and 2019 is as</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follows:</w:t>
      </w:r>
    </w:p>
    <w:p>
      <w:pPr>
        <w:spacing w:after="0" w:line="148"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6"/>
                <w:szCs w:val="16"/>
                <w:color w:val="auto"/>
              </w:rPr>
            </w:pPr>
          </w:p>
        </w:tc>
        <w:tc>
          <w:tcPr>
            <w:tcW w:w="460" w:type="dxa"/>
            <w:vAlign w:val="bottom"/>
          </w:tcPr>
          <w:p>
            <w:pPr>
              <w:jc w:val="right"/>
              <w:ind w:right="17"/>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r>
      <w:tr>
        <w:trPr>
          <w:trHeight w:val="25"/>
        </w:trPr>
        <w:tc>
          <w:tcPr>
            <w:tcW w:w="63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6360" w:type="dxa"/>
            <w:vAlign w:val="bottom"/>
          </w:tcPr>
          <w:p>
            <w:pPr>
              <w:spacing w:after="0"/>
              <w:rPr>
                <w:sz w:val="17"/>
                <w:szCs w:val="17"/>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EUR k</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6"/>
              </w:rPr>
              <w:t>EUR k</w:t>
            </w:r>
          </w:p>
        </w:tc>
      </w:tr>
      <w:tr>
        <w:trPr>
          <w:trHeight w:val="25"/>
        </w:trPr>
        <w:tc>
          <w:tcPr>
            <w:tcW w:w="6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gridSpan w:val="2"/>
          </w:tcPr>
          <w:p>
            <w:pPr>
              <w:spacing w:after="0"/>
              <w:rPr>
                <w:sz w:val="2"/>
                <w:szCs w:val="2"/>
                <w:color w:val="auto"/>
              </w:rPr>
            </w:pPr>
          </w:p>
        </w:tc>
      </w:tr>
      <w:tr>
        <w:trPr>
          <w:trHeight w:val="256"/>
        </w:trPr>
        <w:tc>
          <w:tcPr>
            <w:tcW w:w="6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4,229</w:t>
            </w:r>
          </w:p>
        </w:tc>
        <w:tc>
          <w:tcPr>
            <w:tcW w:w="240" w:type="dxa"/>
            <w:vAlign w:val="bottom"/>
            <w:tcBorders>
              <w:right w:val="single" w:sz="8" w:color="CCEEFF"/>
            </w:tcBorders>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r>
      <w:tr>
        <w:trPr>
          <w:trHeight w:val="263"/>
        </w:trPr>
        <w:tc>
          <w:tcPr>
            <w:tcW w:w="63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(6,074)</w:t>
            </w:r>
          </w:p>
        </w:tc>
      </w:tr>
      <w:tr>
        <w:trPr>
          <w:trHeight w:val="20"/>
        </w:trPr>
        <w:tc>
          <w:tcPr>
            <w:tcW w:w="636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4,250</w:t>
            </w:r>
          </w:p>
        </w:tc>
        <w:tc>
          <w:tcPr>
            <w:tcW w:w="240" w:type="dxa"/>
            <w:vAlign w:val="bottom"/>
            <w:tcBorders>
              <w:right w:val="single" w:sz="8" w:color="CCEEFF"/>
            </w:tcBorders>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7"/>
              </w:rPr>
              <w:t>(6,074)</w:t>
            </w:r>
          </w:p>
        </w:tc>
        <w:tc>
          <w:tcPr>
            <w:tcW w:w="60" w:type="dxa"/>
            <w:vAlign w:val="bottom"/>
          </w:tcPr>
          <w:p>
            <w:pPr>
              <w:spacing w:after="0"/>
              <w:rPr>
                <w:sz w:val="22"/>
                <w:szCs w:val="22"/>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-205105</wp:posOffset>
            </wp:positionV>
            <wp:extent cx="444881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4448810" cy="8890"/>
                    </a:xfrm>
                    <a:prstGeom prst="rect">
                      <a:avLst/>
                    </a:prstGeom>
                    <a:noFill/>
                  </pic:spPr>
                </pic:pic>
              </a:graphicData>
            </a:graphic>
          </wp:anchor>
        </w:drawing>
      </w:r>
    </w:p>
    <w:p>
      <w:pPr>
        <w:spacing w:after="0" w:line="20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Refer to Note 3 for further information regarding the benefit recognized in 2018.</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Measurement of Fair Values</w:t>
      </w:r>
    </w:p>
    <w:p>
      <w:pPr>
        <w:spacing w:after="0" w:line="148" w:lineRule="exact"/>
        <w:rPr>
          <w:sz w:val="20"/>
          <w:szCs w:val="20"/>
          <w:color w:val="auto"/>
        </w:rPr>
      </w:pPr>
    </w:p>
    <w:p>
      <w:pPr>
        <w:ind w:left="1260" w:right="519" w:firstLine="648"/>
        <w:spacing w:after="0" w:line="257" w:lineRule="auto"/>
        <w:rPr>
          <w:sz w:val="20"/>
          <w:szCs w:val="20"/>
          <w:color w:val="auto"/>
        </w:rPr>
      </w:pPr>
      <w:r>
        <w:rPr>
          <w:rFonts w:ascii="Arial" w:cs="Arial" w:eastAsia="Arial" w:hAnsi="Arial"/>
          <w:sz w:val="18"/>
          <w:szCs w:val="18"/>
          <w:color w:val="auto"/>
        </w:rPr>
        <w:t>The grant date fair value of the 665,389 virtual shares granted on April 18, 2019 was derived from the estimated equity value of CureVac on that date because the beneficiary is entitled to shares of CureVac for nominal amount in the case of an IPO without taking into consideration the liquidation preferences of the Series B and C shares (as described in Note 8. Equity), which lead to a fair value of one virtual share of EUR 9.13 at that time.</w:t>
      </w:r>
    </w:p>
    <w:p>
      <w:pPr>
        <w:spacing w:after="0" w:line="120" w:lineRule="exact"/>
        <w:rPr>
          <w:sz w:val="20"/>
          <w:szCs w:val="20"/>
          <w:color w:val="auto"/>
        </w:rPr>
      </w:pPr>
    </w:p>
    <w:p>
      <w:pPr>
        <w:jc w:val="both"/>
        <w:ind w:left="1260" w:right="699" w:firstLine="648"/>
        <w:spacing w:after="0" w:line="263" w:lineRule="auto"/>
        <w:rPr>
          <w:sz w:val="20"/>
          <w:szCs w:val="20"/>
          <w:color w:val="auto"/>
        </w:rPr>
      </w:pPr>
      <w:r>
        <w:rPr>
          <w:rFonts w:ascii="Arial" w:cs="Arial" w:eastAsia="Arial" w:hAnsi="Arial"/>
          <w:sz w:val="18"/>
          <w:szCs w:val="18"/>
          <w:color w:val="auto"/>
        </w:rPr>
        <w:t>The grant date fair value of the equity-settled virtual shares granted in prior years was estimated when the modification occurred in July 2016, based on the valuations underlying the financing round in 2016 as this was the best indicator of the grant date fair value at that time.</w:t>
      </w:r>
    </w:p>
    <w:p>
      <w:pPr>
        <w:spacing w:after="0" w:line="116" w:lineRule="exact"/>
        <w:rPr>
          <w:sz w:val="20"/>
          <w:szCs w:val="20"/>
          <w:color w:val="auto"/>
        </w:rPr>
      </w:pPr>
    </w:p>
    <w:p>
      <w:pPr>
        <w:ind w:left="1260" w:right="439" w:firstLine="648"/>
        <w:spacing w:after="0" w:line="263" w:lineRule="auto"/>
        <w:rPr>
          <w:sz w:val="20"/>
          <w:szCs w:val="20"/>
          <w:color w:val="auto"/>
        </w:rPr>
      </w:pPr>
      <w:r>
        <w:rPr>
          <w:rFonts w:ascii="Arial" w:cs="Arial" w:eastAsia="Arial" w:hAnsi="Arial"/>
          <w:sz w:val="18"/>
          <w:szCs w:val="18"/>
          <w:color w:val="auto"/>
        </w:rPr>
        <w:t>The vested virtual share entitlements of former employees who are not participating in the modified award are accounted for as cash-settled and are measured by reference to the Company’s value at the time they left the Company.</w:t>
      </w:r>
    </w:p>
    <w:p>
      <w:pPr>
        <w:sectPr>
          <w:pgSz w:w="11900" w:h="16838" w:orient="portrait"/>
          <w:cols w:equalWidth="0" w:num="1">
            <w:col w:w="9879"/>
          </w:cols>
          <w:pgMar w:left="580" w:top="131" w:right="1440" w:bottom="1440" w:gutter="0" w:footer="0" w:header="0"/>
        </w:sectPr>
      </w:pPr>
    </w:p>
    <w:p>
      <w:pPr>
        <w:spacing w:after="0" w:line="35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62" w:name="page363"/>
    <w:bookmarkEnd w:id="362"/>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19" w:firstLine="648"/>
        <w:spacing w:after="0" w:line="243" w:lineRule="auto"/>
        <w:rPr>
          <w:sz w:val="20"/>
          <w:szCs w:val="20"/>
          <w:color w:val="auto"/>
        </w:rPr>
      </w:pPr>
      <w:r>
        <w:rPr>
          <w:rFonts w:ascii="Arial" w:cs="Arial" w:eastAsia="Arial" w:hAnsi="Arial"/>
          <w:sz w:val="18"/>
          <w:szCs w:val="18"/>
          <w:color w:val="auto"/>
        </w:rPr>
        <w:t>Since all virtual shares have, in the case of an IPO, no exercise price, common inputs to option pricing models include expected volatility, risk-free interest rate, life of the virtual shares, dividends expected, and did not significantly affect the fair value of the virtual shares and the total share option expense in fiscal 2019 and 2018.</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9.3 Virtual shares program II (New VSOP)</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Description of the program</w:t>
      </w:r>
    </w:p>
    <w:p>
      <w:pPr>
        <w:spacing w:after="0" w:line="162" w:lineRule="exact"/>
        <w:rPr>
          <w:sz w:val="20"/>
          <w:szCs w:val="20"/>
          <w:color w:val="auto"/>
        </w:rPr>
      </w:pPr>
    </w:p>
    <w:p>
      <w:pPr>
        <w:ind w:left="1260" w:right="759" w:firstLine="648"/>
        <w:spacing w:after="0" w:line="261" w:lineRule="auto"/>
        <w:rPr>
          <w:sz w:val="20"/>
          <w:szCs w:val="20"/>
          <w:color w:val="auto"/>
        </w:rPr>
      </w:pPr>
      <w:r>
        <w:rPr>
          <w:rFonts w:ascii="Arial" w:cs="Arial" w:eastAsia="Arial" w:hAnsi="Arial"/>
          <w:sz w:val="18"/>
          <w:szCs w:val="18"/>
          <w:color w:val="auto"/>
        </w:rPr>
        <w:t>Effective November 25, 2019, the Group granted 745,236 share options to 11 key employees of CureVac Inc. under the New VSOP program.</w:t>
      </w:r>
    </w:p>
    <w:p>
      <w:pPr>
        <w:spacing w:after="0" w:line="10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main features of this program are as follows:</w:t>
      </w:r>
    </w:p>
    <w:p>
      <w:pPr>
        <w:spacing w:after="0" w:line="117" w:lineRule="exact"/>
        <w:rPr>
          <w:sz w:val="20"/>
          <w:szCs w:val="20"/>
          <w:color w:val="auto"/>
        </w:rPr>
      </w:pPr>
    </w:p>
    <w:p>
      <w:pPr>
        <w:ind w:left="2260" w:hanging="352"/>
        <w:spacing w:after="0"/>
        <w:tabs>
          <w:tab w:leader="none" w:pos="22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Settlement conditions:</w:t>
      </w:r>
    </w:p>
    <w:p>
      <w:pPr>
        <w:spacing w:after="0" w:line="103" w:lineRule="exact"/>
        <w:rPr>
          <w:rFonts w:ascii="Arial" w:cs="Arial" w:eastAsia="Arial" w:hAnsi="Arial"/>
          <w:sz w:val="18"/>
          <w:szCs w:val="18"/>
          <w:color w:val="auto"/>
        </w:rPr>
      </w:pPr>
    </w:p>
    <w:p>
      <w:pPr>
        <w:ind w:left="2920" w:right="1039" w:hanging="364"/>
        <w:spacing w:after="0" w:line="277" w:lineRule="auto"/>
        <w:tabs>
          <w:tab w:leader="none" w:pos="292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Options represent a cash-claim against CureVac if proceeds generated upon an exercise event exceed the exercise price</w:t>
      </w:r>
    </w:p>
    <w:p>
      <w:pPr>
        <w:spacing w:after="0" w:line="62" w:lineRule="exact"/>
        <w:rPr>
          <w:rFonts w:ascii="Arial" w:cs="Arial" w:eastAsia="Arial" w:hAnsi="Arial"/>
          <w:sz w:val="18"/>
          <w:szCs w:val="18"/>
          <w:color w:val="auto"/>
        </w:rPr>
      </w:pPr>
    </w:p>
    <w:p>
      <w:pPr>
        <w:ind w:left="2920" w:right="1059" w:hanging="364"/>
        <w:spacing w:after="0" w:line="277" w:lineRule="auto"/>
        <w:tabs>
          <w:tab w:leader="none" w:pos="292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If CureVac’s shares are publicly listed at the time of exercise, CureVac has the discretion to fulfill such cash-claim by delivering shares</w:t>
      </w:r>
    </w:p>
    <w:p>
      <w:pPr>
        <w:spacing w:after="0" w:line="62" w:lineRule="exact"/>
        <w:rPr>
          <w:rFonts w:ascii="Arial" w:cs="Arial" w:eastAsia="Arial" w:hAnsi="Arial"/>
          <w:sz w:val="18"/>
          <w:szCs w:val="18"/>
          <w:color w:val="auto"/>
        </w:rPr>
      </w:pPr>
    </w:p>
    <w:p>
      <w:pPr>
        <w:ind w:left="2260" w:hanging="352"/>
        <w:spacing w:after="0"/>
        <w:tabs>
          <w:tab w:leader="none" w:pos="22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Exercise Price: USD 6.21 per share option</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Exercise Events include:</w:t>
      </w:r>
    </w:p>
    <w:p>
      <w:pPr>
        <w:spacing w:after="0" w:line="117" w:lineRule="exact"/>
        <w:rPr>
          <w:rFonts w:ascii="Arial" w:cs="Arial" w:eastAsia="Arial" w:hAnsi="Arial"/>
          <w:sz w:val="18"/>
          <w:szCs w:val="18"/>
          <w:color w:val="auto"/>
        </w:rPr>
      </w:pPr>
    </w:p>
    <w:p>
      <w:pPr>
        <w:ind w:left="2920" w:hanging="364"/>
        <w:spacing w:after="0"/>
        <w:tabs>
          <w:tab w:leader="none" w:pos="292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an Asset-, Share- or Merger-Deal,</w:t>
      </w:r>
    </w:p>
    <w:p>
      <w:pPr>
        <w:spacing w:after="0" w:line="117" w:lineRule="exact"/>
        <w:rPr>
          <w:rFonts w:ascii="Arial" w:cs="Arial" w:eastAsia="Arial" w:hAnsi="Arial"/>
          <w:sz w:val="18"/>
          <w:szCs w:val="18"/>
          <w:color w:val="auto"/>
        </w:rPr>
      </w:pPr>
    </w:p>
    <w:p>
      <w:pPr>
        <w:ind w:left="2920" w:right="619" w:hanging="364"/>
        <w:spacing w:after="0" w:line="277" w:lineRule="auto"/>
        <w:tabs>
          <w:tab w:leader="none" w:pos="292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an Equity Financing: if more than 50% of the investment is by parties other than the existing shareholders, or</w:t>
      </w:r>
    </w:p>
    <w:p>
      <w:pPr>
        <w:spacing w:after="0" w:line="62" w:lineRule="exact"/>
        <w:rPr>
          <w:rFonts w:ascii="Arial" w:cs="Arial" w:eastAsia="Arial" w:hAnsi="Arial"/>
          <w:sz w:val="18"/>
          <w:szCs w:val="18"/>
          <w:color w:val="auto"/>
        </w:rPr>
      </w:pPr>
    </w:p>
    <w:p>
      <w:pPr>
        <w:ind w:left="2920" w:hanging="364"/>
        <w:spacing w:after="0"/>
        <w:tabs>
          <w:tab w:leader="none" w:pos="292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after IPO subject to lock up restrictions and applicable trading windows,</w:t>
      </w:r>
    </w:p>
    <w:p>
      <w:pPr>
        <w:spacing w:after="0" w:line="117" w:lineRule="exact"/>
        <w:rPr>
          <w:rFonts w:ascii="Arial" w:cs="Arial" w:eastAsia="Arial" w:hAnsi="Arial"/>
          <w:sz w:val="18"/>
          <w:szCs w:val="18"/>
          <w:color w:val="auto"/>
        </w:rPr>
      </w:pPr>
    </w:p>
    <w:p>
      <w:pPr>
        <w:ind w:left="2260" w:right="479" w:hanging="352"/>
        <w:spacing w:after="0" w:line="277" w:lineRule="auto"/>
        <w:tabs>
          <w:tab w:leader="none" w:pos="22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awards vest over a period of four years, which starts on date the awardee was hired by the Group, whereby:</w:t>
      </w:r>
    </w:p>
    <w:p>
      <w:pPr>
        <w:spacing w:after="0" w:line="62" w:lineRule="exact"/>
        <w:rPr>
          <w:rFonts w:ascii="Arial" w:cs="Arial" w:eastAsia="Arial" w:hAnsi="Arial"/>
          <w:sz w:val="18"/>
          <w:szCs w:val="18"/>
          <w:color w:val="auto"/>
        </w:rPr>
      </w:pPr>
    </w:p>
    <w:p>
      <w:pPr>
        <w:ind w:left="2920" w:hanging="364"/>
        <w:spacing w:after="0"/>
        <w:tabs>
          <w:tab w:leader="none" w:pos="292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25% of the Options vest after the end of the 1st year after vesting start and</w:t>
      </w:r>
    </w:p>
    <w:p>
      <w:pPr>
        <w:spacing w:after="0" w:line="117" w:lineRule="exact"/>
        <w:rPr>
          <w:rFonts w:ascii="Arial" w:cs="Arial" w:eastAsia="Arial" w:hAnsi="Arial"/>
          <w:sz w:val="18"/>
          <w:szCs w:val="18"/>
          <w:color w:val="auto"/>
        </w:rPr>
      </w:pPr>
    </w:p>
    <w:p>
      <w:pPr>
        <w:ind w:left="2920" w:hanging="364"/>
        <w:spacing w:after="0"/>
        <w:tabs>
          <w:tab w:leader="none" w:pos="292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the remaining 75% shall vest monthly thereafter</w:t>
      </w:r>
    </w:p>
    <w:p>
      <w:pPr>
        <w:spacing w:after="0" w:line="117" w:lineRule="exact"/>
        <w:rPr>
          <w:rFonts w:ascii="Arial" w:cs="Arial" w:eastAsia="Arial" w:hAnsi="Arial"/>
          <w:sz w:val="18"/>
          <w:szCs w:val="18"/>
          <w:color w:val="auto"/>
        </w:rPr>
      </w:pPr>
    </w:p>
    <w:p>
      <w:pPr>
        <w:ind w:left="2260" w:right="619" w:hanging="352"/>
        <w:spacing w:after="0" w:line="277" w:lineRule="auto"/>
        <w:tabs>
          <w:tab w:leader="none" w:pos="22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Term of the program: 10 years, which is also approximately the weighted-average remaining life of the option awards as of December 31, 2019</w:t>
      </w:r>
    </w:p>
    <w:p>
      <w:pPr>
        <w:spacing w:after="0" w:line="103" w:lineRule="exact"/>
        <w:rPr>
          <w:sz w:val="20"/>
          <w:szCs w:val="20"/>
          <w:color w:val="auto"/>
        </w:rPr>
      </w:pPr>
    </w:p>
    <w:p>
      <w:pPr>
        <w:ind w:left="1260" w:right="479" w:firstLine="648"/>
        <w:spacing w:after="0" w:line="277" w:lineRule="auto"/>
        <w:rPr>
          <w:sz w:val="20"/>
          <w:szCs w:val="20"/>
          <w:color w:val="auto"/>
        </w:rPr>
      </w:pPr>
      <w:r>
        <w:rPr>
          <w:rFonts w:ascii="Arial" w:cs="Arial" w:eastAsia="Arial" w:hAnsi="Arial"/>
          <w:sz w:val="18"/>
          <w:szCs w:val="18"/>
          <w:color w:val="auto"/>
        </w:rPr>
        <w:t>As CureVac considers an IPO-scenario most probable and has the discretion and the stated intent to settle in shares instead of cash, CureVac accounts for this program as equity-settled.</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Measurement of Fair Values</w:t>
      </w:r>
    </w:p>
    <w:p>
      <w:pPr>
        <w:spacing w:after="0" w:line="162" w:lineRule="exact"/>
        <w:rPr>
          <w:sz w:val="20"/>
          <w:szCs w:val="20"/>
          <w:color w:val="auto"/>
        </w:rPr>
      </w:pPr>
    </w:p>
    <w:p>
      <w:pPr>
        <w:ind w:left="1260" w:right="639" w:firstLine="648"/>
        <w:spacing w:after="0" w:line="263" w:lineRule="auto"/>
        <w:rPr>
          <w:sz w:val="20"/>
          <w:szCs w:val="20"/>
          <w:color w:val="auto"/>
        </w:rPr>
      </w:pPr>
      <w:r>
        <w:rPr>
          <w:rFonts w:ascii="Arial" w:cs="Arial" w:eastAsia="Arial" w:hAnsi="Arial"/>
          <w:sz w:val="18"/>
          <w:szCs w:val="18"/>
          <w:color w:val="auto"/>
        </w:rPr>
        <w:t>An advanced Black-Scholes Model (Enhanced American Stock Option Model) has been used to measure the fair value at the grant date of November 25, 2019. The inputs used in the measurement of the fair value at grant date were as follows:</w:t>
      </w:r>
    </w:p>
    <w:p>
      <w:pPr>
        <w:spacing w:after="0" w:line="139"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EUR3.80</w:t>
            </w:r>
          </w:p>
        </w:tc>
        <w:tc>
          <w:tcPr>
            <w:tcW w:w="140" w:type="dxa"/>
            <w:vAlign w:val="bottom"/>
          </w:tcPr>
          <w:p>
            <w:pPr>
              <w:spacing w:after="0"/>
              <w:rPr>
                <w:sz w:val="18"/>
                <w:szCs w:val="18"/>
                <w:color w:val="auto"/>
              </w:rPr>
            </w:pPr>
          </w:p>
        </w:tc>
      </w:tr>
      <w:tr>
        <w:trPr>
          <w:trHeight w:val="256"/>
        </w:trPr>
        <w:tc>
          <w:tcPr>
            <w:tcW w:w="4520" w:type="dxa"/>
            <w:vAlign w:val="bottom"/>
          </w:tcPr>
          <w:p>
            <w:pPr>
              <w:spacing w:after="0"/>
              <w:rPr>
                <w:sz w:val="20"/>
                <w:szCs w:val="20"/>
                <w:color w:val="auto"/>
              </w:rPr>
            </w:pPr>
            <w:r>
              <w:rPr>
                <w:rFonts w:ascii="Arial" w:cs="Arial" w:eastAsia="Arial" w:hAnsi="Arial"/>
                <w:sz w:val="18"/>
                <w:szCs w:val="18"/>
                <w:color w:val="auto"/>
              </w:rPr>
              <w:t>Weighted average share price</w:t>
            </w:r>
          </w:p>
        </w:tc>
        <w:tc>
          <w:tcPr>
            <w:tcW w:w="3100" w:type="dxa"/>
            <w:vAlign w:val="bottom"/>
            <w:gridSpan w:val="2"/>
          </w:tcPr>
          <w:p>
            <w:pPr>
              <w:jc w:val="right"/>
              <w:ind w:right="140"/>
              <w:spacing w:after="0"/>
              <w:rPr>
                <w:sz w:val="20"/>
                <w:szCs w:val="20"/>
                <w:color w:val="auto"/>
              </w:rPr>
            </w:pPr>
            <w:r>
              <w:rPr>
                <w:rFonts w:ascii="Arial" w:cs="Arial" w:eastAsia="Arial" w:hAnsi="Arial"/>
                <w:sz w:val="18"/>
                <w:szCs w:val="18"/>
                <w:color w:val="auto"/>
              </w:rPr>
              <w:t>EUR9.19</w:t>
            </w:r>
          </w:p>
        </w:tc>
      </w:tr>
      <w:tr>
        <w:trPr>
          <w:trHeight w:val="27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Exercise price (USD 6.21)</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EUR5.64</w:t>
            </w:r>
          </w:p>
        </w:tc>
        <w:tc>
          <w:tcPr>
            <w:tcW w:w="140" w:type="dxa"/>
            <w:vAlign w:val="bottom"/>
          </w:tcPr>
          <w:p>
            <w:pPr>
              <w:spacing w:after="0"/>
              <w:rPr>
                <w:sz w:val="23"/>
                <w:szCs w:val="23"/>
                <w:color w:val="auto"/>
              </w:rPr>
            </w:pPr>
          </w:p>
        </w:tc>
      </w:tr>
      <w:tr>
        <w:trPr>
          <w:trHeight w:val="270"/>
        </w:trPr>
        <w:tc>
          <w:tcPr>
            <w:tcW w:w="4520" w:type="dxa"/>
            <w:vAlign w:val="bottom"/>
          </w:tcPr>
          <w:p>
            <w:pPr>
              <w:spacing w:after="0"/>
              <w:rPr>
                <w:sz w:val="20"/>
                <w:szCs w:val="20"/>
                <w:color w:val="auto"/>
              </w:rPr>
            </w:pPr>
            <w:r>
              <w:rPr>
                <w:rFonts w:ascii="Arial" w:cs="Arial" w:eastAsia="Arial" w:hAnsi="Arial"/>
                <w:sz w:val="18"/>
                <w:szCs w:val="18"/>
                <w:color w:val="auto"/>
              </w:rPr>
              <w:t>Expected volatility (%)</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50.0%</w:t>
            </w:r>
          </w:p>
        </w:tc>
      </w:tr>
      <w:tr>
        <w:trPr>
          <w:trHeight w:val="27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23"/>
                <w:szCs w:val="23"/>
                <w:color w:val="auto"/>
              </w:rPr>
            </w:pPr>
          </w:p>
        </w:tc>
      </w:tr>
      <w:tr>
        <w:trPr>
          <w:trHeight w:val="270"/>
        </w:trPr>
        <w:tc>
          <w:tcPr>
            <w:tcW w:w="4520" w:type="dxa"/>
            <w:vAlign w:val="bottom"/>
          </w:tcPr>
          <w:p>
            <w:pPr>
              <w:spacing w:after="0"/>
              <w:rPr>
                <w:sz w:val="20"/>
                <w:szCs w:val="20"/>
                <w:color w:val="auto"/>
              </w:rPr>
            </w:pPr>
            <w:r>
              <w:rPr>
                <w:rFonts w:ascii="Arial" w:cs="Arial" w:eastAsia="Arial" w:hAnsi="Arial"/>
                <w:sz w:val="18"/>
                <w:szCs w:val="18"/>
                <w:color w:val="auto"/>
              </w:rPr>
              <w:t>Risk-free interest rate (%)</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1.77%</w:t>
            </w:r>
          </w:p>
        </w:tc>
      </w:tr>
    </w:tbl>
    <w:p>
      <w:pPr>
        <w:spacing w:after="0" w:line="134" w:lineRule="exact"/>
        <w:rPr>
          <w:sz w:val="20"/>
          <w:szCs w:val="20"/>
          <w:color w:val="auto"/>
        </w:rPr>
      </w:pPr>
    </w:p>
    <w:p>
      <w:pPr>
        <w:ind w:left="1260" w:right="479" w:firstLine="648"/>
        <w:spacing w:after="0" w:line="259" w:lineRule="auto"/>
        <w:rPr>
          <w:sz w:val="20"/>
          <w:szCs w:val="20"/>
          <w:color w:val="auto"/>
        </w:rPr>
      </w:pPr>
      <w:r>
        <w:rPr>
          <w:rFonts w:ascii="Arial" w:cs="Arial" w:eastAsia="Arial" w:hAnsi="Arial"/>
          <w:sz w:val="18"/>
          <w:szCs w:val="18"/>
          <w:color w:val="auto"/>
        </w:rPr>
        <w:t>The awards’ per share exercise price is the Euro translation of November 25, 2019, which was 0.90 USD / EUR. Expected volatility was based on an evaluation of the historical volatilities of comparable listed biotech-companies over the historical period commensurate with the expected option life. The expected</w:t>
      </w:r>
    </w:p>
    <w:p>
      <w:pPr>
        <w:sectPr>
          <w:pgSz w:w="11900" w:h="16838" w:orient="portrait"/>
          <w:cols w:equalWidth="0" w:num="1">
            <w:col w:w="9879"/>
          </w:cols>
          <w:pgMar w:left="580" w:top="131" w:right="1440" w:bottom="1440" w:gutter="0" w:footer="0" w:header="0"/>
        </w:sectPr>
      </w:pPr>
    </w:p>
    <w:p>
      <w:pPr>
        <w:spacing w:after="0" w:line="36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63" w:name="page364"/>
    <w:bookmarkEnd w:id="363"/>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39"/>
        <w:spacing w:after="0" w:line="243" w:lineRule="auto"/>
        <w:rPr>
          <w:sz w:val="20"/>
          <w:szCs w:val="20"/>
          <w:color w:val="auto"/>
        </w:rPr>
      </w:pPr>
      <w:r>
        <w:rPr>
          <w:rFonts w:ascii="Arial" w:cs="Arial" w:eastAsia="Arial" w:hAnsi="Arial"/>
          <w:sz w:val="18"/>
          <w:szCs w:val="18"/>
          <w:color w:val="auto"/>
        </w:rPr>
        <w:t>life of the awards was based on the assumptions that the beneficiaries would exercise their fully vested award at the first time possible (taking into account lock-up and potential trading windows restrictions). The risk-free interest was derived from US-government bonds because the granted awards were only to US employees on US territories in an IPO-scenario for a Nasdaq listed company.</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Reconciliation of outstanding awards</w:t>
      </w:r>
    </w:p>
    <w:p>
      <w:pPr>
        <w:spacing w:after="0" w:line="16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number of awards in this program granted to key employees in 2019 were as follows:</w:t>
      </w:r>
    </w:p>
    <w:p>
      <w:pPr>
        <w:spacing w:after="0" w:line="181"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the beginning of the period</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040" w:type="dxa"/>
            <w:vAlign w:val="bottom"/>
          </w:tcPr>
          <w:p>
            <w:pPr>
              <w:spacing w:after="0"/>
              <w:rPr>
                <w:sz w:val="20"/>
                <w:szCs w:val="20"/>
                <w:color w:val="auto"/>
              </w:rPr>
            </w:pPr>
            <w:r>
              <w:rPr>
                <w:rFonts w:ascii="Arial" w:cs="Arial" w:eastAsia="Arial" w:hAnsi="Arial"/>
                <w:sz w:val="18"/>
                <w:szCs w:val="18"/>
                <w:color w:val="auto"/>
              </w:rPr>
              <w:t>Granted during the period</w:t>
            </w:r>
          </w:p>
        </w:tc>
        <w:tc>
          <w:tcPr>
            <w:tcW w:w="2440" w:type="dxa"/>
            <w:vAlign w:val="bottom"/>
          </w:tcPr>
          <w:p>
            <w:pPr>
              <w:jc w:val="right"/>
              <w:spacing w:after="0"/>
              <w:rPr>
                <w:sz w:val="20"/>
                <w:szCs w:val="20"/>
                <w:color w:val="auto"/>
              </w:rPr>
            </w:pPr>
            <w:r>
              <w:rPr>
                <w:rFonts w:ascii="Arial" w:cs="Arial" w:eastAsia="Arial" w:hAnsi="Arial"/>
                <w:sz w:val="18"/>
                <w:szCs w:val="18"/>
                <w:color w:val="auto"/>
              </w:rPr>
              <w:t>745,236</w:t>
            </w:r>
          </w:p>
        </w:tc>
      </w:tr>
      <w:tr>
        <w:trPr>
          <w:trHeight w:val="27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the end of the period</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745,236</w:t>
            </w:r>
          </w:p>
        </w:tc>
      </w:tr>
      <w:tr>
        <w:trPr>
          <w:trHeight w:val="270"/>
        </w:trPr>
        <w:tc>
          <w:tcPr>
            <w:tcW w:w="5040" w:type="dxa"/>
            <w:vAlign w:val="bottom"/>
          </w:tcPr>
          <w:p>
            <w:pPr>
              <w:spacing w:after="0"/>
              <w:rPr>
                <w:sz w:val="20"/>
                <w:szCs w:val="20"/>
                <w:color w:val="auto"/>
              </w:rPr>
            </w:pPr>
            <w:r>
              <w:rPr>
                <w:rFonts w:ascii="Arial" w:cs="Arial" w:eastAsia="Arial" w:hAnsi="Arial"/>
                <w:sz w:val="18"/>
                <w:szCs w:val="18"/>
                <w:color w:val="auto"/>
              </w:rPr>
              <w:t>Thereof vested</w:t>
            </w:r>
          </w:p>
        </w:tc>
        <w:tc>
          <w:tcPr>
            <w:tcW w:w="2440" w:type="dxa"/>
            <w:vAlign w:val="bottom"/>
          </w:tcPr>
          <w:p>
            <w:pPr>
              <w:jc w:val="right"/>
              <w:spacing w:after="0"/>
              <w:rPr>
                <w:sz w:val="20"/>
                <w:szCs w:val="20"/>
                <w:color w:val="auto"/>
              </w:rPr>
            </w:pPr>
            <w:r>
              <w:rPr>
                <w:rFonts w:ascii="Arial" w:cs="Arial" w:eastAsia="Arial" w:hAnsi="Arial"/>
                <w:sz w:val="18"/>
                <w:szCs w:val="18"/>
                <w:color w:val="auto"/>
              </w:rPr>
              <w:t>175,397</w:t>
            </w:r>
          </w:p>
        </w:tc>
      </w:tr>
      <w:tr>
        <w:trPr>
          <w:trHeight w:val="27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Thereof expensed</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284,387</w:t>
            </w:r>
          </w:p>
        </w:tc>
      </w:tr>
    </w:tbl>
    <w:p>
      <w:pPr>
        <w:spacing w:after="0" w:line="134" w:lineRule="exact"/>
        <w:rPr>
          <w:sz w:val="20"/>
          <w:szCs w:val="20"/>
          <w:color w:val="auto"/>
        </w:rPr>
      </w:pPr>
    </w:p>
    <w:p>
      <w:pPr>
        <w:ind w:left="1260" w:right="919" w:firstLine="648"/>
        <w:spacing w:after="0" w:line="261" w:lineRule="auto"/>
        <w:rPr>
          <w:sz w:val="20"/>
          <w:szCs w:val="20"/>
          <w:color w:val="auto"/>
        </w:rPr>
      </w:pPr>
      <w:r>
        <w:rPr>
          <w:rFonts w:ascii="Arial" w:cs="Arial" w:eastAsia="Arial" w:hAnsi="Arial"/>
          <w:sz w:val="18"/>
          <w:szCs w:val="18"/>
          <w:color w:val="auto"/>
        </w:rPr>
        <w:t>As of December 31, 2019, none of the awards are exercisable because an exit event or capital market transaction has not occurred.</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Expense recognized in the statement of operations and other comprehensive income (loss)</w:t>
      </w:r>
    </w:p>
    <w:p>
      <w:pPr>
        <w:spacing w:after="0" w:line="148" w:lineRule="exact"/>
        <w:rPr>
          <w:sz w:val="20"/>
          <w:szCs w:val="20"/>
          <w:color w:val="auto"/>
        </w:rPr>
      </w:pPr>
    </w:p>
    <w:p>
      <w:pPr>
        <w:ind w:left="1260" w:right="479" w:firstLine="648"/>
        <w:spacing w:after="0" w:line="261" w:lineRule="auto"/>
        <w:rPr>
          <w:sz w:val="20"/>
          <w:szCs w:val="20"/>
          <w:color w:val="auto"/>
        </w:rPr>
      </w:pPr>
      <w:r>
        <w:rPr>
          <w:rFonts w:ascii="Arial" w:cs="Arial" w:eastAsia="Arial" w:hAnsi="Arial"/>
          <w:sz w:val="18"/>
          <w:szCs w:val="18"/>
          <w:color w:val="auto"/>
        </w:rPr>
        <w:t>The expense recognized for employee services received during the years ended December 31, 2019 is shown in the following table:</w:t>
      </w:r>
    </w:p>
    <w:p>
      <w:pPr>
        <w:spacing w:after="0" w:line="122"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r>
      <w:tr>
        <w:trPr>
          <w:trHeight w:val="26"/>
        </w:trPr>
        <w:tc>
          <w:tcPr>
            <w:tcW w:w="70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7"/>
        </w:trPr>
        <w:tc>
          <w:tcPr>
            <w:tcW w:w="7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6"/>
              </w:rPr>
              <w:t>EUR k</w:t>
            </w:r>
          </w:p>
        </w:tc>
      </w:tr>
      <w:tr>
        <w:trPr>
          <w:trHeight w:val="26"/>
        </w:trPr>
        <w:tc>
          <w:tcPr>
            <w:tcW w:w="70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r>
      <w:tr>
        <w:trPr>
          <w:trHeight w:val="257"/>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60" w:type="dxa"/>
            <w:vAlign w:val="bottom"/>
          </w:tcPr>
          <w:p>
            <w:pPr>
              <w:spacing w:after="0"/>
              <w:rPr>
                <w:sz w:val="22"/>
                <w:szCs w:val="22"/>
                <w:color w:val="auto"/>
              </w:rPr>
            </w:pPr>
          </w:p>
        </w:tc>
      </w:tr>
      <w:tr>
        <w:trPr>
          <w:trHeight w:val="257"/>
        </w:trPr>
        <w:tc>
          <w:tcPr>
            <w:tcW w:w="7020" w:type="dxa"/>
            <w:vAlign w:val="bottom"/>
            <w:gridSpan w:val="2"/>
          </w:tcPr>
          <w:p>
            <w:pPr>
              <w:spacing w:after="0"/>
              <w:rPr>
                <w:sz w:val="20"/>
                <w:szCs w:val="20"/>
                <w:color w:val="auto"/>
              </w:rPr>
            </w:pPr>
            <w:r>
              <w:rPr>
                <w:rFonts w:ascii="Arial" w:cs="Arial" w:eastAsia="Arial" w:hAnsi="Arial"/>
                <w:sz w:val="18"/>
                <w:szCs w:val="18"/>
                <w:color w:val="auto"/>
              </w:rPr>
              <w:t>Selling and distribution expenses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(743)</w:t>
            </w:r>
          </w:p>
        </w:tc>
      </w:tr>
      <w:tr>
        <w:trPr>
          <w:trHeight w:val="263"/>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22"/>
                <w:szCs w:val="22"/>
                <w:color w:val="auto"/>
              </w:rPr>
            </w:pPr>
          </w:p>
        </w:tc>
      </w:tr>
      <w:tr>
        <w:trPr>
          <w:trHeight w:val="264"/>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(1,080)</w:t>
            </w:r>
          </w:p>
        </w:tc>
      </w:tr>
      <w:tr>
        <w:trPr>
          <w:trHeight w:val="20"/>
        </w:trPr>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9.4 Former Chief Executive Officer Grant</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Description of the program</w:t>
      </w:r>
    </w:p>
    <w:p>
      <w:pPr>
        <w:spacing w:after="0" w:line="162" w:lineRule="exact"/>
        <w:rPr>
          <w:sz w:val="20"/>
          <w:szCs w:val="20"/>
          <w:color w:val="auto"/>
        </w:rPr>
      </w:pPr>
    </w:p>
    <w:p>
      <w:pPr>
        <w:ind w:left="1260" w:right="539" w:firstLine="648"/>
        <w:spacing w:after="0" w:line="248" w:lineRule="auto"/>
        <w:rPr>
          <w:sz w:val="20"/>
          <w:szCs w:val="20"/>
          <w:color w:val="auto"/>
        </w:rPr>
      </w:pPr>
      <w:r>
        <w:rPr>
          <w:rFonts w:ascii="Arial" w:cs="Arial" w:eastAsia="Arial" w:hAnsi="Arial"/>
          <w:sz w:val="18"/>
          <w:szCs w:val="18"/>
          <w:color w:val="auto"/>
        </w:rPr>
        <w:t>On October 14, 2019, CureVac granted 3,866,309 options, which corresponded to 4% of the outstanding share capital of the Company at that time, to Dan Menichella, the then Chief Executive Officer (CEO) of CureVac from June 20, 2018 to March 10, 2020.</w:t>
      </w:r>
    </w:p>
    <w:p>
      <w:pPr>
        <w:spacing w:after="0" w:line="101"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main features of this program are as follows:</w:t>
      </w:r>
    </w:p>
    <w:p>
      <w:pPr>
        <w:spacing w:after="0" w:line="117" w:lineRule="exact"/>
        <w:rPr>
          <w:sz w:val="20"/>
          <w:szCs w:val="20"/>
          <w:color w:val="auto"/>
        </w:rPr>
      </w:pPr>
    </w:p>
    <w:p>
      <w:pPr>
        <w:ind w:left="2260" w:hanging="352"/>
        <w:spacing w:after="0"/>
        <w:tabs>
          <w:tab w:leader="none" w:pos="22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Settlement conditions:</w:t>
      </w:r>
    </w:p>
    <w:p>
      <w:pPr>
        <w:spacing w:after="0" w:line="117" w:lineRule="exact"/>
        <w:rPr>
          <w:rFonts w:ascii="Arial" w:cs="Arial" w:eastAsia="Arial" w:hAnsi="Arial"/>
          <w:sz w:val="18"/>
          <w:szCs w:val="18"/>
          <w:color w:val="auto"/>
        </w:rPr>
      </w:pPr>
    </w:p>
    <w:p>
      <w:pPr>
        <w:ind w:left="2920" w:right="999" w:hanging="364"/>
        <w:spacing w:after="0" w:line="277" w:lineRule="auto"/>
        <w:tabs>
          <w:tab w:leader="none" w:pos="292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Option represents a cash-claim against CureVac if the proceeds generated in an exercise event exceed the exercise price</w:t>
      </w:r>
    </w:p>
    <w:p>
      <w:pPr>
        <w:spacing w:after="0" w:line="62" w:lineRule="exact"/>
        <w:rPr>
          <w:rFonts w:ascii="Arial" w:cs="Arial" w:eastAsia="Arial" w:hAnsi="Arial"/>
          <w:sz w:val="18"/>
          <w:szCs w:val="18"/>
          <w:color w:val="auto"/>
        </w:rPr>
      </w:pPr>
    </w:p>
    <w:p>
      <w:pPr>
        <w:ind w:left="2920" w:right="479" w:hanging="364"/>
        <w:spacing w:after="0" w:line="277" w:lineRule="auto"/>
        <w:tabs>
          <w:tab w:leader="none" w:pos="292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If CureVac’s shares are publicly listed at the exercise date, CureVac has the discretion to fulfill such cash-claim by delivering shares, subject to further details</w:t>
      </w:r>
    </w:p>
    <w:p>
      <w:pPr>
        <w:spacing w:after="0" w:line="48" w:lineRule="exact"/>
        <w:rPr>
          <w:rFonts w:ascii="Arial" w:cs="Arial" w:eastAsia="Arial" w:hAnsi="Arial"/>
          <w:sz w:val="18"/>
          <w:szCs w:val="18"/>
          <w:color w:val="auto"/>
        </w:rPr>
      </w:pPr>
    </w:p>
    <w:p>
      <w:pPr>
        <w:ind w:left="2260" w:hanging="352"/>
        <w:spacing w:after="0"/>
        <w:tabs>
          <w:tab w:leader="none" w:pos="22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Exercise Price: USD 8.27 per share option</w:t>
      </w:r>
    </w:p>
    <w:p>
      <w:pPr>
        <w:spacing w:after="0" w:line="117" w:lineRule="exact"/>
        <w:rPr>
          <w:rFonts w:ascii="Arial" w:cs="Arial" w:eastAsia="Arial" w:hAnsi="Arial"/>
          <w:sz w:val="18"/>
          <w:szCs w:val="18"/>
          <w:color w:val="auto"/>
        </w:rPr>
      </w:pPr>
    </w:p>
    <w:p>
      <w:pPr>
        <w:ind w:left="2260" w:right="599" w:hanging="352"/>
        <w:spacing w:after="0" w:line="277" w:lineRule="auto"/>
        <w:tabs>
          <w:tab w:leader="none" w:pos="22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Exercise Events: The options are exercisable at any time, if the Exercise Price is exceeded in case of:</w:t>
      </w:r>
    </w:p>
    <w:p>
      <w:pPr>
        <w:spacing w:after="0" w:line="62" w:lineRule="exact"/>
        <w:rPr>
          <w:rFonts w:ascii="Arial" w:cs="Arial" w:eastAsia="Arial" w:hAnsi="Arial"/>
          <w:sz w:val="18"/>
          <w:szCs w:val="18"/>
          <w:color w:val="auto"/>
        </w:rPr>
      </w:pPr>
    </w:p>
    <w:p>
      <w:pPr>
        <w:ind w:left="2920" w:right="619" w:hanging="364"/>
        <w:spacing w:after="0" w:line="259" w:lineRule="auto"/>
        <w:tabs>
          <w:tab w:leader="none" w:pos="292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 financing round at the level of the Company if and to the extent more than 50% of the funds raised per any financing round (equity or non-equity) are contributed by parties other than the existing shareholders subject to further conditions, especially minimum amounts, or</w:t>
      </w:r>
    </w:p>
    <w:p>
      <w:pPr>
        <w:spacing w:after="0" w:line="78" w:lineRule="exact"/>
        <w:rPr>
          <w:rFonts w:ascii="Arial" w:cs="Arial" w:eastAsia="Arial" w:hAnsi="Arial"/>
          <w:sz w:val="18"/>
          <w:szCs w:val="18"/>
          <w:color w:val="auto"/>
        </w:rPr>
      </w:pPr>
    </w:p>
    <w:p>
      <w:pPr>
        <w:ind w:left="2920" w:hanging="364"/>
        <w:spacing w:after="0"/>
        <w:tabs>
          <w:tab w:leader="none" w:pos="292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 Change of Control of the Company, or</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64" w:name="page365"/>
    <w:bookmarkEnd w:id="364"/>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920" w:hanging="364"/>
        <w:spacing w:after="0"/>
        <w:tabs>
          <w:tab w:leader="none" w:pos="292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an IPO of the Company, or</w:t>
      </w:r>
    </w:p>
    <w:p>
      <w:pPr>
        <w:spacing w:after="0" w:line="144" w:lineRule="exact"/>
        <w:rPr>
          <w:rFonts w:ascii="Arial" w:cs="Arial" w:eastAsia="Arial" w:hAnsi="Arial"/>
          <w:sz w:val="18"/>
          <w:szCs w:val="18"/>
          <w:color w:val="auto"/>
        </w:rPr>
      </w:pPr>
    </w:p>
    <w:p>
      <w:pPr>
        <w:ind w:left="2920" w:hanging="364"/>
        <w:spacing w:after="0"/>
        <w:tabs>
          <w:tab w:leader="none" w:pos="292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no later than September 11, 2020, subject to further conditions,</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and</w:t>
      </w:r>
    </w:p>
    <w:p>
      <w:pPr>
        <w:spacing w:after="0" w:line="131" w:lineRule="exact"/>
        <w:rPr>
          <w:sz w:val="20"/>
          <w:szCs w:val="20"/>
          <w:color w:val="auto"/>
        </w:rPr>
      </w:pPr>
    </w:p>
    <w:p>
      <w:pPr>
        <w:ind w:left="2920" w:right="419" w:hanging="364"/>
        <w:spacing w:after="0" w:line="257" w:lineRule="auto"/>
        <w:tabs>
          <w:tab w:leader="none" w:pos="292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subject to applicable law and corporate governance rules after the respective vesting as described below and, in any case, not later than 10 years after the effective date, i.e., all options that are not exercised by June 20, 2028 expire without replacement and without compensation, which is also considered the remaining life of the options of 8.69 years as of December 31, 2019</w:t>
      </w:r>
    </w:p>
    <w:p>
      <w:pPr>
        <w:spacing w:after="0" w:line="106" w:lineRule="exact"/>
        <w:rPr>
          <w:rFonts w:ascii="Arial" w:cs="Arial" w:eastAsia="Arial" w:hAnsi="Arial"/>
          <w:sz w:val="18"/>
          <w:szCs w:val="18"/>
          <w:color w:val="auto"/>
        </w:rPr>
      </w:pPr>
    </w:p>
    <w:p>
      <w:pPr>
        <w:ind w:left="2260" w:hanging="352"/>
        <w:spacing w:after="0"/>
        <w:tabs>
          <w:tab w:leader="none" w:pos="22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Vesting period of four years, whereby:</w:t>
      </w:r>
    </w:p>
    <w:p>
      <w:pPr>
        <w:spacing w:after="0" w:line="130" w:lineRule="exact"/>
        <w:rPr>
          <w:rFonts w:ascii="Arial" w:cs="Arial" w:eastAsia="Arial" w:hAnsi="Arial"/>
          <w:sz w:val="18"/>
          <w:szCs w:val="18"/>
          <w:color w:val="auto"/>
        </w:rPr>
      </w:pPr>
    </w:p>
    <w:p>
      <w:pPr>
        <w:ind w:left="2920" w:right="659" w:hanging="364"/>
        <w:spacing w:after="0" w:line="277" w:lineRule="auto"/>
        <w:tabs>
          <w:tab w:leader="none" w:pos="292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25% of the Options vest one year following the original effective date of January 8, 2017 and</w:t>
      </w:r>
    </w:p>
    <w:p>
      <w:pPr>
        <w:spacing w:after="0" w:line="89" w:lineRule="exact"/>
        <w:rPr>
          <w:rFonts w:ascii="Arial" w:cs="Arial" w:eastAsia="Arial" w:hAnsi="Arial"/>
          <w:sz w:val="18"/>
          <w:szCs w:val="18"/>
          <w:color w:val="auto"/>
        </w:rPr>
      </w:pPr>
    </w:p>
    <w:p>
      <w:pPr>
        <w:ind w:left="2920" w:right="519" w:hanging="364"/>
        <w:spacing w:after="0" w:line="277" w:lineRule="auto"/>
        <w:tabs>
          <w:tab w:leader="none" w:pos="292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the remainder shall vest on the last day of each successive month thereafter, provided that the beneficiary remains employed by the Company on vesting</w:t>
      </w:r>
    </w:p>
    <w:p>
      <w:pPr>
        <w:spacing w:after="0" w:line="75" w:lineRule="exact"/>
        <w:rPr>
          <w:rFonts w:ascii="Arial" w:cs="Arial" w:eastAsia="Arial" w:hAnsi="Arial"/>
          <w:sz w:val="18"/>
          <w:szCs w:val="18"/>
          <w:color w:val="auto"/>
        </w:rPr>
      </w:pPr>
    </w:p>
    <w:p>
      <w:pPr>
        <w:ind w:left="2920" w:hanging="364"/>
        <w:spacing w:after="0"/>
        <w:tabs>
          <w:tab w:leader="none" w:pos="292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Options, once vested, are non-forfeitable.</w:t>
      </w:r>
    </w:p>
    <w:p>
      <w:pPr>
        <w:spacing w:after="0" w:line="144" w:lineRule="exact"/>
        <w:rPr>
          <w:rFonts w:ascii="Arial" w:cs="Arial" w:eastAsia="Arial" w:hAnsi="Arial"/>
          <w:sz w:val="18"/>
          <w:szCs w:val="18"/>
          <w:color w:val="auto"/>
        </w:rPr>
      </w:pPr>
    </w:p>
    <w:p>
      <w:pPr>
        <w:ind w:left="2920" w:right="619" w:hanging="364"/>
        <w:spacing w:after="0" w:line="259" w:lineRule="auto"/>
        <w:tabs>
          <w:tab w:leader="none" w:pos="292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Furthermore, subject to the approval of the supervisory board of the company, the awards will vest in full (accelerated vesting) in the case a change of control or if the beneficiary leads the company to an IPO or a merger into a company listed at an internationally recognized stock market</w:t>
      </w:r>
    </w:p>
    <w:p>
      <w:pPr>
        <w:spacing w:after="0" w:line="105" w:lineRule="exact"/>
        <w:rPr>
          <w:rFonts w:ascii="Arial" w:cs="Arial" w:eastAsia="Arial" w:hAnsi="Arial"/>
          <w:sz w:val="18"/>
          <w:szCs w:val="18"/>
          <w:color w:val="auto"/>
        </w:rPr>
      </w:pPr>
    </w:p>
    <w:p>
      <w:pPr>
        <w:ind w:left="2920" w:right="499" w:hanging="364"/>
        <w:spacing w:after="0" w:line="263" w:lineRule="auto"/>
        <w:tabs>
          <w:tab w:leader="none" w:pos="292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Options not yet vested lapse if the service agreement is terminated by the beneficiary. However, unvested options vest immediately if the Company terminates the service agreement, subject to further conditions.</w:t>
      </w:r>
    </w:p>
    <w:p>
      <w:pPr>
        <w:spacing w:after="0" w:line="103" w:lineRule="exact"/>
        <w:rPr>
          <w:sz w:val="20"/>
          <w:szCs w:val="20"/>
          <w:color w:val="auto"/>
        </w:rPr>
      </w:pPr>
    </w:p>
    <w:p>
      <w:pPr>
        <w:ind w:left="1260" w:right="479" w:firstLine="648"/>
        <w:spacing w:after="0" w:line="286" w:lineRule="auto"/>
        <w:rPr>
          <w:sz w:val="20"/>
          <w:szCs w:val="20"/>
          <w:color w:val="auto"/>
        </w:rPr>
      </w:pPr>
      <w:r>
        <w:rPr>
          <w:rFonts w:ascii="Arial" w:cs="Arial" w:eastAsia="Arial" w:hAnsi="Arial"/>
          <w:sz w:val="17"/>
          <w:szCs w:val="17"/>
          <w:color w:val="auto"/>
        </w:rPr>
        <w:t>As CureVac considers an IPO-scenario most probable and has the discretion and the stated intent to settle in shares instead of cash, CureVac accounts for this program as equity-settled as of December 31, 2019. Refer to Note 20 regarding the vesting of this award subsequent to December 31, 2019.</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Measurement of Fair Values</w:t>
      </w:r>
    </w:p>
    <w:p>
      <w:pPr>
        <w:spacing w:after="0" w:line="162" w:lineRule="exact"/>
        <w:rPr>
          <w:sz w:val="20"/>
          <w:szCs w:val="20"/>
          <w:color w:val="auto"/>
        </w:rPr>
      </w:pPr>
    </w:p>
    <w:p>
      <w:pPr>
        <w:ind w:left="1260" w:right="519" w:firstLine="648"/>
        <w:spacing w:after="0" w:line="263" w:lineRule="auto"/>
        <w:rPr>
          <w:sz w:val="20"/>
          <w:szCs w:val="20"/>
          <w:color w:val="auto"/>
        </w:rPr>
      </w:pPr>
      <w:r>
        <w:rPr>
          <w:rFonts w:ascii="Arial" w:cs="Arial" w:eastAsia="Arial" w:hAnsi="Arial"/>
          <w:sz w:val="18"/>
          <w:szCs w:val="18"/>
          <w:color w:val="auto"/>
        </w:rPr>
        <w:t>An advanced Black-Scholes Model (Enhanced American Stock Option Model) has been used to measure the fair value at the grant date of October 14, 2019. The inputs used in the measurement of the fair value at grant date were as follows:</w:t>
      </w:r>
    </w:p>
    <w:p>
      <w:pPr>
        <w:spacing w:after="0" w:line="139"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EUR3.87</w:t>
            </w:r>
          </w:p>
        </w:tc>
        <w:tc>
          <w:tcPr>
            <w:tcW w:w="140" w:type="dxa"/>
            <w:vAlign w:val="bottom"/>
          </w:tcPr>
          <w:p>
            <w:pPr>
              <w:spacing w:after="0"/>
              <w:rPr>
                <w:sz w:val="18"/>
                <w:szCs w:val="18"/>
                <w:color w:val="auto"/>
              </w:rPr>
            </w:pPr>
          </w:p>
        </w:tc>
      </w:tr>
      <w:tr>
        <w:trPr>
          <w:trHeight w:val="257"/>
        </w:trPr>
        <w:tc>
          <w:tcPr>
            <w:tcW w:w="4520" w:type="dxa"/>
            <w:vAlign w:val="bottom"/>
          </w:tcPr>
          <w:p>
            <w:pPr>
              <w:spacing w:after="0"/>
              <w:rPr>
                <w:sz w:val="20"/>
                <w:szCs w:val="20"/>
                <w:color w:val="auto"/>
              </w:rPr>
            </w:pPr>
            <w:r>
              <w:rPr>
                <w:rFonts w:ascii="Arial" w:cs="Arial" w:eastAsia="Arial" w:hAnsi="Arial"/>
                <w:sz w:val="18"/>
                <w:szCs w:val="18"/>
                <w:color w:val="auto"/>
              </w:rPr>
              <w:t>Weighted average share price</w:t>
            </w:r>
          </w:p>
        </w:tc>
        <w:tc>
          <w:tcPr>
            <w:tcW w:w="3100" w:type="dxa"/>
            <w:vAlign w:val="bottom"/>
            <w:gridSpan w:val="2"/>
          </w:tcPr>
          <w:p>
            <w:pPr>
              <w:jc w:val="right"/>
              <w:ind w:right="140"/>
              <w:spacing w:after="0"/>
              <w:rPr>
                <w:sz w:val="20"/>
                <w:szCs w:val="20"/>
                <w:color w:val="auto"/>
              </w:rPr>
            </w:pPr>
            <w:r>
              <w:rPr>
                <w:rFonts w:ascii="Arial" w:cs="Arial" w:eastAsia="Arial" w:hAnsi="Arial"/>
                <w:sz w:val="18"/>
                <w:szCs w:val="18"/>
                <w:color w:val="auto"/>
              </w:rPr>
              <w:t>EUR9.19</w:t>
            </w:r>
          </w:p>
        </w:tc>
      </w:tr>
      <w:tr>
        <w:trPr>
          <w:trHeight w:val="27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Exercise price (USD 8.27)</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EUR7.50</w:t>
            </w:r>
          </w:p>
        </w:tc>
        <w:tc>
          <w:tcPr>
            <w:tcW w:w="140" w:type="dxa"/>
            <w:vAlign w:val="bottom"/>
          </w:tcPr>
          <w:p>
            <w:pPr>
              <w:spacing w:after="0"/>
              <w:rPr>
                <w:sz w:val="23"/>
                <w:szCs w:val="23"/>
                <w:color w:val="auto"/>
              </w:rPr>
            </w:pPr>
          </w:p>
        </w:tc>
      </w:tr>
      <w:tr>
        <w:trPr>
          <w:trHeight w:val="270"/>
        </w:trPr>
        <w:tc>
          <w:tcPr>
            <w:tcW w:w="4520" w:type="dxa"/>
            <w:vAlign w:val="bottom"/>
          </w:tcPr>
          <w:p>
            <w:pPr>
              <w:spacing w:after="0"/>
              <w:rPr>
                <w:sz w:val="20"/>
                <w:szCs w:val="20"/>
                <w:color w:val="auto"/>
              </w:rPr>
            </w:pPr>
            <w:r>
              <w:rPr>
                <w:rFonts w:ascii="Arial" w:cs="Arial" w:eastAsia="Arial" w:hAnsi="Arial"/>
                <w:sz w:val="18"/>
                <w:szCs w:val="18"/>
                <w:color w:val="auto"/>
              </w:rPr>
              <w:t>Expected volatility (%)</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50.0%</w:t>
            </w:r>
          </w:p>
        </w:tc>
      </w:tr>
      <w:tr>
        <w:trPr>
          <w:trHeight w:val="27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40" w:type="dxa"/>
            <w:vAlign w:val="bottom"/>
          </w:tcPr>
          <w:p>
            <w:pPr>
              <w:spacing w:after="0"/>
              <w:rPr>
                <w:sz w:val="23"/>
                <w:szCs w:val="23"/>
                <w:color w:val="auto"/>
              </w:rPr>
            </w:pPr>
          </w:p>
        </w:tc>
      </w:tr>
      <w:tr>
        <w:trPr>
          <w:trHeight w:val="270"/>
        </w:trPr>
        <w:tc>
          <w:tcPr>
            <w:tcW w:w="4520" w:type="dxa"/>
            <w:vAlign w:val="bottom"/>
          </w:tcPr>
          <w:p>
            <w:pPr>
              <w:spacing w:after="0"/>
              <w:rPr>
                <w:sz w:val="20"/>
                <w:szCs w:val="20"/>
                <w:color w:val="auto"/>
              </w:rPr>
            </w:pPr>
            <w:r>
              <w:rPr>
                <w:rFonts w:ascii="Arial" w:cs="Arial" w:eastAsia="Arial" w:hAnsi="Arial"/>
                <w:sz w:val="18"/>
                <w:szCs w:val="18"/>
                <w:color w:val="auto"/>
              </w:rPr>
              <w:t>Risk-free interest rate (%)</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1.71%</w:t>
            </w:r>
          </w:p>
        </w:tc>
      </w:tr>
    </w:tbl>
    <w:p>
      <w:pPr>
        <w:spacing w:after="0" w:line="161" w:lineRule="exact"/>
        <w:rPr>
          <w:sz w:val="20"/>
          <w:szCs w:val="20"/>
          <w:color w:val="auto"/>
        </w:rPr>
      </w:pPr>
    </w:p>
    <w:p>
      <w:pPr>
        <w:ind w:left="1260" w:right="479" w:firstLine="648"/>
        <w:spacing w:after="0" w:line="254" w:lineRule="auto"/>
        <w:rPr>
          <w:sz w:val="20"/>
          <w:szCs w:val="20"/>
          <w:color w:val="auto"/>
        </w:rPr>
      </w:pPr>
      <w:r>
        <w:rPr>
          <w:rFonts w:ascii="Arial" w:cs="Arial" w:eastAsia="Arial" w:hAnsi="Arial"/>
          <w:sz w:val="18"/>
          <w:szCs w:val="18"/>
          <w:color w:val="auto"/>
        </w:rPr>
        <w:t>The options’ per share exercise price is the Euro translation of October 14, 2019, which was 0.91 USD/EUR. Expected volatility was based on an evaluation of the historical volatilities of comparable listed biotech-companies over the historical period commensurate with the expected option life. The expected option life was based on the assumptions that the beneficiary would exercise his option in equal instalments from the date of the first time possible (taking into account lock-up and potential trading windows restrictions) until maturity. The risk-free interest was derived from US-Government bonds because the options were granted only to a US beneficiary on US territories in an IPO-scenario for a Nasdaq listed company.</w:t>
      </w:r>
    </w:p>
    <w:p>
      <w:pPr>
        <w:spacing w:after="0" w:line="36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65" w:name="page366"/>
    <w:bookmarkEnd w:id="365"/>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Reconciliation of outstanding options</w:t>
      </w:r>
    </w:p>
    <w:p>
      <w:pPr>
        <w:spacing w:after="0" w:line="16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number of options in this program granted to the beneficiary in 2019 were as follows:</w:t>
      </w:r>
    </w:p>
    <w:p>
      <w:pPr>
        <w:spacing w:after="0" w:line="181"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the beginning of the period</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980" w:type="dxa"/>
            <w:vAlign w:val="bottom"/>
          </w:tcPr>
          <w:p>
            <w:pPr>
              <w:spacing w:after="0"/>
              <w:rPr>
                <w:sz w:val="20"/>
                <w:szCs w:val="20"/>
                <w:color w:val="auto"/>
              </w:rPr>
            </w:pPr>
            <w:r>
              <w:rPr>
                <w:rFonts w:ascii="Arial" w:cs="Arial" w:eastAsia="Arial" w:hAnsi="Arial"/>
                <w:sz w:val="18"/>
                <w:szCs w:val="18"/>
                <w:color w:val="auto"/>
              </w:rPr>
              <w:t>Granted during the period</w:t>
            </w:r>
          </w:p>
        </w:tc>
        <w:tc>
          <w:tcPr>
            <w:tcW w:w="2500" w:type="dxa"/>
            <w:vAlign w:val="bottom"/>
          </w:tcPr>
          <w:p>
            <w:pPr>
              <w:jc w:val="right"/>
              <w:spacing w:after="0"/>
              <w:rPr>
                <w:sz w:val="20"/>
                <w:szCs w:val="20"/>
                <w:color w:val="auto"/>
              </w:rPr>
            </w:pPr>
            <w:r>
              <w:rPr>
                <w:rFonts w:ascii="Arial" w:cs="Arial" w:eastAsia="Arial" w:hAnsi="Arial"/>
                <w:sz w:val="18"/>
                <w:szCs w:val="18"/>
                <w:color w:val="auto"/>
              </w:rPr>
              <w:t>3,866,309</w:t>
            </w:r>
          </w:p>
        </w:tc>
      </w:tr>
      <w:tr>
        <w:trPr>
          <w:trHeight w:val="27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the end of the period</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3,866,309</w:t>
            </w: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Thereof vested</w:t>
            </w:r>
          </w:p>
        </w:tc>
        <w:tc>
          <w:tcPr>
            <w:tcW w:w="2500" w:type="dxa"/>
            <w:vAlign w:val="bottom"/>
          </w:tcPr>
          <w:p>
            <w:pPr>
              <w:jc w:val="right"/>
              <w:spacing w:after="0"/>
              <w:rPr>
                <w:sz w:val="20"/>
                <w:szCs w:val="20"/>
                <w:color w:val="auto"/>
              </w:rPr>
            </w:pPr>
            <w:r>
              <w:rPr>
                <w:rFonts w:ascii="Arial" w:cs="Arial" w:eastAsia="Arial" w:hAnsi="Arial"/>
                <w:sz w:val="18"/>
                <w:szCs w:val="18"/>
                <w:color w:val="auto"/>
              </w:rPr>
              <w:t>2,819,120</w:t>
            </w:r>
          </w:p>
        </w:tc>
      </w:tr>
      <w:tr>
        <w:trPr>
          <w:trHeight w:val="27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Thereof expensed</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3,207,042</w:t>
            </w:r>
          </w:p>
        </w:tc>
      </w:tr>
    </w:tbl>
    <w:p>
      <w:pPr>
        <w:spacing w:after="0" w:line="121" w:lineRule="exact"/>
        <w:rPr>
          <w:sz w:val="20"/>
          <w:szCs w:val="20"/>
          <w:color w:val="auto"/>
        </w:rPr>
      </w:pPr>
    </w:p>
    <w:p>
      <w:pPr>
        <w:ind w:left="1260" w:right="899" w:firstLine="648"/>
        <w:spacing w:after="0" w:line="261" w:lineRule="auto"/>
        <w:rPr>
          <w:sz w:val="20"/>
          <w:szCs w:val="20"/>
          <w:color w:val="auto"/>
        </w:rPr>
      </w:pPr>
      <w:r>
        <w:rPr>
          <w:rFonts w:ascii="Arial" w:cs="Arial" w:eastAsia="Arial" w:hAnsi="Arial"/>
          <w:sz w:val="18"/>
          <w:szCs w:val="18"/>
          <w:color w:val="auto"/>
        </w:rPr>
        <w:t>As of December 31, 2019, none of the options are exercisable because an exit event or capital market transaction has not occurred.</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Expense recognized in the statement of operations and other comprehensive income (loss)</w:t>
      </w:r>
    </w:p>
    <w:p>
      <w:pPr>
        <w:spacing w:after="0" w:line="162" w:lineRule="exact"/>
        <w:rPr>
          <w:sz w:val="20"/>
          <w:szCs w:val="20"/>
          <w:color w:val="auto"/>
        </w:rPr>
      </w:pPr>
    </w:p>
    <w:p>
      <w:pPr>
        <w:ind w:left="1260" w:right="539" w:firstLine="648"/>
        <w:spacing w:after="0" w:line="261" w:lineRule="auto"/>
        <w:rPr>
          <w:sz w:val="20"/>
          <w:szCs w:val="20"/>
          <w:color w:val="auto"/>
        </w:rPr>
      </w:pPr>
      <w:r>
        <w:rPr>
          <w:rFonts w:ascii="Arial" w:cs="Arial" w:eastAsia="Arial" w:hAnsi="Arial"/>
          <w:sz w:val="18"/>
          <w:szCs w:val="18"/>
          <w:color w:val="auto"/>
        </w:rPr>
        <w:t>The expense recognized for services received during the years ended December 31, 2019 is shown in the following table:</w:t>
      </w:r>
    </w:p>
    <w:p>
      <w:pPr>
        <w:spacing w:after="0" w:line="108"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3"/>
              </w:rPr>
              <w:t>2019</w:t>
            </w:r>
          </w:p>
        </w:tc>
        <w:tc>
          <w:tcPr>
            <w:tcW w:w="60" w:type="dxa"/>
            <w:vAlign w:val="bottom"/>
          </w:tcPr>
          <w:p>
            <w:pPr>
              <w:spacing w:after="0"/>
              <w:rPr>
                <w:sz w:val="16"/>
                <w:szCs w:val="16"/>
                <w:color w:val="auto"/>
              </w:rPr>
            </w:pPr>
          </w:p>
        </w:tc>
      </w:tr>
      <w:tr>
        <w:trPr>
          <w:trHeight w:val="26"/>
        </w:trPr>
        <w:tc>
          <w:tcPr>
            <w:tcW w:w="69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7"/>
        </w:trPr>
        <w:tc>
          <w:tcPr>
            <w:tcW w:w="6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EUR k</w:t>
            </w:r>
          </w:p>
        </w:tc>
      </w:tr>
      <w:tr>
        <w:trPr>
          <w:trHeight w:val="26"/>
        </w:trPr>
        <w:tc>
          <w:tcPr>
            <w:tcW w:w="69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r>
      <w:tr>
        <w:trPr>
          <w:trHeight w:val="263"/>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3"/>
              </w:rPr>
              <w:t>(12,409)</w:t>
            </w:r>
          </w:p>
        </w:tc>
        <w:tc>
          <w:tcPr>
            <w:tcW w:w="60" w:type="dxa"/>
            <w:vAlign w:val="bottom"/>
          </w:tcPr>
          <w:p>
            <w:pPr>
              <w:spacing w:after="0"/>
              <w:rPr>
                <w:sz w:val="22"/>
                <w:szCs w:val="22"/>
                <w:color w:val="auto"/>
              </w:rPr>
            </w:pPr>
          </w:p>
        </w:tc>
      </w:tr>
      <w:tr>
        <w:trPr>
          <w:trHeight w:val="264"/>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(12,409)</w:t>
            </w:r>
          </w:p>
        </w:tc>
      </w:tr>
      <w:tr>
        <w:trPr>
          <w:trHeight w:val="20"/>
        </w:trPr>
        <w:tc>
          <w:tcPr>
            <w:tcW w:w="6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10. Trade and other payables</w:t>
      </w:r>
    </w:p>
    <w:p>
      <w:pPr>
        <w:spacing w:after="0" w:line="14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Trade payables and other payables are all due within one year and include the following:</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220" w:type="dxa"/>
            <w:vAlign w:val="bottom"/>
          </w:tcPr>
          <w:p>
            <w:pPr>
              <w:spacing w:after="0"/>
              <w:rPr>
                <w:sz w:val="16"/>
                <w:szCs w:val="16"/>
                <w:color w:val="auto"/>
              </w:rPr>
            </w:pPr>
          </w:p>
        </w:tc>
        <w:tc>
          <w:tcPr>
            <w:tcW w:w="560" w:type="dxa"/>
            <w:vAlign w:val="bottom"/>
          </w:tcPr>
          <w:p>
            <w:pPr>
              <w:jc w:val="right"/>
              <w:ind w:right="76"/>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6"/>
                <w:szCs w:val="16"/>
                <w:color w:val="auto"/>
              </w:rPr>
            </w:pPr>
          </w:p>
        </w:tc>
        <w:tc>
          <w:tcPr>
            <w:tcW w:w="460" w:type="dxa"/>
            <w:vAlign w:val="bottom"/>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r>
      <w:tr>
        <w:trPr>
          <w:trHeight w:val="25"/>
        </w:trPr>
        <w:tc>
          <w:tcPr>
            <w:tcW w:w="62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6220" w:type="dxa"/>
            <w:vAlign w:val="bottom"/>
          </w:tcPr>
          <w:p>
            <w:pPr>
              <w:spacing w:after="0"/>
              <w:rPr>
                <w:sz w:val="17"/>
                <w:szCs w:val="17"/>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EUR k</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6"/>
              </w:rPr>
              <w:t>EUR k</w:t>
            </w:r>
          </w:p>
        </w:tc>
      </w:tr>
      <w:tr>
        <w:trPr>
          <w:trHeight w:val="25"/>
        </w:trPr>
        <w:tc>
          <w:tcPr>
            <w:tcW w:w="6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gridSpan w:val="2"/>
          </w:tcPr>
          <w:p>
            <w:pPr>
              <w:spacing w:after="0"/>
              <w:rPr>
                <w:sz w:val="2"/>
                <w:szCs w:val="2"/>
                <w:color w:val="auto"/>
              </w:rPr>
            </w:pPr>
          </w:p>
        </w:tc>
      </w:tr>
      <w:tr>
        <w:trPr>
          <w:trHeight w:val="257"/>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(9,029)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(5,331)</w:t>
            </w:r>
          </w:p>
        </w:tc>
        <w:tc>
          <w:tcPr>
            <w:tcW w:w="60" w:type="dxa"/>
            <w:vAlign w:val="bottom"/>
          </w:tcPr>
          <w:p>
            <w:pPr>
              <w:spacing w:after="0"/>
              <w:rPr>
                <w:sz w:val="22"/>
                <w:szCs w:val="22"/>
                <w:color w:val="auto"/>
              </w:rPr>
            </w:pPr>
          </w:p>
        </w:tc>
      </w:tr>
      <w:tr>
        <w:trPr>
          <w:trHeight w:val="256"/>
        </w:trPr>
        <w:tc>
          <w:tcPr>
            <w:tcW w:w="6220" w:type="dxa"/>
            <w:vAlign w:val="bottom"/>
          </w:tcPr>
          <w:p>
            <w:pPr>
              <w:spacing w:after="0"/>
              <w:rPr>
                <w:sz w:val="20"/>
                <w:szCs w:val="20"/>
                <w:color w:val="auto"/>
              </w:rPr>
            </w:pPr>
            <w:r>
              <w:rPr>
                <w:rFonts w:ascii="Arial" w:cs="Arial" w:eastAsia="Arial" w:hAnsi="Arial"/>
                <w:sz w:val="18"/>
                <w:szCs w:val="18"/>
                <w:color w:val="auto"/>
              </w:rPr>
              <w:t>License fees payable</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(501)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(537)</w:t>
            </w:r>
          </w:p>
        </w:tc>
      </w:tr>
      <w:tr>
        <w:trPr>
          <w:trHeight w:val="263"/>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 liabilities</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60" w:type="dxa"/>
            <w:vAlign w:val="bottom"/>
          </w:tcPr>
          <w:p>
            <w:pPr>
              <w:spacing w:after="0"/>
              <w:rPr>
                <w:sz w:val="22"/>
                <w:szCs w:val="22"/>
                <w:color w:val="auto"/>
              </w:rPr>
            </w:pPr>
          </w:p>
        </w:tc>
      </w:tr>
      <w:tr>
        <w:trPr>
          <w:trHeight w:val="20"/>
        </w:trPr>
        <w:tc>
          <w:tcPr>
            <w:tcW w:w="62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2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9"/>
              </w:rPr>
              <w:t>(10,913)</w:t>
            </w: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(6,475)</w:t>
            </w:r>
          </w:p>
        </w:tc>
      </w:tr>
      <w:tr>
        <w:trPr>
          <w:trHeight w:val="20"/>
        </w:trPr>
        <w:tc>
          <w:tcPr>
            <w:tcW w:w="6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60" w:right="739" w:firstLine="648"/>
        <w:spacing w:after="0" w:line="248" w:lineRule="auto"/>
        <w:rPr>
          <w:sz w:val="20"/>
          <w:szCs w:val="20"/>
          <w:color w:val="auto"/>
        </w:rPr>
      </w:pPr>
      <w:r>
        <w:rPr>
          <w:rFonts w:ascii="Arial" w:cs="Arial" w:eastAsia="Arial" w:hAnsi="Arial"/>
          <w:sz w:val="18"/>
          <w:szCs w:val="18"/>
          <w:color w:val="auto"/>
        </w:rPr>
        <w:t>There is no concentration of risk. Miscellaneous liabilities consist mainly of payroll-related and withholding taxes of EUR 104k (2018: EUR 893k) and of other payroll taxes and social liabilities of EUR 504k (2018: EUR 490k).</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11. Other liabilities</w:t>
      </w:r>
    </w:p>
    <w:p>
      <w:pPr>
        <w:spacing w:after="0" w:line="16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Other current liabilities include the following:</w:t>
      </w:r>
    </w:p>
    <w:p>
      <w:pPr>
        <w:spacing w:after="0" w:line="163"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260" w:type="dxa"/>
            <w:vAlign w:val="bottom"/>
          </w:tcPr>
          <w:p>
            <w:pPr>
              <w:spacing w:after="0"/>
              <w:rPr>
                <w:sz w:val="16"/>
                <w:szCs w:val="16"/>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6"/>
                <w:szCs w:val="16"/>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2019</w:t>
            </w:r>
          </w:p>
        </w:tc>
      </w:tr>
      <w:tr>
        <w:trPr>
          <w:trHeight w:val="25"/>
        </w:trPr>
        <w:tc>
          <w:tcPr>
            <w:tcW w:w="62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8"/>
        </w:trPr>
        <w:tc>
          <w:tcPr>
            <w:tcW w:w="6260" w:type="dxa"/>
            <w:vAlign w:val="bottom"/>
          </w:tcPr>
          <w:p>
            <w:pPr>
              <w:spacing w:after="0"/>
              <w:rPr>
                <w:sz w:val="17"/>
                <w:szCs w:val="17"/>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EUR k</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EUR k</w:t>
            </w:r>
          </w:p>
        </w:tc>
      </w:tr>
      <w:tr>
        <w:trPr>
          <w:trHeight w:val="25"/>
        </w:trPr>
        <w:tc>
          <w:tcPr>
            <w:tcW w:w="6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Accrued bonuses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22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w:t>
            </w:r>
          </w:p>
        </w:tc>
      </w:tr>
      <w:tr>
        <w:trPr>
          <w:trHeight w:val="257"/>
        </w:trPr>
        <w:tc>
          <w:tcPr>
            <w:tcW w:w="6260" w:type="dxa"/>
            <w:vAlign w:val="bottom"/>
          </w:tcPr>
          <w:p>
            <w:pPr>
              <w:spacing w:after="0"/>
              <w:rPr>
                <w:sz w:val="20"/>
                <w:szCs w:val="20"/>
                <w:color w:val="auto"/>
              </w:rPr>
            </w:pPr>
            <w:r>
              <w:rPr>
                <w:rFonts w:ascii="Arial" w:cs="Arial" w:eastAsia="Arial" w:hAnsi="Arial"/>
                <w:sz w:val="18"/>
                <w:szCs w:val="18"/>
                <w:color w:val="auto"/>
              </w:rPr>
              <w:t>Accrued vacation</w:t>
            </w:r>
          </w:p>
        </w:tc>
        <w:tc>
          <w:tcPr>
            <w:tcW w:w="500" w:type="dxa"/>
            <w:vAlign w:val="bottom"/>
          </w:tcPr>
          <w:p>
            <w:pPr>
              <w:jc w:val="right"/>
              <w:spacing w:after="0"/>
              <w:rPr>
                <w:sz w:val="20"/>
                <w:szCs w:val="20"/>
                <w:color w:val="auto"/>
              </w:rPr>
            </w:pPr>
            <w:r>
              <w:rPr>
                <w:rFonts w:ascii="Arial" w:cs="Arial" w:eastAsia="Arial" w:hAnsi="Arial"/>
                <w:sz w:val="18"/>
                <w:szCs w:val="18"/>
                <w:color w:val="auto"/>
              </w:rPr>
              <w:t>682</w:t>
            </w:r>
          </w:p>
        </w:tc>
        <w:tc>
          <w:tcPr>
            <w:tcW w:w="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780</w:t>
            </w:r>
          </w:p>
        </w:tc>
      </w:tr>
      <w:tr>
        <w:trPr>
          <w:trHeight w:val="257"/>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Outstanding invoices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6,812</w:t>
            </w:r>
          </w:p>
        </w:tc>
        <w:tc>
          <w:tcPr>
            <w:tcW w:w="22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w:t>
            </w:r>
          </w:p>
        </w:tc>
      </w:tr>
      <w:tr>
        <w:trPr>
          <w:trHeight w:val="256"/>
        </w:trPr>
        <w:tc>
          <w:tcPr>
            <w:tcW w:w="6260" w:type="dxa"/>
            <w:vAlign w:val="bottom"/>
          </w:tcPr>
          <w:p>
            <w:pPr>
              <w:spacing w:after="0"/>
              <w:rPr>
                <w:sz w:val="20"/>
                <w:szCs w:val="20"/>
                <w:color w:val="auto"/>
              </w:rPr>
            </w:pPr>
            <w:r>
              <w:rPr>
                <w:rFonts w:ascii="Arial" w:cs="Arial" w:eastAsia="Arial" w:hAnsi="Arial"/>
                <w:sz w:val="18"/>
                <w:szCs w:val="18"/>
                <w:color w:val="auto"/>
              </w:rPr>
              <w:t>Professional fees</w:t>
            </w:r>
          </w:p>
        </w:tc>
        <w:tc>
          <w:tcPr>
            <w:tcW w:w="500" w:type="dxa"/>
            <w:vAlign w:val="bottom"/>
          </w:tcPr>
          <w:p>
            <w:pPr>
              <w:jc w:val="right"/>
              <w:spacing w:after="0"/>
              <w:rPr>
                <w:sz w:val="20"/>
                <w:szCs w:val="20"/>
                <w:color w:val="auto"/>
              </w:rPr>
            </w:pPr>
            <w:r>
              <w:rPr>
                <w:rFonts w:ascii="Arial" w:cs="Arial" w:eastAsia="Arial" w:hAnsi="Arial"/>
                <w:sz w:val="18"/>
                <w:szCs w:val="18"/>
                <w:color w:val="auto"/>
              </w:rPr>
              <w:t>292</w:t>
            </w:r>
          </w:p>
        </w:tc>
        <w:tc>
          <w:tcPr>
            <w:tcW w:w="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578</w:t>
            </w:r>
          </w:p>
        </w:tc>
      </w:tr>
      <w:tr>
        <w:trPr>
          <w:trHeight w:val="25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Grants from government agencies and similar bodies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22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w:t>
            </w:r>
          </w:p>
        </w:tc>
      </w:tr>
      <w:tr>
        <w:trPr>
          <w:trHeight w:val="264"/>
        </w:trPr>
        <w:tc>
          <w:tcPr>
            <w:tcW w:w="6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2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r>
      <w:tr>
        <w:trPr>
          <w:trHeight w:val="264"/>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11,146</w:t>
            </w:r>
          </w:p>
        </w:tc>
        <w:tc>
          <w:tcPr>
            <w:tcW w:w="2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12,015</w:t>
            </w:r>
          </w:p>
        </w:tc>
      </w:tr>
      <w:tr>
        <w:trPr>
          <w:trHeight w:val="20"/>
        </w:trPr>
        <w:tc>
          <w:tcPr>
            <w:tcW w:w="6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-205105</wp:posOffset>
            </wp:positionV>
            <wp:extent cx="4431665"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4431665" cy="8890"/>
                    </a:xfrm>
                    <a:prstGeom prst="rect">
                      <a:avLst/>
                    </a:prstGeom>
                    <a:noFill/>
                  </pic:spPr>
                </pic:pic>
              </a:graphicData>
            </a:graphic>
          </wp:anchor>
        </w:drawing>
      </w:r>
    </w:p>
    <w:p>
      <w:pPr>
        <w:spacing w:after="0" w:line="195" w:lineRule="exact"/>
        <w:rPr>
          <w:sz w:val="20"/>
          <w:szCs w:val="20"/>
          <w:color w:val="auto"/>
        </w:rPr>
      </w:pPr>
    </w:p>
    <w:p>
      <w:pPr>
        <w:ind w:left="1260" w:right="519" w:firstLine="648"/>
        <w:spacing w:after="0" w:line="261" w:lineRule="auto"/>
        <w:rPr>
          <w:sz w:val="20"/>
          <w:szCs w:val="20"/>
          <w:color w:val="auto"/>
        </w:rPr>
      </w:pPr>
      <w:r>
        <w:rPr>
          <w:rFonts w:ascii="Arial" w:cs="Arial" w:eastAsia="Arial" w:hAnsi="Arial"/>
          <w:sz w:val="18"/>
          <w:szCs w:val="18"/>
          <w:color w:val="auto"/>
        </w:rPr>
        <w:t>In fiscal 2019, EUR 5,385k (2018: EUR 808k) of the grants from government agencies and similar bodies were recognized as other operating income.</w:t>
      </w:r>
    </w:p>
    <w:p>
      <w:pPr>
        <w:sectPr>
          <w:pgSz w:w="11900" w:h="16838" w:orient="portrait"/>
          <w:cols w:equalWidth="0" w:num="1">
            <w:col w:w="9879"/>
          </w:cols>
          <w:pgMar w:left="580" w:top="131" w:right="1440" w:bottom="1440" w:gutter="0" w:footer="0" w:header="0"/>
        </w:sectPr>
      </w:pPr>
    </w:p>
    <w:p>
      <w:pPr>
        <w:spacing w:after="0" w:line="34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66" w:name="page367"/>
    <w:bookmarkEnd w:id="366"/>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12. Convertible loans</w:t>
      </w:r>
    </w:p>
    <w:p>
      <w:pPr>
        <w:spacing w:after="0" w:line="162" w:lineRule="exact"/>
        <w:rPr>
          <w:sz w:val="20"/>
          <w:szCs w:val="20"/>
          <w:color w:val="auto"/>
        </w:rPr>
      </w:pPr>
    </w:p>
    <w:p>
      <w:pPr>
        <w:ind w:left="1260" w:right="439" w:firstLine="648"/>
        <w:spacing w:after="0" w:line="243" w:lineRule="auto"/>
        <w:rPr>
          <w:sz w:val="20"/>
          <w:szCs w:val="20"/>
          <w:color w:val="auto"/>
        </w:rPr>
      </w:pPr>
      <w:r>
        <w:rPr>
          <w:rFonts w:ascii="Arial" w:cs="Arial" w:eastAsia="Arial" w:hAnsi="Arial"/>
          <w:sz w:val="18"/>
          <w:szCs w:val="18"/>
          <w:color w:val="auto"/>
        </w:rPr>
        <w:t>Dietmar Hopp (or the “Lender”), principal of dievini Hopp BioTech holding GmbH &amp; Co. KG (dievini), the majority shareholder of the Group, granted on May 3, 2019 a loan (facility) fully convertible into equity of EUR 50,000k to CureVac (or the “Borrower”). Under the facility, CureVac had the right to use the loan in total or in tranches until March 1, 2020.</w:t>
      </w:r>
    </w:p>
    <w:p>
      <w:pPr>
        <w:spacing w:after="0" w:line="120" w:lineRule="exact"/>
        <w:rPr>
          <w:sz w:val="20"/>
          <w:szCs w:val="20"/>
          <w:color w:val="auto"/>
        </w:rPr>
      </w:pPr>
    </w:p>
    <w:p>
      <w:pPr>
        <w:ind w:left="1260" w:right="699" w:firstLine="648"/>
        <w:spacing w:after="0" w:line="261" w:lineRule="auto"/>
        <w:rPr>
          <w:sz w:val="20"/>
          <w:szCs w:val="20"/>
          <w:color w:val="auto"/>
        </w:rPr>
      </w:pPr>
      <w:r>
        <w:rPr>
          <w:rFonts w:ascii="Arial" w:cs="Arial" w:eastAsia="Arial" w:hAnsi="Arial"/>
          <w:sz w:val="18"/>
          <w:szCs w:val="18"/>
          <w:color w:val="auto"/>
        </w:rPr>
        <w:t>The loan was granted for an indefinite term and bears interest in the amount of 8.0% per annum. CureVac drew down the loan facility in tranches of</w:t>
      </w:r>
    </w:p>
    <w:p>
      <w:pPr>
        <w:spacing w:after="0" w:line="63" w:lineRule="exact"/>
        <w:rPr>
          <w:sz w:val="20"/>
          <w:szCs w:val="20"/>
          <w:color w:val="auto"/>
        </w:rPr>
      </w:pPr>
    </w:p>
    <w:p>
      <w:pPr>
        <w:ind w:left="2260" w:hanging="352"/>
        <w:spacing w:after="0"/>
        <w:tabs>
          <w:tab w:leader="none" w:pos="22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EUR 20,000k at May 29, 2019</w:t>
      </w:r>
    </w:p>
    <w:p>
      <w:pPr>
        <w:spacing w:after="0" w:line="103" w:lineRule="exact"/>
        <w:rPr>
          <w:rFonts w:ascii="Arial" w:cs="Arial" w:eastAsia="Arial" w:hAnsi="Arial"/>
          <w:sz w:val="18"/>
          <w:szCs w:val="18"/>
          <w:color w:val="auto"/>
        </w:rPr>
      </w:pPr>
    </w:p>
    <w:p>
      <w:pPr>
        <w:ind w:left="2260" w:hanging="352"/>
        <w:spacing w:after="0"/>
        <w:tabs>
          <w:tab w:leader="none" w:pos="22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EUR 20,000k at July 23, 2019 and</w:t>
      </w:r>
    </w:p>
    <w:p>
      <w:pPr>
        <w:spacing w:after="0" w:line="117" w:lineRule="exact"/>
        <w:rPr>
          <w:rFonts w:ascii="Arial" w:cs="Arial" w:eastAsia="Arial" w:hAnsi="Arial"/>
          <w:sz w:val="18"/>
          <w:szCs w:val="18"/>
          <w:color w:val="auto"/>
        </w:rPr>
      </w:pPr>
    </w:p>
    <w:p>
      <w:pPr>
        <w:ind w:left="2260" w:hanging="352"/>
        <w:spacing w:after="0"/>
        <w:tabs>
          <w:tab w:leader="none" w:pos="22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EUR 10,000k at September 10, 2019</w:t>
      </w:r>
    </w:p>
    <w:p>
      <w:pPr>
        <w:spacing w:after="0" w:line="158" w:lineRule="exact"/>
        <w:rPr>
          <w:sz w:val="20"/>
          <w:szCs w:val="20"/>
          <w:color w:val="auto"/>
        </w:rPr>
      </w:pPr>
    </w:p>
    <w:p>
      <w:pPr>
        <w:ind w:left="1260" w:right="619" w:firstLine="648"/>
        <w:spacing w:after="0" w:line="254" w:lineRule="auto"/>
        <w:rPr>
          <w:sz w:val="20"/>
          <w:szCs w:val="20"/>
          <w:color w:val="auto"/>
        </w:rPr>
      </w:pPr>
      <w:r>
        <w:rPr>
          <w:rFonts w:ascii="Arial" w:cs="Arial" w:eastAsia="Arial" w:hAnsi="Arial"/>
          <w:sz w:val="18"/>
          <w:szCs w:val="18"/>
          <w:color w:val="auto"/>
        </w:rPr>
        <w:t>On October 24, 2019, the loan agreement was modified and fully replaced with a second loan agreement under which, in addition to the already disbursed amount of EUR 50,000k under the first loan, the lender granted the Borrower a second loan with a conversion option in a nominal amount of EUR 63,927k (equivalent to USD 70,000k calculated on the basis of the exchange rate applicable at the date of signing the modified agreement). Under the modified agreement, the interest on both loans is 8.0% per annum, is added to the amount of the loans and is due with the loans at maturity; compound interest is not due.</w:t>
      </w:r>
    </w:p>
    <w:p>
      <w:pPr>
        <w:spacing w:after="0" w:line="127" w:lineRule="exact"/>
        <w:rPr>
          <w:sz w:val="20"/>
          <w:szCs w:val="20"/>
          <w:color w:val="auto"/>
        </w:rPr>
      </w:pPr>
    </w:p>
    <w:p>
      <w:pPr>
        <w:ind w:left="1260" w:right="739" w:firstLine="648"/>
        <w:spacing w:after="0" w:line="308" w:lineRule="auto"/>
        <w:rPr>
          <w:sz w:val="20"/>
          <w:szCs w:val="20"/>
          <w:color w:val="auto"/>
        </w:rPr>
      </w:pPr>
      <w:r>
        <w:rPr>
          <w:rFonts w:ascii="Arial" w:cs="Arial" w:eastAsia="Arial" w:hAnsi="Arial"/>
          <w:sz w:val="17"/>
          <w:szCs w:val="17"/>
          <w:color w:val="auto"/>
        </w:rPr>
        <w:t>CureVac has the right to use this Second Loan until December 31, 2021, if its cash balance falls below EUR 15,000k, in two tranches of EUR 20,000k and one final tranche of EUR 23,927k.</w:t>
      </w:r>
    </w:p>
    <w:p>
      <w:pPr>
        <w:spacing w:after="0" w:line="65" w:lineRule="exact"/>
        <w:rPr>
          <w:sz w:val="20"/>
          <w:szCs w:val="20"/>
          <w:color w:val="auto"/>
        </w:rPr>
      </w:pPr>
    </w:p>
    <w:p>
      <w:pPr>
        <w:ind w:left="1260" w:right="639" w:firstLine="648"/>
        <w:spacing w:after="0" w:line="342" w:lineRule="auto"/>
        <w:rPr>
          <w:sz w:val="20"/>
          <w:szCs w:val="20"/>
          <w:color w:val="auto"/>
        </w:rPr>
      </w:pPr>
      <w:r>
        <w:rPr>
          <w:rFonts w:ascii="Arial" w:cs="Arial" w:eastAsia="Arial" w:hAnsi="Arial"/>
          <w:sz w:val="16"/>
          <w:szCs w:val="16"/>
          <w:color w:val="auto"/>
        </w:rPr>
        <w:t>CureVac had drawn the first tranche of this second loan in the amount of USD 22,000k (EUR 19,888k) at December 19, 2019. As of December 31, 2019, the loans had accrued interest of EUR 1,960k.</w:t>
      </w:r>
    </w:p>
    <w:p>
      <w:pPr>
        <w:spacing w:after="0" w:line="56" w:lineRule="exact"/>
        <w:rPr>
          <w:sz w:val="20"/>
          <w:szCs w:val="20"/>
          <w:color w:val="auto"/>
        </w:rPr>
      </w:pPr>
    </w:p>
    <w:p>
      <w:pPr>
        <w:ind w:left="1260" w:right="799" w:firstLine="648"/>
        <w:spacing w:after="0" w:line="263" w:lineRule="auto"/>
        <w:rPr>
          <w:sz w:val="20"/>
          <w:szCs w:val="20"/>
          <w:color w:val="auto"/>
        </w:rPr>
      </w:pPr>
      <w:r>
        <w:rPr>
          <w:rFonts w:ascii="Arial" w:cs="Arial" w:eastAsia="Arial" w:hAnsi="Arial"/>
          <w:sz w:val="18"/>
          <w:szCs w:val="18"/>
          <w:color w:val="auto"/>
        </w:rPr>
        <w:t>According to the loan agreement in order to avoid the risk of indebtedness of the Borrower, the Lender subordinated its claim of repayment of the loans to all existing and future claims of the other creditors of the Borrower.</w:t>
      </w:r>
    </w:p>
    <w:p>
      <w:pPr>
        <w:spacing w:after="0" w:line="116" w:lineRule="exact"/>
        <w:rPr>
          <w:sz w:val="20"/>
          <w:szCs w:val="20"/>
          <w:color w:val="auto"/>
        </w:rPr>
      </w:pPr>
    </w:p>
    <w:p>
      <w:pPr>
        <w:ind w:left="1260" w:right="499" w:firstLine="648"/>
        <w:spacing w:after="0" w:line="263" w:lineRule="auto"/>
        <w:rPr>
          <w:sz w:val="20"/>
          <w:szCs w:val="20"/>
          <w:color w:val="auto"/>
        </w:rPr>
      </w:pPr>
      <w:r>
        <w:rPr>
          <w:rFonts w:ascii="Arial" w:cs="Arial" w:eastAsia="Arial" w:hAnsi="Arial"/>
          <w:sz w:val="18"/>
          <w:szCs w:val="18"/>
          <w:color w:val="auto"/>
        </w:rPr>
        <w:t>The potential effects the statement of operations resulting from foreign exchange fluctuations from the second loan are disclosed in the sensitivity analysis in the subsection “Foreign currency risk” in Note 15.</w:t>
      </w:r>
    </w:p>
    <w:p>
      <w:pPr>
        <w:spacing w:after="0" w:line="103"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The effect on earnings per share in the case of a conversion of the loans is discussed at Note 14.</w:t>
      </w:r>
    </w:p>
    <w:p>
      <w:pPr>
        <w:spacing w:after="0" w:line="169" w:lineRule="exact"/>
        <w:rPr>
          <w:sz w:val="20"/>
          <w:szCs w:val="20"/>
          <w:color w:val="auto"/>
        </w:rPr>
      </w:pPr>
    </w:p>
    <w:p>
      <w:pPr>
        <w:ind w:left="1260" w:right="499" w:firstLine="648"/>
        <w:spacing w:after="0" w:line="255" w:lineRule="auto"/>
        <w:rPr>
          <w:sz w:val="20"/>
          <w:szCs w:val="20"/>
          <w:color w:val="auto"/>
        </w:rPr>
      </w:pPr>
      <w:r>
        <w:rPr>
          <w:rFonts w:ascii="Arial" w:cs="Arial" w:eastAsia="Arial" w:hAnsi="Arial"/>
          <w:sz w:val="18"/>
          <w:szCs w:val="18"/>
          <w:color w:val="auto"/>
        </w:rPr>
        <w:t>The loans can be terminated or converted into equity at any time in full or in part, however not before December 31, 2021 unless CureVac initiates or concludes a transaction amongst shareholders, issues further convertible loans or executes a cross-over financing round in direct or indirect preparation of an IPO. Upon conversion into equity, the amount of the loans and accrued interest converted would convert into a variable number of shares of the same class and at the same price per share as those issued in the financing enabling exercise of the conversion.</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13. Income tax</w:t>
      </w:r>
    </w:p>
    <w:p>
      <w:pPr>
        <w:spacing w:after="0" w:line="148" w:lineRule="exact"/>
        <w:rPr>
          <w:sz w:val="20"/>
          <w:szCs w:val="20"/>
          <w:color w:val="auto"/>
        </w:rPr>
      </w:pPr>
    </w:p>
    <w:p>
      <w:pPr>
        <w:ind w:left="1260" w:right="439" w:firstLine="648"/>
        <w:spacing w:after="0" w:line="257" w:lineRule="auto"/>
        <w:rPr>
          <w:sz w:val="20"/>
          <w:szCs w:val="20"/>
          <w:color w:val="auto"/>
        </w:rPr>
      </w:pPr>
      <w:r>
        <w:rPr>
          <w:rFonts w:ascii="Arial" w:cs="Arial" w:eastAsia="Arial" w:hAnsi="Arial"/>
          <w:sz w:val="18"/>
          <w:szCs w:val="18"/>
          <w:color w:val="auto"/>
        </w:rPr>
        <w:t>CureVac has tax losses in Germany that are available indefinitely for offsetting against future taxable profits of the companies in which the losses arose. Under German tax law, tax profits in a given year can be offset against tax loss carryforwards up to an amount of EUR 1,000k. 60% of tax profit in excess of this amount can be offset against any remaining tax loss carryforwards. As a result, 40% of the profits in excess of EUR 1,000k are subject to taxation.</w:t>
      </w:r>
    </w:p>
    <w:p>
      <w:pPr>
        <w:spacing w:after="0" w:line="120" w:lineRule="exact"/>
        <w:rPr>
          <w:sz w:val="20"/>
          <w:szCs w:val="20"/>
          <w:color w:val="auto"/>
        </w:rPr>
      </w:pPr>
    </w:p>
    <w:p>
      <w:pPr>
        <w:ind w:left="1260" w:right="739" w:firstLine="648"/>
        <w:spacing w:after="0" w:line="259" w:lineRule="auto"/>
        <w:rPr>
          <w:sz w:val="20"/>
          <w:szCs w:val="20"/>
          <w:color w:val="auto"/>
        </w:rPr>
      </w:pPr>
      <w:r>
        <w:rPr>
          <w:rFonts w:ascii="Arial" w:cs="Arial" w:eastAsia="Arial" w:hAnsi="Arial"/>
          <w:sz w:val="18"/>
          <w:szCs w:val="18"/>
          <w:color w:val="auto"/>
        </w:rPr>
        <w:t>Tax loss carryforwards are examined by the German taxation authorities and may be adjusted. Furthermore, significant changes in the shareholder and company structure can lead to a reduction in the loss carryforwards under the current provisions of German tax law, which can be used to calculate the annual amount for offsetting against the future taxable income.</w:t>
      </w:r>
    </w:p>
    <w:p>
      <w:pPr>
        <w:spacing w:after="0" w:line="119" w:lineRule="exact"/>
        <w:rPr>
          <w:sz w:val="20"/>
          <w:szCs w:val="20"/>
          <w:color w:val="auto"/>
        </w:rPr>
      </w:pPr>
    </w:p>
    <w:p>
      <w:pPr>
        <w:ind w:left="1260" w:right="439" w:firstLine="648"/>
        <w:spacing w:after="0" w:line="286" w:lineRule="auto"/>
        <w:rPr>
          <w:sz w:val="20"/>
          <w:szCs w:val="20"/>
          <w:color w:val="auto"/>
        </w:rPr>
      </w:pPr>
      <w:r>
        <w:rPr>
          <w:rFonts w:ascii="Arial" w:cs="Arial" w:eastAsia="Arial" w:hAnsi="Arial"/>
          <w:sz w:val="17"/>
          <w:szCs w:val="17"/>
          <w:color w:val="auto"/>
        </w:rPr>
        <w:t>In fiscal 2019 and 2018, the Group recorded a consolidated income tax benefit and expense of EUR 252k and EUR -110k, respectively. The income tax benefit in fiscal 2019 results from income tax expenses from CureVac Inc. of EUR 203k (2018: EUR 243k) and deferred tax expenses on taxable temporary</w:t>
      </w:r>
    </w:p>
    <w:p>
      <w:pPr>
        <w:sectPr>
          <w:pgSz w:w="11900" w:h="16838" w:orient="portrait"/>
          <w:cols w:equalWidth="0" w:num="1">
            <w:col w:w="9879"/>
          </w:cols>
          <w:pgMar w:left="580" w:top="131" w:right="1440" w:bottom="1440" w:gutter="0" w:footer="0" w:header="0"/>
        </w:sectPr>
      </w:pPr>
    </w:p>
    <w:p>
      <w:pPr>
        <w:spacing w:after="0" w:line="34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67" w:name="page368"/>
    <w:bookmarkEnd w:id="367"/>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differences of EUR 656k (2018: EUR 472K), which were fully offset by deferred tax benefits of EUR</w:t>
      </w:r>
    </w:p>
    <w:p>
      <w:pPr>
        <w:spacing w:after="0" w:line="23"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1,111k (2018: EUR 605K) recognized from net operating loss carryforwards. In fiscal 2019, the Group further recorded deferred tax liabilities of EUR 2,212k (2018: EUR 0) related to taxable temporary differences on the equity component of the convertible loans recognized in capital reserve. For outside basis differences of EUR 770k (2018: EUR 397k) which are indefinitely reinvested and associated with investments in subsidiaries, deferred tax liabilities have not been recognized.</w:t>
      </w:r>
    </w:p>
    <w:p>
      <w:pPr>
        <w:spacing w:after="0" w:line="123" w:lineRule="exact"/>
        <w:rPr>
          <w:sz w:val="20"/>
          <w:szCs w:val="20"/>
          <w:color w:val="auto"/>
        </w:rPr>
      </w:pPr>
    </w:p>
    <w:p>
      <w:pPr>
        <w:ind w:left="1260" w:right="559" w:firstLine="648"/>
        <w:spacing w:after="0" w:line="277" w:lineRule="auto"/>
        <w:rPr>
          <w:sz w:val="20"/>
          <w:szCs w:val="20"/>
          <w:color w:val="auto"/>
        </w:rPr>
      </w:pPr>
      <w:r>
        <w:rPr>
          <w:rFonts w:ascii="Arial" w:cs="Arial" w:eastAsia="Arial" w:hAnsi="Arial"/>
          <w:sz w:val="18"/>
          <w:szCs w:val="18"/>
          <w:color w:val="auto"/>
        </w:rPr>
        <w:t>The significant components of income tax for the years ending December 31, 2019 and 2018 were as follows: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Tax reconciliation:</w:t>
      </w:r>
    </w:p>
    <w:p>
      <w:pPr>
        <w:spacing w:after="0" w:line="167"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020" w:type="dxa"/>
            <w:vAlign w:val="bottom"/>
          </w:tcPr>
          <w:p>
            <w:pPr>
              <w:spacing w:after="0"/>
              <w:rPr>
                <w:sz w:val="16"/>
                <w:szCs w:val="16"/>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6"/>
                <w:szCs w:val="16"/>
                <w:color w:val="auto"/>
              </w:rPr>
            </w:pPr>
          </w:p>
        </w:tc>
        <w:tc>
          <w:tcPr>
            <w:tcW w:w="660" w:type="dxa"/>
            <w:vAlign w:val="bottom"/>
          </w:tcPr>
          <w:p>
            <w:pPr>
              <w:jc w:val="right"/>
              <w:ind w:right="11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r>
      <w:tr>
        <w:trPr>
          <w:trHeight w:val="26"/>
        </w:trPr>
        <w:tc>
          <w:tcPr>
            <w:tcW w:w="60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7"/>
        </w:trPr>
        <w:tc>
          <w:tcPr>
            <w:tcW w:w="6020" w:type="dxa"/>
            <w:vAlign w:val="bottom"/>
          </w:tcPr>
          <w:p>
            <w:pPr>
              <w:spacing w:after="0"/>
              <w:rPr>
                <w:sz w:val="17"/>
                <w:szCs w:val="17"/>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EUR k</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EUR k</w:t>
            </w:r>
          </w:p>
        </w:tc>
      </w:tr>
      <w:tr>
        <w:trPr>
          <w:trHeight w:val="26"/>
        </w:trPr>
        <w:tc>
          <w:tcPr>
            <w:tcW w:w="6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r>
      <w:tr>
        <w:trPr>
          <w:trHeight w:val="257"/>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Loss before tax</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(71,131)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(100,125)</w:t>
            </w:r>
          </w:p>
        </w:tc>
        <w:tc>
          <w:tcPr>
            <w:tcW w:w="60" w:type="dxa"/>
            <w:vAlign w:val="bottom"/>
          </w:tcPr>
          <w:p>
            <w:pPr>
              <w:spacing w:after="0"/>
              <w:rPr>
                <w:sz w:val="22"/>
                <w:szCs w:val="22"/>
                <w:color w:val="auto"/>
              </w:rPr>
            </w:pPr>
          </w:p>
        </w:tc>
      </w:tr>
      <w:tr>
        <w:trPr>
          <w:trHeight w:val="229"/>
        </w:trPr>
        <w:tc>
          <w:tcPr>
            <w:tcW w:w="6020" w:type="dxa"/>
            <w:vAlign w:val="bottom"/>
          </w:tcPr>
          <w:p>
            <w:pPr>
              <w:spacing w:after="0"/>
              <w:rPr>
                <w:sz w:val="20"/>
                <w:szCs w:val="20"/>
                <w:color w:val="auto"/>
              </w:rPr>
            </w:pPr>
            <w:r>
              <w:rPr>
                <w:rFonts w:ascii="Arial" w:cs="Arial" w:eastAsia="Arial" w:hAnsi="Arial"/>
                <w:sz w:val="18"/>
                <w:szCs w:val="18"/>
                <w:color w:val="auto"/>
              </w:rPr>
              <w:t>Expected tax benefit (based on statutory tax rate of 29.13% in 2019 and</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7"/>
        </w:trPr>
        <w:tc>
          <w:tcPr>
            <w:tcW w:w="6020" w:type="dxa"/>
            <w:vAlign w:val="bottom"/>
          </w:tcPr>
          <w:p>
            <w:pPr>
              <w:ind w:left="180"/>
              <w:spacing w:after="0"/>
              <w:rPr>
                <w:sz w:val="20"/>
                <w:szCs w:val="20"/>
                <w:color w:val="auto"/>
              </w:rPr>
            </w:pPr>
            <w:r>
              <w:rPr>
                <w:rFonts w:ascii="Arial" w:cs="Arial" w:eastAsia="Arial" w:hAnsi="Arial"/>
                <w:sz w:val="18"/>
                <w:szCs w:val="18"/>
                <w:color w:val="auto"/>
              </w:rPr>
              <w:t>2018)</w:t>
            </w:r>
          </w:p>
        </w:tc>
        <w:tc>
          <w:tcPr>
            <w:tcW w:w="580" w:type="dxa"/>
            <w:vAlign w:val="bottom"/>
          </w:tcPr>
          <w:p>
            <w:pPr>
              <w:jc w:val="right"/>
              <w:spacing w:after="0"/>
              <w:rPr>
                <w:sz w:val="20"/>
                <w:szCs w:val="20"/>
                <w:color w:val="auto"/>
              </w:rPr>
            </w:pPr>
            <w:r>
              <w:rPr>
                <w:rFonts w:ascii="Arial" w:cs="Arial" w:eastAsia="Arial" w:hAnsi="Arial"/>
                <w:sz w:val="18"/>
                <w:szCs w:val="18"/>
                <w:color w:val="auto"/>
              </w:rPr>
              <w:t>20,744</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29,162</w:t>
            </w:r>
          </w:p>
        </w:tc>
        <w:tc>
          <w:tcPr>
            <w:tcW w:w="60" w:type="dxa"/>
            <w:vAlign w:val="bottom"/>
          </w:tcPr>
          <w:p>
            <w:pPr>
              <w:spacing w:after="0"/>
              <w:rPr>
                <w:sz w:val="20"/>
                <w:szCs w:val="20"/>
                <w:color w:val="auto"/>
              </w:rPr>
            </w:pPr>
          </w:p>
        </w:tc>
      </w:tr>
      <w:tr>
        <w:trPr>
          <w:trHeight w:val="277"/>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Adjustments in respect of current income tax of previous years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270"/>
        </w:trPr>
        <w:tc>
          <w:tcPr>
            <w:tcW w:w="6020" w:type="dxa"/>
            <w:vAlign w:val="bottom"/>
          </w:tcPr>
          <w:p>
            <w:pPr>
              <w:spacing w:after="0"/>
              <w:rPr>
                <w:sz w:val="20"/>
                <w:szCs w:val="20"/>
                <w:color w:val="auto"/>
              </w:rPr>
            </w:pPr>
            <w:r>
              <w:rPr>
                <w:rFonts w:ascii="Arial" w:cs="Arial" w:eastAsia="Arial" w:hAnsi="Arial"/>
                <w:sz w:val="18"/>
                <w:szCs w:val="18"/>
                <w:color w:val="auto"/>
              </w:rPr>
              <w:t>Effects from differences between Group and local tax rates</w:t>
            </w: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3"/>
                <w:szCs w:val="23"/>
                <w:color w:val="auto"/>
              </w:rPr>
            </w:pPr>
          </w:p>
        </w:tc>
      </w:tr>
      <w:tr>
        <w:trPr>
          <w:trHeight w:val="27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Effects resulting from non-recognition of tax loss carryforwards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(22,428)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(22,836)</w:t>
            </w:r>
          </w:p>
        </w:tc>
        <w:tc>
          <w:tcPr>
            <w:tcW w:w="60" w:type="dxa"/>
            <w:vAlign w:val="bottom"/>
          </w:tcPr>
          <w:p>
            <w:pPr>
              <w:spacing w:after="0"/>
              <w:rPr>
                <w:sz w:val="23"/>
                <w:szCs w:val="23"/>
                <w:color w:val="auto"/>
              </w:rPr>
            </w:pPr>
          </w:p>
        </w:tc>
      </w:tr>
      <w:tr>
        <w:trPr>
          <w:trHeight w:val="270"/>
        </w:trPr>
        <w:tc>
          <w:tcPr>
            <w:tcW w:w="6020" w:type="dxa"/>
            <w:vAlign w:val="bottom"/>
          </w:tcPr>
          <w:p>
            <w:pPr>
              <w:spacing w:after="0"/>
              <w:rPr>
                <w:sz w:val="20"/>
                <w:szCs w:val="20"/>
                <w:color w:val="auto"/>
              </w:rPr>
            </w:pPr>
            <w:r>
              <w:rPr>
                <w:rFonts w:ascii="Arial" w:cs="Arial" w:eastAsia="Arial" w:hAnsi="Arial"/>
                <w:sz w:val="18"/>
                <w:szCs w:val="18"/>
                <w:color w:val="auto"/>
              </w:rPr>
              <w:t>Effects resulting from non-recognition of DTA/DTL</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First-time-recognition of tax loss carryforwards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r>
      <w:tr>
        <w:trPr>
          <w:trHeight w:val="270"/>
        </w:trPr>
        <w:tc>
          <w:tcPr>
            <w:tcW w:w="6020" w:type="dxa"/>
            <w:vAlign w:val="bottom"/>
          </w:tcPr>
          <w:p>
            <w:pPr>
              <w:spacing w:after="0"/>
              <w:rPr>
                <w:sz w:val="20"/>
                <w:szCs w:val="20"/>
                <w:color w:val="auto"/>
              </w:rPr>
            </w:pPr>
            <w:r>
              <w:rPr>
                <w:rFonts w:ascii="Arial" w:cs="Arial" w:eastAsia="Arial" w:hAnsi="Arial"/>
                <w:sz w:val="18"/>
                <w:szCs w:val="18"/>
                <w:color w:val="auto"/>
              </w:rPr>
              <w:t>Non-deductible expenses for tax purposes</w:t>
            </w: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 Effects from non-deductible share-based-payments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(5,698)</w:t>
            </w:r>
          </w:p>
        </w:tc>
        <w:tc>
          <w:tcPr>
            <w:tcW w:w="60" w:type="dxa"/>
            <w:vAlign w:val="bottom"/>
          </w:tcPr>
          <w:p>
            <w:pPr>
              <w:spacing w:after="0"/>
              <w:rPr>
                <w:sz w:val="23"/>
                <w:szCs w:val="23"/>
                <w:color w:val="auto"/>
              </w:rPr>
            </w:pPr>
          </w:p>
        </w:tc>
      </w:tr>
      <w:tr>
        <w:trPr>
          <w:trHeight w:val="270"/>
        </w:trPr>
        <w:tc>
          <w:tcPr>
            <w:tcW w:w="6020" w:type="dxa"/>
            <w:vAlign w:val="bottom"/>
          </w:tcPr>
          <w:p>
            <w:pPr>
              <w:spacing w:after="0"/>
              <w:rPr>
                <w:sz w:val="20"/>
                <w:szCs w:val="20"/>
                <w:color w:val="auto"/>
              </w:rPr>
            </w:pPr>
            <w:r>
              <w:rPr>
                <w:rFonts w:ascii="Arial" w:cs="Arial" w:eastAsia="Arial" w:hAnsi="Arial"/>
                <w:sz w:val="18"/>
                <w:szCs w:val="18"/>
                <w:color w:val="auto"/>
              </w:rPr>
              <w:t>− Effects from (additions/ deductions) for local trade taxes</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(191)</w:t>
            </w:r>
          </w:p>
        </w:tc>
      </w:tr>
      <w:tr>
        <w:trPr>
          <w:trHeight w:val="27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 Other non-deductible expenses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23"/>
                <w:szCs w:val="23"/>
                <w:color w:val="auto"/>
              </w:rPr>
            </w:pPr>
          </w:p>
        </w:tc>
      </w:tr>
      <w:tr>
        <w:trPr>
          <w:trHeight w:val="270"/>
        </w:trPr>
        <w:tc>
          <w:tcPr>
            <w:tcW w:w="6020" w:type="dxa"/>
            <w:vAlign w:val="bottom"/>
          </w:tcPr>
          <w:p>
            <w:pPr>
              <w:spacing w:after="0"/>
              <w:rPr>
                <w:sz w:val="20"/>
                <w:szCs w:val="20"/>
                <w:color w:val="auto"/>
              </w:rPr>
            </w:pPr>
            <w:r>
              <w:rPr>
                <w:rFonts w:ascii="Arial" w:cs="Arial" w:eastAsia="Arial" w:hAnsi="Arial"/>
                <w:sz w:val="18"/>
                <w:szCs w:val="18"/>
                <w:color w:val="auto"/>
              </w:rPr>
              <w:t>Other effects</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(114)</w:t>
            </w:r>
          </w:p>
        </w:tc>
      </w:tr>
      <w:tr>
        <w:trPr>
          <w:trHeight w:val="27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Effective tax benefit/ (expense)</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60" w:type="dxa"/>
            <w:vAlign w:val="bottom"/>
          </w:tcPr>
          <w:p>
            <w:pPr>
              <w:spacing w:after="0"/>
              <w:rPr>
                <w:sz w:val="23"/>
                <w:szCs w:val="23"/>
                <w:color w:val="auto"/>
              </w:rPr>
            </w:pPr>
          </w:p>
        </w:tc>
      </w:tr>
    </w:tbl>
    <w:p>
      <w:pPr>
        <w:spacing w:after="0" w:line="148"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The following unused tax losses had been carried forward as of the end of the reporting periods:</w:t>
      </w:r>
    </w:p>
    <w:p>
      <w:pPr>
        <w:spacing w:after="0" w:line="188"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Tax loss carryforwards</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5"/>
        </w:trPr>
        <w:tc>
          <w:tcPr>
            <w:tcW w:w="5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8"/>
        </w:trPr>
        <w:tc>
          <w:tcPr>
            <w:tcW w:w="5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EUR k</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6"/>
              </w:rPr>
              <w:t>EUR k</w:t>
            </w:r>
          </w:p>
        </w:tc>
      </w:tr>
      <w:tr>
        <w:trPr>
          <w:trHeight w:val="25"/>
        </w:trPr>
        <w:tc>
          <w:tcPr>
            <w:tcW w:w="5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7"/>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Unused tax losses for corporate income tax</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330,753</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407,434</w:t>
            </w:r>
          </w:p>
        </w:tc>
      </w:tr>
      <w:tr>
        <w:trPr>
          <w:trHeight w:val="257"/>
        </w:trPr>
        <w:tc>
          <w:tcPr>
            <w:tcW w:w="6060" w:type="dxa"/>
            <w:vAlign w:val="bottom"/>
            <w:gridSpan w:val="2"/>
          </w:tcPr>
          <w:p>
            <w:pPr>
              <w:spacing w:after="0"/>
              <w:rPr>
                <w:sz w:val="20"/>
                <w:szCs w:val="20"/>
                <w:color w:val="auto"/>
              </w:rPr>
            </w:pPr>
            <w:r>
              <w:rPr>
                <w:rFonts w:ascii="Arial" w:cs="Arial" w:eastAsia="Arial" w:hAnsi="Arial"/>
                <w:sz w:val="18"/>
                <w:szCs w:val="18"/>
                <w:color w:val="auto"/>
              </w:rPr>
              <w:t>Unused tax losses for trade tax</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329,210</w:t>
            </w:r>
          </w:p>
        </w:tc>
        <w:tc>
          <w:tcPr>
            <w:tcW w:w="22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405,123</w:t>
            </w:r>
          </w:p>
        </w:tc>
      </w:tr>
    </w:tbl>
    <w:p>
      <w:pPr>
        <w:spacing w:after="0" w:line="134" w:lineRule="exact"/>
        <w:rPr>
          <w:sz w:val="20"/>
          <w:szCs w:val="20"/>
          <w:color w:val="auto"/>
        </w:rPr>
      </w:pPr>
    </w:p>
    <w:p>
      <w:pPr>
        <w:ind w:left="1260" w:right="459" w:firstLine="648"/>
        <w:spacing w:after="0" w:line="257" w:lineRule="auto"/>
        <w:rPr>
          <w:sz w:val="20"/>
          <w:szCs w:val="20"/>
          <w:color w:val="auto"/>
        </w:rPr>
      </w:pPr>
      <w:r>
        <w:rPr>
          <w:rFonts w:ascii="Arial" w:cs="Arial" w:eastAsia="Arial" w:hAnsi="Arial"/>
          <w:sz w:val="18"/>
          <w:szCs w:val="18"/>
          <w:color w:val="auto"/>
        </w:rPr>
        <w:t>Deferred tax assets on tax loss carryforwards and deductible temporary differences in excess of taxable temporary differences have not been capitalized as management concluded that there is not sufficient probability as per IAS 12 that there will be future taxable profits available in the foreseeable future against which the unused tax losses can be utilized. The accumulated unused tax losses relate entirely to Germany.</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14. Earnings per share</w:t>
      </w:r>
    </w:p>
    <w:p>
      <w:pPr>
        <w:spacing w:after="0" w:line="162" w:lineRule="exact"/>
        <w:rPr>
          <w:sz w:val="20"/>
          <w:szCs w:val="20"/>
          <w:color w:val="auto"/>
        </w:rPr>
      </w:pPr>
    </w:p>
    <w:p>
      <w:pPr>
        <w:ind w:left="1260" w:right="519" w:firstLine="648"/>
        <w:spacing w:after="0" w:line="308" w:lineRule="auto"/>
        <w:rPr>
          <w:sz w:val="20"/>
          <w:szCs w:val="20"/>
          <w:color w:val="auto"/>
        </w:rPr>
      </w:pPr>
      <w:r>
        <w:rPr>
          <w:rFonts w:ascii="Arial" w:cs="Arial" w:eastAsia="Arial" w:hAnsi="Arial"/>
          <w:sz w:val="17"/>
          <w:szCs w:val="17"/>
          <w:color w:val="auto"/>
        </w:rPr>
        <w:t>Amounts in this note to the consolidated financial statements have been retrospectively adjusted to reflect the impact of the share split resulting from the corporate reorganization described in Note 1.</w:t>
      </w:r>
    </w:p>
    <w:p>
      <w:pPr>
        <w:spacing w:after="0" w:line="79" w:lineRule="exact"/>
        <w:rPr>
          <w:sz w:val="20"/>
          <w:szCs w:val="20"/>
          <w:color w:val="auto"/>
        </w:rPr>
      </w:pPr>
    </w:p>
    <w:p>
      <w:pPr>
        <w:ind w:left="1260" w:right="419" w:firstLine="648"/>
        <w:spacing w:after="0" w:line="308" w:lineRule="auto"/>
        <w:rPr>
          <w:sz w:val="20"/>
          <w:szCs w:val="20"/>
          <w:color w:val="auto"/>
        </w:rPr>
      </w:pPr>
      <w:r>
        <w:rPr>
          <w:rFonts w:ascii="Arial" w:cs="Arial" w:eastAsia="Arial" w:hAnsi="Arial"/>
          <w:sz w:val="17"/>
          <w:szCs w:val="17"/>
          <w:color w:val="auto"/>
        </w:rPr>
        <w:t xml:space="preserve">Earnings per share is calculated pursuant to </w:t>
      </w:r>
      <w:r>
        <w:rPr>
          <w:rFonts w:ascii="Arial" w:cs="Arial" w:eastAsia="Arial" w:hAnsi="Arial"/>
          <w:sz w:val="17"/>
          <w:szCs w:val="17"/>
          <w:i w:val="1"/>
          <w:iCs w:val="1"/>
          <w:color w:val="auto"/>
        </w:rPr>
        <w:t>IAS 33 Earnings per Share</w:t>
      </w:r>
      <w:r>
        <w:rPr>
          <w:rFonts w:ascii="Arial" w:cs="Arial" w:eastAsia="Arial" w:hAnsi="Arial"/>
          <w:sz w:val="17"/>
          <w:szCs w:val="17"/>
          <w:color w:val="auto"/>
        </w:rPr>
        <w:t xml:space="preserve"> by dividing the consolidated net loss in CureVac AG by the average weighted number of shares outstanding in the fiscal period.</w:t>
      </w:r>
    </w:p>
    <w:p>
      <w:pPr>
        <w:spacing w:after="0" w:line="65" w:lineRule="exact"/>
        <w:rPr>
          <w:sz w:val="20"/>
          <w:szCs w:val="20"/>
          <w:color w:val="auto"/>
        </w:rPr>
      </w:pPr>
    </w:p>
    <w:p>
      <w:pPr>
        <w:ind w:left="1260" w:right="439" w:firstLine="648"/>
        <w:spacing w:after="0" w:line="263" w:lineRule="auto"/>
        <w:rPr>
          <w:sz w:val="20"/>
          <w:szCs w:val="20"/>
          <w:color w:val="auto"/>
        </w:rPr>
      </w:pPr>
      <w:r>
        <w:rPr>
          <w:rFonts w:ascii="Arial" w:cs="Arial" w:eastAsia="Arial" w:hAnsi="Arial"/>
          <w:sz w:val="18"/>
          <w:szCs w:val="18"/>
          <w:color w:val="auto"/>
        </w:rPr>
        <w:t>There were no share issuances in fiscal 2018 and 2019 and, therefore, the weighted number of shares outstanding was 96,693,265 in both of these periods. This has led to basic loss per share of EUR 1.03 for fiscal 2019 and of EUR 0.74 for fiscal 2018.</w:t>
      </w:r>
    </w:p>
    <w:p>
      <w:pPr>
        <w:spacing w:after="0" w:line="37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68" w:name="page369"/>
    <w:bookmarkEnd w:id="368"/>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539" w:firstLine="648"/>
        <w:spacing w:after="0" w:line="255" w:lineRule="auto"/>
        <w:rPr>
          <w:sz w:val="20"/>
          <w:szCs w:val="20"/>
          <w:color w:val="auto"/>
        </w:rPr>
      </w:pPr>
      <w:r>
        <w:rPr>
          <w:rFonts w:ascii="Arial" w:cs="Arial" w:eastAsia="Arial" w:hAnsi="Arial"/>
          <w:sz w:val="18"/>
          <w:szCs w:val="18"/>
          <w:color w:val="auto"/>
        </w:rPr>
        <w:t>The 702,917 share options granted to members of management described under Note 9 as well as the new issue of 2,175,157 shares in fiscal 2020 are potential ordinary shares for the purpose of calculating diluted earnings per share. Since the conversion of the options to ordinary shares and the issue of the new shares at the beginning of fiscal would decrease loss per share in fiscal 2019 and 2018, they are considered antidilutive. Therefore, the diluted earnings per share equals basic earnings per share in fiscal 2019 and 2018.</w:t>
      </w:r>
    </w:p>
    <w:p>
      <w:pPr>
        <w:spacing w:after="0" w:line="125" w:lineRule="exact"/>
        <w:rPr>
          <w:sz w:val="20"/>
          <w:szCs w:val="20"/>
          <w:color w:val="auto"/>
        </w:rPr>
      </w:pPr>
    </w:p>
    <w:p>
      <w:pPr>
        <w:ind w:left="1260" w:right="519" w:firstLine="648"/>
        <w:spacing w:after="0" w:line="263" w:lineRule="auto"/>
        <w:rPr>
          <w:sz w:val="20"/>
          <w:szCs w:val="20"/>
          <w:color w:val="auto"/>
        </w:rPr>
      </w:pPr>
      <w:r>
        <w:rPr>
          <w:rFonts w:ascii="Arial" w:cs="Arial" w:eastAsia="Arial" w:hAnsi="Arial"/>
          <w:sz w:val="18"/>
          <w:szCs w:val="18"/>
          <w:color w:val="auto"/>
        </w:rPr>
        <w:t>The same considerations should be taken into account for the potentially issuable 6,822,233 shares under the New VSOP described under Note 9. as well as the convertible loan granted in fiscal 2019 and described under Note 12.</w:t>
      </w:r>
    </w:p>
    <w:p>
      <w:pPr>
        <w:spacing w:after="0" w:line="180" w:lineRule="exact"/>
        <w:rPr>
          <w:sz w:val="20"/>
          <w:szCs w:val="20"/>
          <w:color w:val="auto"/>
        </w:rPr>
      </w:pPr>
    </w:p>
    <w:p>
      <w:pPr>
        <w:ind w:left="1260" w:right="4179"/>
        <w:spacing w:after="0" w:line="532" w:lineRule="auto"/>
        <w:tabs>
          <w:tab w:leader="none" w:pos="1516" w:val="left"/>
        </w:tabs>
        <w:numPr>
          <w:ilvl w:val="0"/>
          <w:numId w:val="229"/>
        </w:numPr>
        <w:rPr>
          <w:rFonts w:ascii="Arial" w:cs="Arial" w:eastAsia="Arial" w:hAnsi="Arial"/>
          <w:sz w:val="17"/>
          <w:szCs w:val="17"/>
          <w:b w:val="1"/>
          <w:bCs w:val="1"/>
          <w:color w:val="auto"/>
        </w:rPr>
      </w:pPr>
      <w:r>
        <w:rPr>
          <w:rFonts w:ascii="Arial" w:cs="Arial" w:eastAsia="Arial" w:hAnsi="Arial"/>
          <w:sz w:val="17"/>
          <w:szCs w:val="17"/>
          <w:b w:val="1"/>
          <w:bCs w:val="1"/>
          <w:color w:val="auto"/>
        </w:rPr>
        <w:t>Disclosure of financial instruments and risk management Type and management of financial risks</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General information</w:t>
      </w:r>
    </w:p>
    <w:p>
      <w:pPr>
        <w:spacing w:after="0" w:line="158" w:lineRule="exact"/>
        <w:rPr>
          <w:sz w:val="20"/>
          <w:szCs w:val="20"/>
          <w:color w:val="auto"/>
        </w:rPr>
      </w:pPr>
    </w:p>
    <w:p>
      <w:pPr>
        <w:ind w:left="1260" w:right="679" w:firstLine="648"/>
        <w:spacing w:after="0" w:line="263" w:lineRule="auto"/>
        <w:rPr>
          <w:sz w:val="20"/>
          <w:szCs w:val="20"/>
          <w:color w:val="auto"/>
        </w:rPr>
      </w:pPr>
      <w:r>
        <w:rPr>
          <w:rFonts w:ascii="Arial" w:cs="Arial" w:eastAsia="Arial" w:hAnsi="Arial"/>
          <w:sz w:val="18"/>
          <w:szCs w:val="18"/>
          <w:color w:val="auto"/>
        </w:rPr>
        <w:t>CureVac is exposed to certain financial risks with respect to its assets and liabilities and the transactions associated with its business model. These risks generally relate to credit risks, liquidity risks and market risks (including currency risk, interest rate risk and price risk).</w:t>
      </w:r>
    </w:p>
    <w:p>
      <w:pPr>
        <w:spacing w:after="0" w:line="103" w:lineRule="exact"/>
        <w:rPr>
          <w:sz w:val="20"/>
          <w:szCs w:val="20"/>
          <w:color w:val="auto"/>
        </w:rPr>
      </w:pPr>
    </w:p>
    <w:p>
      <w:pPr>
        <w:ind w:left="1260" w:right="619" w:firstLine="648"/>
        <w:spacing w:after="0" w:line="286" w:lineRule="auto"/>
        <w:rPr>
          <w:sz w:val="20"/>
          <w:szCs w:val="20"/>
          <w:color w:val="auto"/>
        </w:rPr>
      </w:pPr>
      <w:r>
        <w:rPr>
          <w:rFonts w:ascii="Arial" w:cs="Arial" w:eastAsia="Arial" w:hAnsi="Arial"/>
          <w:sz w:val="17"/>
          <w:szCs w:val="17"/>
          <w:color w:val="auto"/>
        </w:rPr>
        <w:t>The aim of risk management is to limit the potential negative impact on expected cash flows and take advantage of any opportunities that arise. As a result, the management of CureVac assesses at least once a year whether risks have changed and whether the measures in place to limit risk are still sufficient.</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Credit risk</w:t>
      </w:r>
    </w:p>
    <w:p>
      <w:pPr>
        <w:spacing w:after="0" w:line="158" w:lineRule="exact"/>
        <w:rPr>
          <w:sz w:val="20"/>
          <w:szCs w:val="20"/>
          <w:color w:val="auto"/>
        </w:rPr>
      </w:pPr>
    </w:p>
    <w:p>
      <w:pPr>
        <w:ind w:left="1260" w:right="699" w:firstLine="648"/>
        <w:spacing w:after="0" w:line="269" w:lineRule="auto"/>
        <w:rPr>
          <w:sz w:val="20"/>
          <w:szCs w:val="20"/>
          <w:color w:val="auto"/>
        </w:rPr>
      </w:pPr>
      <w:r>
        <w:rPr>
          <w:rFonts w:ascii="Arial" w:cs="Arial" w:eastAsia="Arial" w:hAnsi="Arial"/>
          <w:sz w:val="17"/>
          <w:szCs w:val="17"/>
          <w:color w:val="auto"/>
        </w:rPr>
        <w:t>Credit risk is managed by CureVac’s finance department. Credit risk arises from cash and cash equivalents and other financial assets, including deposits with banks and financial institutions, as well as credit exposures to customers, including outstanding receivables and contract assets. Cash deposits and investments are placed only with reputable financial institutions with a credit rating of not less than</w:t>
      </w:r>
    </w:p>
    <w:p>
      <w:pPr>
        <w:spacing w:after="0" w:line="2" w:lineRule="exact"/>
        <w:rPr>
          <w:sz w:val="20"/>
          <w:szCs w:val="20"/>
          <w:color w:val="auto"/>
        </w:rPr>
      </w:pPr>
    </w:p>
    <w:p>
      <w:pPr>
        <w:ind w:left="1260" w:right="899"/>
        <w:spacing w:after="0" w:line="260" w:lineRule="auto"/>
        <w:rPr>
          <w:sz w:val="20"/>
          <w:szCs w:val="20"/>
          <w:color w:val="auto"/>
        </w:rPr>
      </w:pPr>
      <w:r>
        <w:rPr>
          <w:rFonts w:ascii="Arial" w:cs="Arial" w:eastAsia="Arial" w:hAnsi="Arial"/>
          <w:sz w:val="18"/>
          <w:szCs w:val="18"/>
          <w:color w:val="auto"/>
        </w:rPr>
        <w:t>A- (Standard &amp; Poor’s), A3 (Moody’s) or A- (Fitch). Credit risk is further limited by investing only in liquid instruments.</w:t>
      </w:r>
    </w:p>
    <w:p>
      <w:pPr>
        <w:spacing w:after="0" w:line="118" w:lineRule="exact"/>
        <w:rPr>
          <w:sz w:val="20"/>
          <w:szCs w:val="20"/>
          <w:color w:val="auto"/>
        </w:rPr>
      </w:pPr>
    </w:p>
    <w:p>
      <w:pPr>
        <w:ind w:left="1260" w:right="439" w:firstLine="648"/>
        <w:spacing w:after="0" w:line="291" w:lineRule="auto"/>
        <w:rPr>
          <w:sz w:val="20"/>
          <w:szCs w:val="20"/>
          <w:color w:val="auto"/>
        </w:rPr>
      </w:pPr>
      <w:r>
        <w:rPr>
          <w:rFonts w:ascii="Arial" w:cs="Arial" w:eastAsia="Arial" w:hAnsi="Arial"/>
          <w:sz w:val="16"/>
          <w:szCs w:val="16"/>
          <w:color w:val="auto"/>
        </w:rPr>
        <w:t>CureVac is also exposed to a credit risk for all receivables and contract assets. Counterparty credit limits are reviewed by CureVac’s Management Board on an annual basis and may be updated throughout the year. The limits are set to minimize the concentration of risks and therefore mitigate financial loss through a counterparty’s potential failure to make payments. The Group manages its credit risk with customers by closely monitoring its receivables. The risk of default is considered to be low because the structure of customers consists of reputable collaborating parties and government grantors. Receivables management and financial accounting incorporates monitoring of payments received and any overdue receivables.</w:t>
      </w:r>
    </w:p>
    <w:p>
      <w:pPr>
        <w:spacing w:after="0" w:line="85" w:lineRule="exact"/>
        <w:rPr>
          <w:sz w:val="20"/>
          <w:szCs w:val="20"/>
          <w:color w:val="auto"/>
        </w:rPr>
      </w:pPr>
    </w:p>
    <w:p>
      <w:pPr>
        <w:ind w:left="1260" w:right="459" w:firstLine="648"/>
        <w:spacing w:after="0" w:line="308" w:lineRule="auto"/>
        <w:rPr>
          <w:sz w:val="20"/>
          <w:szCs w:val="20"/>
          <w:color w:val="auto"/>
        </w:rPr>
      </w:pPr>
      <w:r>
        <w:rPr>
          <w:rFonts w:ascii="Arial" w:cs="Arial" w:eastAsia="Arial" w:hAnsi="Arial"/>
          <w:sz w:val="17"/>
          <w:szCs w:val="17"/>
          <w:color w:val="auto"/>
        </w:rPr>
        <w:t>The carrying amount of other financial assets recognized determines the maximum theoretical credit risk. As of the end of fiscal 2019, available funds are deposited at two reputable financial institutions.</w:t>
      </w:r>
    </w:p>
    <w:p>
      <w:pPr>
        <w:spacing w:after="0" w:line="79" w:lineRule="exact"/>
        <w:rPr>
          <w:sz w:val="20"/>
          <w:szCs w:val="20"/>
          <w:color w:val="auto"/>
        </w:rPr>
      </w:pPr>
    </w:p>
    <w:p>
      <w:pPr>
        <w:ind w:left="1260" w:right="519" w:firstLine="648"/>
        <w:spacing w:after="0" w:line="255" w:lineRule="auto"/>
        <w:rPr>
          <w:sz w:val="20"/>
          <w:szCs w:val="20"/>
          <w:color w:val="auto"/>
        </w:rPr>
      </w:pPr>
      <w:r>
        <w:rPr>
          <w:rFonts w:ascii="Arial" w:cs="Arial" w:eastAsia="Arial" w:hAnsi="Arial"/>
          <w:sz w:val="18"/>
          <w:szCs w:val="18"/>
          <w:color w:val="auto"/>
        </w:rPr>
        <w:t>In connection with cash and cash equivalents, (other) financial assets, trade receivables and contract assets, CureVac uses the simplified approach under IFRS 9 in determining the loss allowance at an amount equal to the lifetime expected credit losses. As of December 31, 2019, the loss allowance for the “expected credit losses” totaled to EUR 76k (2018: EUR 447k), resulting in an effect recognized in profit and loss in the consolidated statement of operations and other comprehensive income in fiscal 2019 of EUR 371k (2018: EUR 264k).</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Liquidity risk</w:t>
      </w:r>
    </w:p>
    <w:p>
      <w:pPr>
        <w:spacing w:after="0" w:line="158" w:lineRule="exact"/>
        <w:rPr>
          <w:sz w:val="20"/>
          <w:szCs w:val="20"/>
          <w:color w:val="auto"/>
        </w:rPr>
      </w:pPr>
    </w:p>
    <w:p>
      <w:pPr>
        <w:ind w:left="1260" w:right="579" w:firstLine="648"/>
        <w:spacing w:after="0" w:line="279" w:lineRule="auto"/>
        <w:rPr>
          <w:sz w:val="20"/>
          <w:szCs w:val="20"/>
          <w:color w:val="auto"/>
        </w:rPr>
      </w:pPr>
      <w:r>
        <w:rPr>
          <w:rFonts w:ascii="Arial" w:cs="Arial" w:eastAsia="Arial" w:hAnsi="Arial"/>
          <w:sz w:val="17"/>
          <w:szCs w:val="17"/>
          <w:color w:val="auto"/>
        </w:rPr>
        <w:t>In order to safeguard liquidity, the Group invests funds not required immediately for operating purposes in short-term investments at banks with high standing and call-deposit accounts with maturity up to three months. Liquidity risks are therefore expected to be low. The Group does not enter into trading of financial instruments and monitors its risk of a shortage of funds using a liquidity planning tool.</w:t>
      </w:r>
    </w:p>
    <w:p>
      <w:pPr>
        <w:sectPr>
          <w:pgSz w:w="11900" w:h="16838" w:orient="portrait"/>
          <w:cols w:equalWidth="0" w:num="1">
            <w:col w:w="9879"/>
          </w:cols>
          <w:pgMar w:left="580" w:top="131" w:right="1440" w:bottom="1440" w:gutter="0" w:footer="0" w:header="0"/>
        </w:sectPr>
      </w:pPr>
    </w:p>
    <w:p>
      <w:pPr>
        <w:spacing w:after="0" w:line="34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69" w:name="page370"/>
    <w:bookmarkEnd w:id="369"/>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39" w:firstLine="648"/>
        <w:spacing w:after="0" w:line="259" w:lineRule="auto"/>
        <w:rPr>
          <w:sz w:val="20"/>
          <w:szCs w:val="20"/>
          <w:color w:val="auto"/>
        </w:rPr>
      </w:pPr>
      <w:r>
        <w:rPr>
          <w:rFonts w:ascii="Arial" w:cs="Arial" w:eastAsia="Arial" w:hAnsi="Arial"/>
          <w:sz w:val="18"/>
          <w:szCs w:val="18"/>
          <w:color w:val="auto"/>
        </w:rPr>
        <w:t>Historically, CureVac has relied on financing from shareholders and collaborators in order to ensure sufficient liquidity. Lack of external financial support could pose a risk of going concern. The liquidity management of CureVac ensures the availability of cash and cash equivalents for operational activities and further investments through appropriate budget planning.</w:t>
      </w:r>
    </w:p>
    <w:p>
      <w:pPr>
        <w:spacing w:after="0" w:line="119" w:lineRule="exact"/>
        <w:rPr>
          <w:sz w:val="20"/>
          <w:szCs w:val="20"/>
          <w:color w:val="auto"/>
        </w:rPr>
      </w:pPr>
    </w:p>
    <w:p>
      <w:pPr>
        <w:ind w:left="1260" w:right="719" w:firstLine="648"/>
        <w:spacing w:after="0" w:line="279" w:lineRule="auto"/>
        <w:rPr>
          <w:sz w:val="20"/>
          <w:szCs w:val="20"/>
          <w:color w:val="auto"/>
        </w:rPr>
      </w:pPr>
      <w:r>
        <w:rPr>
          <w:rFonts w:ascii="Arial" w:cs="Arial" w:eastAsia="Arial" w:hAnsi="Arial"/>
          <w:sz w:val="17"/>
          <w:szCs w:val="17"/>
          <w:color w:val="auto"/>
        </w:rPr>
        <w:t>Ultimately, the responsibility for liquidity risk management lies with management, who has established an appropriate approach to managing short-, medium- and long-term financing and liquidity requirements. CureVac manages liquidity risks by holding appropriate reserves, as well as by monitoring forecasted and actual cash flows and reconciling the maturity profiles of financial assets and liabilities.</w:t>
      </w:r>
    </w:p>
    <w:p>
      <w:pPr>
        <w:spacing w:after="0" w:line="104" w:lineRule="exact"/>
        <w:rPr>
          <w:sz w:val="20"/>
          <w:szCs w:val="20"/>
          <w:color w:val="auto"/>
        </w:rPr>
      </w:pPr>
    </w:p>
    <w:p>
      <w:pPr>
        <w:ind w:left="1260" w:right="979" w:firstLine="648"/>
        <w:spacing w:after="0" w:line="277" w:lineRule="auto"/>
        <w:rPr>
          <w:sz w:val="20"/>
          <w:szCs w:val="20"/>
          <w:color w:val="auto"/>
        </w:rPr>
      </w:pPr>
      <w:r>
        <w:rPr>
          <w:rFonts w:ascii="Arial" w:cs="Arial" w:eastAsia="Arial" w:hAnsi="Arial"/>
          <w:sz w:val="18"/>
          <w:szCs w:val="18"/>
          <w:color w:val="auto"/>
        </w:rPr>
        <w:t>The table below summarizes the maturity profile of the Group`s financial liabilities based on contractual undiscounted payments: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79"/>
              </w:rPr>
              <w:t>less than</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0"/>
              </w:rPr>
              <w:t>3 months</w:t>
            </w:r>
          </w:p>
        </w:tc>
        <w:tc>
          <w:tcPr>
            <w:tcW w:w="120" w:type="dxa"/>
            <w:vAlign w:val="bottom"/>
          </w:tcPr>
          <w:p>
            <w:pPr>
              <w:spacing w:after="0"/>
              <w:rPr>
                <w:sz w:val="14"/>
                <w:szCs w:val="14"/>
                <w:color w:val="auto"/>
              </w:rPr>
            </w:pPr>
          </w:p>
        </w:tc>
        <w:tc>
          <w:tcPr>
            <w:tcW w:w="9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86"/>
              </w:rPr>
              <w:t>3 to 12 months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72"/>
              </w:rPr>
              <w:t>1 to 5 years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4"/>
          </w:tcPr>
          <w:p>
            <w:pPr>
              <w:ind w:left="20"/>
              <w:spacing w:after="0"/>
              <w:rPr>
                <w:sz w:val="20"/>
                <w:szCs w:val="20"/>
                <w:color w:val="auto"/>
              </w:rPr>
            </w:pPr>
            <w:r>
              <w:rPr>
                <w:rFonts w:ascii="Arial" w:cs="Arial" w:eastAsia="Arial" w:hAnsi="Arial"/>
                <w:sz w:val="14"/>
                <w:szCs w:val="14"/>
                <w:b w:val="1"/>
                <w:bCs w:val="1"/>
                <w:color w:val="auto"/>
              </w:rPr>
              <w:t>&gt; 5 years</w:t>
            </w:r>
          </w:p>
        </w:tc>
        <w:tc>
          <w:tcPr>
            <w:tcW w:w="100" w:type="dxa"/>
            <w:vAlign w:val="bottom"/>
          </w:tcPr>
          <w:p>
            <w:pPr>
              <w:spacing w:after="0"/>
              <w:rPr>
                <w:sz w:val="14"/>
                <w:szCs w:val="14"/>
                <w:color w:val="auto"/>
              </w:rPr>
            </w:pPr>
          </w:p>
        </w:tc>
        <w:tc>
          <w:tcPr>
            <w:tcW w:w="700" w:type="dxa"/>
            <w:vAlign w:val="bottom"/>
            <w:gridSpan w:val="3"/>
          </w:tcPr>
          <w:p>
            <w:pPr>
              <w:jc w:val="right"/>
              <w:ind w:right="161"/>
              <w:spacing w:after="0"/>
              <w:rPr>
                <w:sz w:val="20"/>
                <w:szCs w:val="20"/>
                <w:color w:val="auto"/>
              </w:rPr>
            </w:pPr>
            <w:r>
              <w:rPr>
                <w:rFonts w:ascii="Arial" w:cs="Arial" w:eastAsia="Arial" w:hAnsi="Arial"/>
                <w:sz w:val="14"/>
                <w:szCs w:val="14"/>
                <w:b w:val="1"/>
                <w:bCs w:val="1"/>
                <w:color w:val="auto"/>
              </w:rPr>
              <w:t>Total</w:t>
            </w:r>
          </w:p>
        </w:tc>
      </w:tr>
      <w:tr>
        <w:trPr>
          <w:trHeight w:val="186"/>
        </w:trPr>
        <w:tc>
          <w:tcPr>
            <w:tcW w:w="3600" w:type="dxa"/>
            <w:vAlign w:val="bottom"/>
          </w:tcPr>
          <w:p>
            <w:pPr>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EURk</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EURk</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EURk</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4"/>
                <w:szCs w:val="14"/>
                <w:b w:val="1"/>
                <w:bCs w:val="1"/>
                <w:color w:val="auto"/>
              </w:rPr>
              <w:t>EURk</w:t>
            </w:r>
          </w:p>
        </w:tc>
        <w:tc>
          <w:tcPr>
            <w:tcW w:w="100" w:type="dxa"/>
            <w:vAlign w:val="bottom"/>
          </w:tcPr>
          <w:p>
            <w:pPr>
              <w:spacing w:after="0"/>
              <w:rPr>
                <w:sz w:val="16"/>
                <w:szCs w:val="16"/>
                <w:color w:val="auto"/>
              </w:rPr>
            </w:pPr>
          </w:p>
        </w:tc>
        <w:tc>
          <w:tcPr>
            <w:tcW w:w="700" w:type="dxa"/>
            <w:vAlign w:val="bottom"/>
            <w:gridSpan w:val="3"/>
          </w:tcPr>
          <w:p>
            <w:pPr>
              <w:jc w:val="right"/>
              <w:ind w:right="121"/>
              <w:spacing w:after="0"/>
              <w:rPr>
                <w:sz w:val="20"/>
                <w:szCs w:val="20"/>
                <w:color w:val="auto"/>
              </w:rPr>
            </w:pPr>
            <w:r>
              <w:rPr>
                <w:rFonts w:ascii="Arial" w:cs="Arial" w:eastAsia="Arial" w:hAnsi="Arial"/>
                <w:sz w:val="14"/>
                <w:szCs w:val="14"/>
                <w:b w:val="1"/>
                <w:bCs w:val="1"/>
                <w:color w:val="auto"/>
              </w:rPr>
              <w:t>EURk</w:t>
            </w:r>
          </w:p>
        </w:tc>
      </w:tr>
      <w:tr>
        <w:trPr>
          <w:trHeight w:val="26"/>
        </w:trPr>
        <w:tc>
          <w:tcPr>
            <w:tcW w:w="3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loans</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(83,940)</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(83,940)</w:t>
            </w:r>
          </w:p>
        </w:tc>
        <w:tc>
          <w:tcPr>
            <w:tcW w:w="60" w:type="dxa"/>
            <w:vAlign w:val="bottom"/>
          </w:tcPr>
          <w:p>
            <w:pPr>
              <w:spacing w:after="0"/>
              <w:rPr>
                <w:sz w:val="21"/>
                <w:szCs w:val="21"/>
                <w:color w:val="auto"/>
              </w:rPr>
            </w:pPr>
          </w:p>
        </w:tc>
      </w:tr>
      <w:tr>
        <w:trPr>
          <w:trHeight w:val="257"/>
        </w:trPr>
        <w:tc>
          <w:tcPr>
            <w:tcW w:w="3700" w:type="dxa"/>
            <w:vAlign w:val="bottom"/>
            <w:gridSpan w:val="2"/>
          </w:tcPr>
          <w:p>
            <w:pPr>
              <w:spacing w:after="0"/>
              <w:rPr>
                <w:sz w:val="20"/>
                <w:szCs w:val="20"/>
                <w:color w:val="auto"/>
              </w:rPr>
            </w:pPr>
            <w:r>
              <w:rPr>
                <w:rFonts w:ascii="Arial" w:cs="Arial" w:eastAsia="Arial" w:hAnsi="Arial"/>
                <w:sz w:val="18"/>
                <w:szCs w:val="18"/>
                <w:color w:val="auto"/>
              </w:rPr>
              <w:t>Lease liabilities (Note 2)</w:t>
            </w: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(732)</w:t>
            </w: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(1,985)</w:t>
            </w:r>
          </w:p>
        </w:tc>
        <w:tc>
          <w:tcPr>
            <w:tcW w:w="120" w:type="dxa"/>
            <w:vAlign w:val="bottom"/>
          </w:tcPr>
          <w:p>
            <w:pPr>
              <w:spacing w:after="0"/>
              <w:rPr>
                <w:sz w:val="22"/>
                <w:szCs w:val="22"/>
                <w:color w:val="auto"/>
              </w:rPr>
            </w:pPr>
          </w:p>
        </w:tc>
        <w:tc>
          <w:tcPr>
            <w:tcW w:w="920" w:type="dxa"/>
            <w:vAlign w:val="bottom"/>
            <w:gridSpan w:val="5"/>
          </w:tcPr>
          <w:p>
            <w:pPr>
              <w:jc w:val="right"/>
              <w:ind w:right="20"/>
              <w:spacing w:after="0"/>
              <w:rPr>
                <w:sz w:val="20"/>
                <w:szCs w:val="20"/>
                <w:color w:val="auto"/>
              </w:rPr>
            </w:pPr>
            <w:r>
              <w:rPr>
                <w:rFonts w:ascii="Arial" w:cs="Arial" w:eastAsia="Arial" w:hAnsi="Arial"/>
                <w:sz w:val="18"/>
                <w:szCs w:val="18"/>
                <w:color w:val="auto"/>
              </w:rPr>
              <w:t>(9,192)</w:t>
            </w:r>
          </w:p>
        </w:tc>
        <w:tc>
          <w:tcPr>
            <w:tcW w:w="920" w:type="dxa"/>
            <w:vAlign w:val="bottom"/>
            <w:gridSpan w:val="6"/>
          </w:tcPr>
          <w:p>
            <w:pPr>
              <w:jc w:val="right"/>
              <w:ind w:right="120"/>
              <w:spacing w:after="0"/>
              <w:rPr>
                <w:sz w:val="20"/>
                <w:szCs w:val="20"/>
                <w:color w:val="auto"/>
              </w:rPr>
            </w:pPr>
            <w:r>
              <w:rPr>
                <w:rFonts w:ascii="Arial" w:cs="Arial" w:eastAsia="Arial" w:hAnsi="Arial"/>
                <w:sz w:val="18"/>
                <w:szCs w:val="18"/>
                <w:color w:val="auto"/>
              </w:rPr>
              <w:t>(5,086)</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(16,995)</w:t>
            </w:r>
          </w:p>
        </w:tc>
      </w:tr>
      <w:tr>
        <w:trPr>
          <w:trHeight w:val="25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(12,015)</w:t>
            </w:r>
          </w:p>
        </w:tc>
        <w:tc>
          <w:tcPr>
            <w:tcW w:w="120" w:type="dxa"/>
            <w:vAlign w:val="bottom"/>
            <w:shd w:val="clear" w:color="auto" w:fill="CCEEFF"/>
          </w:tcPr>
          <w:p>
            <w:pPr>
              <w:spacing w:after="0"/>
              <w:rPr>
                <w:sz w:val="22"/>
                <w:szCs w:val="22"/>
                <w:color w:val="auto"/>
              </w:rPr>
            </w:pPr>
          </w:p>
        </w:tc>
        <w:tc>
          <w:tcPr>
            <w:tcW w:w="9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(362)</w:t>
            </w:r>
          </w:p>
        </w:tc>
        <w:tc>
          <w:tcPr>
            <w:tcW w:w="92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(12,544)</w:t>
            </w:r>
          </w:p>
        </w:tc>
        <w:tc>
          <w:tcPr>
            <w:tcW w:w="60" w:type="dxa"/>
            <w:vAlign w:val="bottom"/>
          </w:tcPr>
          <w:p>
            <w:pPr>
              <w:spacing w:after="0"/>
              <w:rPr>
                <w:sz w:val="22"/>
                <w:szCs w:val="22"/>
                <w:color w:val="auto"/>
              </w:rPr>
            </w:pPr>
          </w:p>
        </w:tc>
      </w:tr>
      <w:tr>
        <w:trPr>
          <w:trHeight w:val="263"/>
        </w:trPr>
        <w:tc>
          <w:tcPr>
            <w:tcW w:w="3700" w:type="dxa"/>
            <w:vAlign w:val="bottom"/>
            <w:gridSpan w:val="2"/>
          </w:tcPr>
          <w:p>
            <w:pPr>
              <w:spacing w:after="0"/>
              <w:rPr>
                <w:sz w:val="20"/>
                <w:szCs w:val="20"/>
                <w:color w:val="auto"/>
              </w:rPr>
            </w:pPr>
            <w:r>
              <w:rPr>
                <w:rFonts w:ascii="Arial" w:cs="Arial" w:eastAsia="Arial" w:hAnsi="Arial"/>
                <w:sz w:val="18"/>
                <w:szCs w:val="18"/>
                <w:color w:val="auto"/>
              </w:rPr>
              <w:t>Trade and other payables</w:t>
            </w:r>
          </w:p>
        </w:tc>
        <w:tc>
          <w:tcPr>
            <w:tcW w:w="260" w:type="dxa"/>
            <w:vAlign w:val="bottom"/>
            <w:gridSpan w:val="2"/>
          </w:tcPr>
          <w:p>
            <w:pPr>
              <w:spacing w:after="0"/>
              <w:rPr>
                <w:sz w:val="22"/>
                <w:szCs w:val="2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(5,938)</w:t>
            </w: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(6,475)</w:t>
            </w:r>
          </w:p>
        </w:tc>
      </w:tr>
      <w:tr>
        <w:trPr>
          <w:trHeight w:val="20"/>
        </w:trPr>
        <w:tc>
          <w:tcPr>
            <w:tcW w:w="3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right w:val="single" w:sz="8" w:color="CCEEFF"/>
            </w:tcBorders>
            <w:gridSpan w:val="2"/>
            <w:shd w:val="clear" w:color="auto" w:fill="CCEEFF"/>
          </w:tcPr>
          <w:p>
            <w:pPr>
              <w:spacing w:after="0"/>
              <w:rPr>
                <w:sz w:val="22"/>
                <w:szCs w:val="2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1"/>
              </w:rPr>
              <w:t>(6,670)</w:t>
            </w:r>
          </w:p>
        </w:tc>
        <w:tc>
          <w:tcPr>
            <w:tcW w:w="90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(14,537)</w:t>
            </w:r>
          </w:p>
        </w:tc>
        <w:tc>
          <w:tcPr>
            <w:tcW w:w="120" w:type="dxa"/>
            <w:vAlign w:val="bottom"/>
            <w:shd w:val="clear" w:color="auto" w:fill="CCEEFF"/>
          </w:tcPr>
          <w:p>
            <w:pPr>
              <w:spacing w:after="0"/>
              <w:rPr>
                <w:sz w:val="22"/>
                <w:szCs w:val="22"/>
                <w:color w:val="auto"/>
              </w:rPr>
            </w:pPr>
          </w:p>
        </w:tc>
        <w:tc>
          <w:tcPr>
            <w:tcW w:w="9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(93,494)</w:t>
            </w:r>
          </w:p>
        </w:tc>
        <w:tc>
          <w:tcPr>
            <w:tcW w:w="92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(5,253)</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(119,954</w:t>
            </w: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0"/>
        </w:trPr>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less than</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2"/>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3 months</w:t>
            </w:r>
          </w:p>
        </w:tc>
        <w:tc>
          <w:tcPr>
            <w:tcW w:w="102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89"/>
              </w:rPr>
              <w:t>3 to 12 months</w:t>
            </w:r>
          </w:p>
        </w:tc>
        <w:tc>
          <w:tcPr>
            <w:tcW w:w="100" w:type="dxa"/>
            <w:vAlign w:val="bottom"/>
          </w:tcPr>
          <w:p>
            <w:pPr>
              <w:spacing w:after="0"/>
              <w:rPr>
                <w:sz w:val="14"/>
                <w:szCs w:val="14"/>
                <w:color w:val="auto"/>
              </w:rPr>
            </w:pPr>
          </w:p>
        </w:tc>
        <w:tc>
          <w:tcPr>
            <w:tcW w:w="8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85"/>
              </w:rPr>
              <w:t>1 to 5 years</w:t>
            </w:r>
          </w:p>
        </w:tc>
        <w:tc>
          <w:tcPr>
            <w:tcW w:w="120" w:type="dxa"/>
            <w:vAlign w:val="bottom"/>
          </w:tcPr>
          <w:p>
            <w:pPr>
              <w:spacing w:after="0"/>
              <w:rPr>
                <w:sz w:val="14"/>
                <w:szCs w:val="14"/>
                <w:color w:val="auto"/>
              </w:rPr>
            </w:pPr>
          </w:p>
        </w:tc>
        <w:tc>
          <w:tcPr>
            <w:tcW w:w="800" w:type="dxa"/>
            <w:vAlign w:val="bottom"/>
            <w:gridSpan w:val="5"/>
          </w:tcPr>
          <w:p>
            <w:pPr>
              <w:spacing w:after="0"/>
              <w:rPr>
                <w:sz w:val="20"/>
                <w:szCs w:val="20"/>
                <w:color w:val="auto"/>
              </w:rPr>
            </w:pPr>
            <w:r>
              <w:rPr>
                <w:rFonts w:ascii="Arial" w:cs="Arial" w:eastAsia="Arial" w:hAnsi="Arial"/>
                <w:sz w:val="14"/>
                <w:szCs w:val="14"/>
                <w:b w:val="1"/>
                <w:bCs w:val="1"/>
                <w:color w:val="auto"/>
              </w:rPr>
              <w:t>&gt; 5 years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6"/>
        </w:trPr>
        <w:tc>
          <w:tcPr>
            <w:tcW w:w="3600" w:type="dxa"/>
            <w:vAlign w:val="bottom"/>
          </w:tcPr>
          <w:p>
            <w:pPr>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6"/>
              </w:rPr>
              <w:t>EURk</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6"/>
              </w:rPr>
              <w:t>EURk</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0"/>
              </w:rPr>
              <w:t>EURk</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4"/>
          </w:tcPr>
          <w:p>
            <w:pPr>
              <w:ind w:left="20"/>
              <w:spacing w:after="0"/>
              <w:rPr>
                <w:sz w:val="20"/>
                <w:szCs w:val="20"/>
                <w:color w:val="auto"/>
              </w:rPr>
            </w:pPr>
            <w:r>
              <w:rPr>
                <w:rFonts w:ascii="Arial" w:cs="Arial" w:eastAsia="Arial" w:hAnsi="Arial"/>
                <w:sz w:val="14"/>
                <w:szCs w:val="14"/>
                <w:b w:val="1"/>
                <w:bCs w:val="1"/>
                <w:color w:val="auto"/>
              </w:rPr>
              <w:t>EURk</w:t>
            </w:r>
          </w:p>
        </w:tc>
        <w:tc>
          <w:tcPr>
            <w:tcW w:w="800" w:type="dxa"/>
            <w:vAlign w:val="bottom"/>
            <w:gridSpan w:val="4"/>
          </w:tcPr>
          <w:p>
            <w:pPr>
              <w:jc w:val="right"/>
              <w:ind w:right="1"/>
              <w:spacing w:after="0"/>
              <w:rPr>
                <w:sz w:val="20"/>
                <w:szCs w:val="20"/>
                <w:color w:val="auto"/>
              </w:rPr>
            </w:pPr>
            <w:r>
              <w:rPr>
                <w:rFonts w:ascii="Arial" w:cs="Arial" w:eastAsia="Arial" w:hAnsi="Arial"/>
                <w:sz w:val="14"/>
                <w:szCs w:val="14"/>
                <w:b w:val="1"/>
                <w:bCs w:val="1"/>
                <w:color w:val="auto"/>
                <w:w w:val="93"/>
              </w:rPr>
              <w:t>Total EURk</w:t>
            </w:r>
          </w:p>
        </w:tc>
      </w:tr>
      <w:tr>
        <w:trPr>
          <w:trHeight w:val="26"/>
        </w:trPr>
        <w:tc>
          <w:tcPr>
            <w:tcW w:w="3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lease liabilities</w:t>
            </w:r>
          </w:p>
        </w:tc>
        <w:tc>
          <w:tcPr>
            <w:tcW w:w="8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6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21"/>
                <w:szCs w:val="21"/>
                <w:color w:val="auto"/>
              </w:rPr>
            </w:pPr>
          </w:p>
        </w:tc>
      </w:tr>
      <w:tr>
        <w:trPr>
          <w:trHeight w:val="256"/>
        </w:trPr>
        <w:tc>
          <w:tcPr>
            <w:tcW w:w="37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5"/>
          </w:tcPr>
          <w:p>
            <w:pPr>
              <w:jc w:val="right"/>
              <w:ind w:right="100"/>
              <w:spacing w:after="0"/>
              <w:rPr>
                <w:sz w:val="20"/>
                <w:szCs w:val="20"/>
                <w:color w:val="auto"/>
              </w:rPr>
            </w:pPr>
            <w:r>
              <w:rPr>
                <w:rFonts w:ascii="Arial" w:cs="Arial" w:eastAsia="Arial" w:hAnsi="Arial"/>
                <w:sz w:val="18"/>
                <w:szCs w:val="18"/>
                <w:color w:val="auto"/>
              </w:rPr>
              <w:t>(11,146)</w:t>
            </w:r>
          </w:p>
        </w:tc>
        <w:tc>
          <w:tcPr>
            <w:tcW w:w="120" w:type="dxa"/>
            <w:vAlign w:val="bottom"/>
          </w:tcPr>
          <w:p>
            <w:pPr>
              <w:spacing w:after="0"/>
              <w:rPr>
                <w:sz w:val="22"/>
                <w:szCs w:val="22"/>
                <w:color w:val="auto"/>
              </w:rPr>
            </w:pPr>
          </w:p>
        </w:tc>
        <w:tc>
          <w:tcPr>
            <w:tcW w:w="840" w:type="dxa"/>
            <w:vAlign w:val="bottom"/>
            <w:gridSpan w:val="4"/>
          </w:tcPr>
          <w:p>
            <w:pPr>
              <w:jc w:val="right"/>
              <w:ind w:right="50"/>
              <w:spacing w:after="0"/>
              <w:rPr>
                <w:sz w:val="20"/>
                <w:szCs w:val="20"/>
                <w:color w:val="auto"/>
              </w:rPr>
            </w:pPr>
            <w:r>
              <w:rPr>
                <w:rFonts w:ascii="Arial" w:cs="Arial" w:eastAsia="Arial" w:hAnsi="Arial"/>
                <w:sz w:val="18"/>
                <w:szCs w:val="18"/>
                <w:color w:val="auto"/>
              </w:rPr>
              <w:t>(688)</w:t>
            </w:r>
          </w:p>
        </w:tc>
        <w:tc>
          <w:tcPr>
            <w:tcW w:w="80" w:type="dxa"/>
            <w:vAlign w:val="bottom"/>
          </w:tcPr>
          <w:p>
            <w:pPr>
              <w:spacing w:after="0"/>
              <w:rPr>
                <w:sz w:val="22"/>
                <w:szCs w:val="22"/>
                <w:color w:val="auto"/>
              </w:rPr>
            </w:pPr>
          </w:p>
        </w:tc>
        <w:tc>
          <w:tcPr>
            <w:tcW w:w="800" w:type="dxa"/>
            <w:vAlign w:val="bottom"/>
            <w:gridSpan w:val="5"/>
          </w:tcPr>
          <w:p>
            <w:pPr>
              <w:jc w:val="right"/>
              <w:ind w:right="160"/>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2"/>
                <w:szCs w:val="22"/>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(12,009)</w:t>
            </w:r>
          </w:p>
        </w:tc>
        <w:tc>
          <w:tcPr>
            <w:tcW w:w="60" w:type="dxa"/>
            <w:vAlign w:val="bottom"/>
          </w:tcPr>
          <w:p>
            <w:pPr>
              <w:spacing w:after="0"/>
              <w:rPr>
                <w:sz w:val="22"/>
                <w:szCs w:val="22"/>
                <w:color w:val="auto"/>
              </w:rPr>
            </w:pPr>
          </w:p>
        </w:tc>
      </w:tr>
      <w:tr>
        <w:trPr>
          <w:trHeight w:val="263"/>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10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(10,378)</w:t>
            </w:r>
          </w:p>
        </w:tc>
        <w:tc>
          <w:tcPr>
            <w:tcW w:w="100" w:type="dxa"/>
            <w:vAlign w:val="bottom"/>
            <w:shd w:val="clear" w:color="auto" w:fill="CCEEFF"/>
          </w:tcPr>
          <w:p>
            <w:pPr>
              <w:spacing w:after="0"/>
              <w:rPr>
                <w:sz w:val="22"/>
                <w:szCs w:val="22"/>
                <w:color w:val="auto"/>
              </w:rPr>
            </w:pPr>
          </w:p>
        </w:tc>
        <w:tc>
          <w:tcPr>
            <w:tcW w:w="900" w:type="dxa"/>
            <w:vAlign w:val="bottom"/>
            <w:tcBorders>
              <w:right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(535)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spacing w:after="0"/>
              <w:rPr>
                <w:sz w:val="22"/>
                <w:szCs w:val="22"/>
                <w:color w:val="auto"/>
              </w:rPr>
            </w:pPr>
          </w:p>
        </w:tc>
        <w:tc>
          <w:tcPr>
            <w:tcW w:w="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tcBorders>
              <w:right w:val="single" w:sz="8" w:color="CCEEFF"/>
            </w:tcBorders>
            <w:shd w:val="clear" w:color="auto" w:fill="CCEEFF"/>
          </w:tcPr>
          <w:p>
            <w:pPr>
              <w:spacing w:after="0"/>
              <w:rPr>
                <w:sz w:val="22"/>
                <w:szCs w:val="22"/>
                <w:color w:val="auto"/>
              </w:rPr>
            </w:pPr>
          </w:p>
        </w:tc>
        <w:tc>
          <w:tcPr>
            <w:tcW w:w="6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(10,913)</w:t>
            </w:r>
          </w:p>
        </w:tc>
        <w:tc>
          <w:tcPr>
            <w:tcW w:w="60" w:type="dxa"/>
            <w:vAlign w:val="bottom"/>
          </w:tcPr>
          <w:p>
            <w:pPr>
              <w:spacing w:after="0"/>
              <w:rPr>
                <w:sz w:val="22"/>
                <w:szCs w:val="22"/>
                <w:color w:val="auto"/>
              </w:rPr>
            </w:pPr>
          </w:p>
        </w:tc>
      </w:tr>
      <w:tr>
        <w:trPr>
          <w:trHeight w:val="20"/>
        </w:trPr>
        <w:tc>
          <w:tcPr>
            <w:tcW w:w="3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gridSpan w:val="2"/>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(10,407)</w:t>
            </w:r>
          </w:p>
        </w:tc>
        <w:tc>
          <w:tcPr>
            <w:tcW w:w="100" w:type="dxa"/>
            <w:vAlign w:val="bottom"/>
          </w:tcPr>
          <w:p>
            <w:pPr>
              <w:spacing w:after="0"/>
              <w:rPr>
                <w:sz w:val="22"/>
                <w:szCs w:val="22"/>
                <w:color w:val="auto"/>
              </w:rPr>
            </w:pPr>
          </w:p>
        </w:tc>
        <w:tc>
          <w:tcPr>
            <w:tcW w:w="90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rPr>
              <w:t>(11,729)</w:t>
            </w:r>
          </w:p>
        </w:tc>
        <w:tc>
          <w:tcPr>
            <w:tcW w:w="120" w:type="dxa"/>
            <w:vAlign w:val="bottom"/>
          </w:tcPr>
          <w:p>
            <w:pPr>
              <w:spacing w:after="0"/>
              <w:rPr>
                <w:sz w:val="22"/>
                <w:szCs w:val="22"/>
                <w:color w:val="auto"/>
              </w:rPr>
            </w:pPr>
          </w:p>
        </w:tc>
        <w:tc>
          <w:tcPr>
            <w:tcW w:w="84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(688)</w:t>
            </w:r>
          </w:p>
        </w:tc>
        <w:tc>
          <w:tcPr>
            <w:tcW w:w="80" w:type="dxa"/>
            <w:vAlign w:val="bottom"/>
          </w:tcPr>
          <w:p>
            <w:pPr>
              <w:spacing w:after="0"/>
              <w:rPr>
                <w:sz w:val="22"/>
                <w:szCs w:val="22"/>
                <w:color w:val="auto"/>
              </w:rPr>
            </w:pPr>
          </w:p>
        </w:tc>
        <w:tc>
          <w:tcPr>
            <w:tcW w:w="800" w:type="dxa"/>
            <w:vAlign w:val="bottom"/>
            <w:gridSpan w:val="5"/>
          </w:tcPr>
          <w:p>
            <w:pPr>
              <w:jc w:val="right"/>
              <w:ind w:right="160"/>
              <w:spacing w:after="0"/>
              <w:rPr>
                <w:sz w:val="20"/>
                <w:szCs w:val="20"/>
                <w:color w:val="auto"/>
              </w:rPr>
            </w:pPr>
            <w:r>
              <w:rPr>
                <w:rFonts w:ascii="Arial" w:cs="Arial" w:eastAsia="Arial" w:hAnsi="Arial"/>
                <w:sz w:val="18"/>
                <w:szCs w:val="18"/>
                <w:b w:val="1"/>
                <w:bCs w:val="1"/>
                <w:color w:val="auto"/>
              </w:rPr>
              <w:t>(175)</w:t>
            </w:r>
          </w:p>
        </w:tc>
        <w:tc>
          <w:tcPr>
            <w:tcW w:w="120" w:type="dxa"/>
            <w:vAlign w:val="bottom"/>
          </w:tcPr>
          <w:p>
            <w:pPr>
              <w:spacing w:after="0"/>
              <w:rPr>
                <w:sz w:val="22"/>
                <w:szCs w:val="22"/>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(22,999)</w:t>
            </w:r>
          </w:p>
        </w:tc>
        <w:tc>
          <w:tcPr>
            <w:tcW w:w="60" w:type="dxa"/>
            <w:vAlign w:val="bottom"/>
          </w:tcPr>
          <w:p>
            <w:pPr>
              <w:spacing w:after="0"/>
              <w:rPr>
                <w:sz w:val="22"/>
                <w:szCs w:val="22"/>
                <w:color w:val="auto"/>
              </w:rPr>
            </w:pPr>
          </w:p>
        </w:tc>
      </w:tr>
      <w:tr>
        <w:trPr>
          <w:trHeight w:val="20"/>
        </w:trPr>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5420360</wp:posOffset>
            </wp:positionH>
            <wp:positionV relativeFrom="paragraph">
              <wp:posOffset>-1431290</wp:posOffset>
            </wp:positionV>
            <wp:extent cx="17970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-1431290</wp:posOffset>
            </wp:positionV>
            <wp:extent cx="21463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-1431290</wp:posOffset>
            </wp:positionV>
            <wp:extent cx="374586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374586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-2099310</wp:posOffset>
            </wp:positionV>
            <wp:extent cx="13716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-2099310</wp:posOffset>
            </wp:positionV>
            <wp:extent cx="13716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-2099310</wp:posOffset>
            </wp:positionV>
            <wp:extent cx="13716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-2099310</wp:posOffset>
            </wp:positionV>
            <wp:extent cx="13716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3148965</wp:posOffset>
            </wp:positionH>
            <wp:positionV relativeFrom="paragraph">
              <wp:posOffset>-2099310</wp:posOffset>
            </wp:positionV>
            <wp:extent cx="13716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-710565</wp:posOffset>
            </wp:positionV>
            <wp:extent cx="13716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4888865</wp:posOffset>
            </wp:positionH>
            <wp:positionV relativeFrom="paragraph">
              <wp:posOffset>-710565</wp:posOffset>
            </wp:positionV>
            <wp:extent cx="13716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4297680</wp:posOffset>
            </wp:positionH>
            <wp:positionV relativeFrom="paragraph">
              <wp:posOffset>-710565</wp:posOffset>
            </wp:positionV>
            <wp:extent cx="13716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-710565</wp:posOffset>
            </wp:positionV>
            <wp:extent cx="13716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-710565</wp:posOffset>
            </wp:positionV>
            <wp:extent cx="13716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2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Commitments according to IAS 17 as of December 31, 2018.</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2"/>
              </w:rPr>
              <w:t>less than</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6"/>
              </w:rPr>
              <w:t>3 months</w:t>
            </w:r>
          </w:p>
        </w:tc>
        <w:tc>
          <w:tcPr>
            <w:tcW w:w="11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6"/>
              </w:rPr>
              <w:t>3 to 12 months</w:t>
            </w:r>
          </w:p>
        </w:tc>
        <w:tc>
          <w:tcPr>
            <w:tcW w:w="9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5"/>
              </w:rPr>
              <w:t>1 to 5 years</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6"/>
              </w:rPr>
              <w:t>&gt; 5 years</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6"/>
        </w:trPr>
        <w:tc>
          <w:tcPr>
            <w:tcW w:w="3600" w:type="dxa"/>
            <w:vAlign w:val="bottom"/>
          </w:tcPr>
          <w:p>
            <w:pPr>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6"/>
                <w:szCs w:val="16"/>
                <w:color w:val="auto"/>
              </w:rPr>
            </w:pPr>
          </w:p>
        </w:tc>
        <w:tc>
          <w:tcPr>
            <w:tcW w:w="8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EURk</w:t>
            </w:r>
          </w:p>
        </w:tc>
        <w:tc>
          <w:tcPr>
            <w:tcW w:w="220" w:type="dxa"/>
            <w:vAlign w:val="bottom"/>
          </w:tcPr>
          <w:p>
            <w:pPr>
              <w:spacing w:after="0"/>
              <w:rPr>
                <w:sz w:val="16"/>
                <w:szCs w:val="16"/>
                <w:color w:val="auto"/>
              </w:rPr>
            </w:pPr>
          </w:p>
        </w:tc>
        <w:tc>
          <w:tcPr>
            <w:tcW w:w="9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EURk</w:t>
            </w:r>
          </w:p>
        </w:tc>
        <w:tc>
          <w:tcPr>
            <w:tcW w:w="60" w:type="dxa"/>
            <w:vAlign w:val="bottom"/>
          </w:tcPr>
          <w:p>
            <w:pPr>
              <w:spacing w:after="0"/>
              <w:rPr>
                <w:sz w:val="16"/>
                <w:szCs w:val="16"/>
                <w:color w:val="auto"/>
              </w:rPr>
            </w:pPr>
          </w:p>
        </w:tc>
        <w:tc>
          <w:tcPr>
            <w:tcW w:w="8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EURk</w:t>
            </w: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EURk</w:t>
            </w:r>
          </w:p>
        </w:tc>
        <w:tc>
          <w:tcPr>
            <w:tcW w:w="7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3"/>
              </w:rPr>
              <w:t>Total EURk</w:t>
            </w:r>
          </w:p>
        </w:tc>
      </w:tr>
      <w:tr>
        <w:trPr>
          <w:trHeight w:val="25"/>
        </w:trPr>
        <w:tc>
          <w:tcPr>
            <w:tcW w:w="3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50"/>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commitments</w:t>
            </w:r>
          </w:p>
        </w:tc>
        <w:tc>
          <w:tcPr>
            <w:tcW w:w="10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(175)</w:t>
            </w:r>
          </w:p>
        </w:tc>
      </w:tr>
      <w:tr>
        <w:trPr>
          <w:trHeight w:val="257"/>
        </w:trPr>
        <w:tc>
          <w:tcPr>
            <w:tcW w:w="3820" w:type="dxa"/>
            <w:vAlign w:val="bottom"/>
            <w:gridSpan w:val="2"/>
          </w:tcPr>
          <w:p>
            <w:pPr>
              <w:spacing w:after="0"/>
              <w:rPr>
                <w:sz w:val="20"/>
                <w:szCs w:val="20"/>
                <w:color w:val="auto"/>
              </w:rPr>
            </w:pPr>
            <w:r>
              <w:rPr>
                <w:rFonts w:ascii="Arial" w:cs="Arial" w:eastAsia="Arial" w:hAnsi="Arial"/>
                <w:sz w:val="18"/>
                <w:szCs w:val="18"/>
                <w:color w:val="auto"/>
              </w:rPr>
              <w:t>Rental agreements</w:t>
            </w: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(683)</w:t>
            </w:r>
          </w:p>
        </w:tc>
        <w:tc>
          <w:tcPr>
            <w:tcW w:w="220" w:type="dxa"/>
            <w:vAlign w:val="bottom"/>
          </w:tcPr>
          <w:p>
            <w:pPr>
              <w:spacing w:after="0"/>
              <w:rPr>
                <w:sz w:val="22"/>
                <w:szCs w:val="22"/>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(2,576)</w:t>
            </w:r>
          </w:p>
        </w:tc>
        <w:tc>
          <w:tcPr>
            <w:tcW w:w="220" w:type="dxa"/>
            <w:vAlign w:val="bottom"/>
          </w:tcPr>
          <w:p>
            <w:pPr>
              <w:spacing w:after="0"/>
              <w:rPr>
                <w:sz w:val="22"/>
                <w:szCs w:val="22"/>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(21,160)</w:t>
            </w:r>
          </w:p>
        </w:tc>
        <w:tc>
          <w:tcPr>
            <w:tcW w:w="22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(23,589)</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(48,008)</w:t>
            </w:r>
          </w:p>
        </w:tc>
      </w:tr>
      <w:tr>
        <w:trPr>
          <w:trHeight w:val="263"/>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(683)</w:t>
            </w:r>
          </w:p>
        </w:tc>
        <w:tc>
          <w:tcPr>
            <w:tcW w:w="22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(2,660)</w:t>
            </w:r>
          </w:p>
        </w:tc>
        <w:tc>
          <w:tcPr>
            <w:tcW w:w="22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(21,251)</w:t>
            </w:r>
          </w:p>
        </w:tc>
        <w:tc>
          <w:tcPr>
            <w:tcW w:w="2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2"/>
              </w:rPr>
              <w:t>(23,589)</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(48,183)</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5394960</wp:posOffset>
            </wp:positionH>
            <wp:positionV relativeFrom="paragraph">
              <wp:posOffset>-530860</wp:posOffset>
            </wp:positionV>
            <wp:extent cx="13716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4888865</wp:posOffset>
            </wp:positionH>
            <wp:positionV relativeFrom="paragraph">
              <wp:posOffset>-530860</wp:posOffset>
            </wp:positionV>
            <wp:extent cx="13716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-530860</wp:posOffset>
            </wp:positionV>
            <wp:extent cx="13716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3594735</wp:posOffset>
            </wp:positionH>
            <wp:positionV relativeFrom="paragraph">
              <wp:posOffset>-530860</wp:posOffset>
            </wp:positionV>
            <wp:extent cx="13716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3088640</wp:posOffset>
            </wp:positionH>
            <wp:positionV relativeFrom="paragraph">
              <wp:posOffset>-530860</wp:posOffset>
            </wp:positionV>
            <wp:extent cx="13716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58" w:lineRule="exact"/>
        <w:rPr>
          <w:sz w:val="20"/>
          <w:szCs w:val="20"/>
          <w:color w:val="auto"/>
        </w:rPr>
      </w:pPr>
    </w:p>
    <w:p>
      <w:pPr>
        <w:ind w:left="1260" w:right="419" w:firstLine="648"/>
        <w:spacing w:after="0" w:line="259" w:lineRule="auto"/>
        <w:rPr>
          <w:sz w:val="20"/>
          <w:szCs w:val="20"/>
          <w:color w:val="auto"/>
        </w:rPr>
      </w:pPr>
      <w:r>
        <w:rPr>
          <w:rFonts w:ascii="Arial" w:cs="Arial" w:eastAsia="Arial" w:hAnsi="Arial"/>
          <w:sz w:val="18"/>
          <w:szCs w:val="18"/>
          <w:color w:val="auto"/>
        </w:rPr>
        <w:t>Foreign currency risk is the risk that the fair value or future cash flows of an exposure will fluctuate because of changes in foreign exchange rates. CureVac’s exposure to the risk of changes in foreign exchange rates relates primarily to the Group’s operating activities (when revenue or expense is denominated in a foreign currency) and the amounts held as cash and cash equivalents.</w:t>
      </w:r>
    </w:p>
    <w:p>
      <w:pPr>
        <w:spacing w:after="0" w:line="119" w:lineRule="exact"/>
        <w:rPr>
          <w:sz w:val="20"/>
          <w:szCs w:val="20"/>
          <w:color w:val="auto"/>
        </w:rPr>
      </w:pPr>
    </w:p>
    <w:p>
      <w:pPr>
        <w:ind w:left="1260" w:right="439" w:firstLine="648"/>
        <w:spacing w:after="0" w:line="263" w:lineRule="auto"/>
        <w:rPr>
          <w:sz w:val="20"/>
          <w:szCs w:val="20"/>
          <w:color w:val="auto"/>
        </w:rPr>
      </w:pPr>
      <w:r>
        <w:rPr>
          <w:rFonts w:ascii="Arial" w:cs="Arial" w:eastAsia="Arial" w:hAnsi="Arial"/>
          <w:sz w:val="18"/>
          <w:szCs w:val="18"/>
          <w:color w:val="auto"/>
        </w:rPr>
        <w:t>CureVac AG’s and CureVac Real Estate GmbH’s functional currency is the Euro. The functional currency of CureVac Inc. is the USD. CureVac AG’s exposure in (foreign) currency at the end of fiscal 2019 and 2018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70" w:name="page371"/>
    <w:bookmarkEnd w:id="370"/>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89"/>
              </w:rPr>
              <w:t>2019</w:t>
            </w:r>
          </w:p>
        </w:tc>
        <w:tc>
          <w:tcPr>
            <w:tcW w:w="400" w:type="dxa"/>
            <w:vAlign w:val="bottom"/>
          </w:tcPr>
          <w:p>
            <w:pPr>
              <w:spacing w:after="0"/>
              <w:rPr>
                <w:sz w:val="14"/>
                <w:szCs w:val="14"/>
                <w:color w:val="auto"/>
              </w:rPr>
            </w:pPr>
          </w:p>
        </w:tc>
      </w:tr>
      <w:tr>
        <w:trPr>
          <w:trHeight w:val="186"/>
        </w:trPr>
        <w:tc>
          <w:tcPr>
            <w:tcW w:w="6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60" w:type="dxa"/>
            <w:vAlign w:val="bottom"/>
            <w:gridSpan w:val="2"/>
          </w:tcPr>
          <w:p>
            <w:pPr>
              <w:jc w:val="center"/>
              <w:ind w:right="50"/>
              <w:spacing w:after="0"/>
              <w:rPr>
                <w:sz w:val="20"/>
                <w:szCs w:val="20"/>
                <w:color w:val="auto"/>
              </w:rPr>
            </w:pPr>
            <w:r>
              <w:rPr>
                <w:rFonts w:ascii="Arial" w:cs="Arial" w:eastAsia="Arial" w:hAnsi="Arial"/>
                <w:sz w:val="14"/>
                <w:szCs w:val="14"/>
                <w:b w:val="1"/>
                <w:bCs w:val="1"/>
                <w:color w:val="auto"/>
                <w:w w:val="84"/>
              </w:rPr>
              <w:t>(in thousands)</w:t>
            </w:r>
          </w:p>
        </w:tc>
        <w:tc>
          <w:tcPr>
            <w:tcW w:w="400" w:type="dxa"/>
            <w:vAlign w:val="bottom"/>
          </w:tcPr>
          <w:p>
            <w:pPr>
              <w:spacing w:after="0"/>
              <w:rPr>
                <w:sz w:val="16"/>
                <w:szCs w:val="16"/>
                <w:color w:val="auto"/>
              </w:rPr>
            </w:pPr>
          </w:p>
        </w:tc>
      </w:tr>
      <w:tr>
        <w:trPr>
          <w:trHeight w:val="26"/>
        </w:trPr>
        <w:tc>
          <w:tcPr>
            <w:tcW w:w="60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5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22,608</w:t>
            </w:r>
          </w:p>
        </w:tc>
        <w:tc>
          <w:tcPr>
            <w:tcW w:w="5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9"/>
              </w:rPr>
              <w:t>EUR</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25,398</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USD</w:t>
            </w:r>
          </w:p>
        </w:tc>
      </w:tr>
      <w:tr>
        <w:trPr>
          <w:trHeight w:val="256"/>
        </w:trPr>
        <w:tc>
          <w:tcPr>
            <w:tcW w:w="6080" w:type="dxa"/>
            <w:vAlign w:val="bottom"/>
          </w:tcPr>
          <w:p>
            <w:pPr>
              <w:spacing w:after="0"/>
              <w:rPr>
                <w:sz w:val="20"/>
                <w:szCs w:val="20"/>
                <w:color w:val="auto"/>
              </w:rPr>
            </w:pPr>
            <w:r>
              <w:rPr>
                <w:rFonts w:ascii="Arial" w:cs="Arial" w:eastAsia="Arial" w:hAnsi="Arial"/>
                <w:sz w:val="18"/>
                <w:szCs w:val="18"/>
                <w:color w:val="auto"/>
              </w:rPr>
              <w:t>Trade and other receivables</w:t>
            </w:r>
          </w:p>
        </w:tc>
        <w:tc>
          <w:tcPr>
            <w:tcW w:w="560" w:type="dxa"/>
            <w:vAlign w:val="bottom"/>
          </w:tcPr>
          <w:p>
            <w:pPr>
              <w:jc w:val="right"/>
              <w:spacing w:after="0"/>
              <w:rPr>
                <w:sz w:val="20"/>
                <w:szCs w:val="20"/>
                <w:color w:val="auto"/>
              </w:rPr>
            </w:pPr>
            <w:r>
              <w:rPr>
                <w:rFonts w:ascii="Arial" w:cs="Arial" w:eastAsia="Arial" w:hAnsi="Arial"/>
                <w:sz w:val="18"/>
                <w:szCs w:val="18"/>
                <w:color w:val="auto"/>
              </w:rPr>
              <w:t>9,458</w:t>
            </w:r>
          </w:p>
        </w:tc>
        <w:tc>
          <w:tcPr>
            <w:tcW w:w="500" w:type="dxa"/>
            <w:vAlign w:val="bottom"/>
          </w:tcPr>
          <w:p>
            <w:pPr>
              <w:jc w:val="right"/>
              <w:ind w:right="15"/>
              <w:spacing w:after="0"/>
              <w:rPr>
                <w:sz w:val="20"/>
                <w:szCs w:val="20"/>
                <w:color w:val="auto"/>
              </w:rPr>
            </w:pPr>
            <w:r>
              <w:rPr>
                <w:rFonts w:ascii="Arial" w:cs="Arial" w:eastAsia="Arial" w:hAnsi="Arial"/>
                <w:sz w:val="18"/>
                <w:szCs w:val="18"/>
                <w:color w:val="auto"/>
                <w:w w:val="99"/>
              </w:rPr>
              <w:t>EUR</w:t>
            </w:r>
          </w:p>
        </w:tc>
        <w:tc>
          <w:tcPr>
            <w:tcW w:w="660" w:type="dxa"/>
            <w:vAlign w:val="bottom"/>
          </w:tcPr>
          <w:p>
            <w:pPr>
              <w:jc w:val="right"/>
              <w:spacing w:after="0"/>
              <w:rPr>
                <w:sz w:val="20"/>
                <w:szCs w:val="20"/>
                <w:color w:val="auto"/>
              </w:rPr>
            </w:pPr>
            <w:r>
              <w:rPr>
                <w:rFonts w:ascii="Arial" w:cs="Arial" w:eastAsia="Arial" w:hAnsi="Arial"/>
                <w:sz w:val="18"/>
                <w:szCs w:val="18"/>
                <w:color w:val="auto"/>
              </w:rPr>
              <w:t>10,585</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USD</w:t>
            </w:r>
          </w:p>
        </w:tc>
      </w:tr>
      <w:tr>
        <w:trPr>
          <w:trHeight w:val="257"/>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5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9"/>
              </w:rPr>
              <w:t>EUR</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 GBP</w:t>
            </w:r>
          </w:p>
        </w:tc>
      </w:tr>
      <w:tr>
        <w:trPr>
          <w:trHeight w:val="257"/>
        </w:trPr>
        <w:tc>
          <w:tcPr>
            <w:tcW w:w="6080" w:type="dxa"/>
            <w:vAlign w:val="bottom"/>
          </w:tcPr>
          <w:p>
            <w:pPr>
              <w:spacing w:after="0"/>
              <w:rPr>
                <w:sz w:val="22"/>
                <w:szCs w:val="22"/>
                <w:color w:val="auto"/>
              </w:rPr>
            </w:pPr>
          </w:p>
        </w:tc>
        <w:tc>
          <w:tcPr>
            <w:tcW w:w="1060" w:type="dxa"/>
            <w:vAlign w:val="bottom"/>
            <w:gridSpan w:val="2"/>
          </w:tcPr>
          <w:p>
            <w:pPr>
              <w:jc w:val="right"/>
              <w:ind w:right="15"/>
              <w:spacing w:after="0"/>
              <w:rPr>
                <w:sz w:val="20"/>
                <w:szCs w:val="20"/>
                <w:color w:val="auto"/>
              </w:rPr>
            </w:pPr>
            <w:r>
              <w:rPr>
                <w:rFonts w:ascii="Arial" w:cs="Arial" w:eastAsia="Arial" w:hAnsi="Arial"/>
                <w:sz w:val="18"/>
                <w:szCs w:val="18"/>
                <w:color w:val="auto"/>
              </w:rPr>
              <w:t>84 EUR</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92 CHF</w:t>
            </w:r>
          </w:p>
        </w:tc>
      </w:tr>
      <w:tr>
        <w:trPr>
          <w:trHeight w:val="270"/>
        </w:trPr>
        <w:tc>
          <w:tcPr>
            <w:tcW w:w="60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81 EUR</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 USD</w:t>
            </w:r>
          </w:p>
        </w:tc>
      </w:tr>
      <w:tr>
        <w:trPr>
          <w:trHeight w:val="270"/>
        </w:trPr>
        <w:tc>
          <w:tcPr>
            <w:tcW w:w="6080" w:type="dxa"/>
            <w:vAlign w:val="bottom"/>
          </w:tcPr>
          <w:p>
            <w:pPr>
              <w:spacing w:after="0"/>
              <w:rPr>
                <w:sz w:val="20"/>
                <w:szCs w:val="20"/>
                <w:color w:val="auto"/>
              </w:rPr>
            </w:pPr>
            <w:r>
              <w:rPr>
                <w:rFonts w:ascii="Arial" w:cs="Arial" w:eastAsia="Arial" w:hAnsi="Arial"/>
                <w:sz w:val="18"/>
                <w:szCs w:val="18"/>
                <w:color w:val="auto"/>
              </w:rPr>
              <w:t>Monetary assets in foreign currency</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32,336</w:t>
            </w:r>
          </w:p>
        </w:tc>
        <w:tc>
          <w:tcPr>
            <w:tcW w:w="500" w:type="dxa"/>
            <w:vAlign w:val="bottom"/>
          </w:tcPr>
          <w:p>
            <w:pPr>
              <w:jc w:val="right"/>
              <w:ind w:right="15"/>
              <w:spacing w:after="0"/>
              <w:rPr>
                <w:sz w:val="20"/>
                <w:szCs w:val="20"/>
                <w:color w:val="auto"/>
              </w:rPr>
            </w:pPr>
            <w:r>
              <w:rPr>
                <w:rFonts w:ascii="Arial" w:cs="Arial" w:eastAsia="Arial" w:hAnsi="Arial"/>
                <w:sz w:val="18"/>
                <w:szCs w:val="18"/>
                <w:color w:val="auto"/>
                <w:w w:val="99"/>
              </w:rPr>
              <w:t>EUR</w:t>
            </w:r>
          </w:p>
        </w:tc>
        <w:tc>
          <w:tcPr>
            <w:tcW w:w="6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7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5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9"/>
              </w:rPr>
              <w:t>EUR</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USD</w:t>
            </w:r>
          </w:p>
        </w:tc>
      </w:tr>
      <w:tr>
        <w:trPr>
          <w:trHeight w:val="270"/>
        </w:trPr>
        <w:tc>
          <w:tcPr>
            <w:tcW w:w="6080" w:type="dxa"/>
            <w:vAlign w:val="bottom"/>
          </w:tcPr>
          <w:p>
            <w:pPr>
              <w:spacing w:after="0"/>
              <w:rPr>
                <w:sz w:val="23"/>
                <w:szCs w:val="23"/>
                <w:color w:val="auto"/>
              </w:rPr>
            </w:pPr>
          </w:p>
        </w:tc>
        <w:tc>
          <w:tcPr>
            <w:tcW w:w="1060" w:type="dxa"/>
            <w:vAlign w:val="bottom"/>
            <w:gridSpan w:val="2"/>
          </w:tcPr>
          <w:p>
            <w:pPr>
              <w:jc w:val="right"/>
              <w:ind w:right="15"/>
              <w:spacing w:after="0"/>
              <w:rPr>
                <w:sz w:val="20"/>
                <w:szCs w:val="20"/>
                <w:color w:val="auto"/>
              </w:rPr>
            </w:pPr>
            <w:r>
              <w:rPr>
                <w:rFonts w:ascii="Arial" w:cs="Arial" w:eastAsia="Arial" w:hAnsi="Arial"/>
                <w:sz w:val="18"/>
                <w:szCs w:val="18"/>
                <w:color w:val="auto"/>
              </w:rPr>
              <w:t>219 EUR</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186 GBP</w:t>
            </w:r>
          </w:p>
        </w:tc>
      </w:tr>
      <w:tr>
        <w:trPr>
          <w:trHeight w:val="270"/>
        </w:trPr>
        <w:tc>
          <w:tcPr>
            <w:tcW w:w="60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10 EUR</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CHF</w:t>
            </w:r>
          </w:p>
        </w:tc>
      </w:tr>
      <w:tr>
        <w:trPr>
          <w:trHeight w:val="270"/>
        </w:trPr>
        <w:tc>
          <w:tcPr>
            <w:tcW w:w="6080" w:type="dxa"/>
            <w:vAlign w:val="bottom"/>
          </w:tcPr>
          <w:p>
            <w:pPr>
              <w:spacing w:after="0"/>
              <w:rPr>
                <w:sz w:val="20"/>
                <w:szCs w:val="20"/>
                <w:color w:val="auto"/>
              </w:rPr>
            </w:pPr>
            <w:r>
              <w:rPr>
                <w:rFonts w:ascii="Arial" w:cs="Arial" w:eastAsia="Arial" w:hAnsi="Arial"/>
                <w:sz w:val="18"/>
                <w:szCs w:val="18"/>
                <w:color w:val="auto"/>
              </w:rPr>
              <w:t>Monetary liabilities in foreign currency</w:t>
            </w:r>
          </w:p>
        </w:tc>
        <w:tc>
          <w:tcPr>
            <w:tcW w:w="560" w:type="dxa"/>
            <w:vAlign w:val="bottom"/>
          </w:tcPr>
          <w:p>
            <w:pPr>
              <w:jc w:val="right"/>
              <w:spacing w:after="0"/>
              <w:rPr>
                <w:sz w:val="20"/>
                <w:szCs w:val="20"/>
                <w:color w:val="auto"/>
              </w:rPr>
            </w:pPr>
            <w:r>
              <w:rPr>
                <w:rFonts w:ascii="Arial" w:cs="Arial" w:eastAsia="Arial" w:hAnsi="Arial"/>
                <w:sz w:val="18"/>
                <w:szCs w:val="18"/>
                <w:color w:val="auto"/>
              </w:rPr>
              <w:t>734</w:t>
            </w:r>
          </w:p>
        </w:tc>
        <w:tc>
          <w:tcPr>
            <w:tcW w:w="500" w:type="dxa"/>
            <w:vAlign w:val="bottom"/>
          </w:tcPr>
          <w:p>
            <w:pPr>
              <w:jc w:val="right"/>
              <w:ind w:right="15"/>
              <w:spacing w:after="0"/>
              <w:rPr>
                <w:sz w:val="20"/>
                <w:szCs w:val="20"/>
                <w:color w:val="auto"/>
              </w:rPr>
            </w:pPr>
            <w:r>
              <w:rPr>
                <w:rFonts w:ascii="Arial" w:cs="Arial" w:eastAsia="Arial" w:hAnsi="Arial"/>
                <w:sz w:val="18"/>
                <w:szCs w:val="18"/>
                <w:color w:val="auto"/>
                <w:w w:val="99"/>
              </w:rPr>
              <w:t>EUR</w:t>
            </w:r>
          </w:p>
        </w:tc>
        <w:tc>
          <w:tcPr>
            <w:tcW w:w="6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382"/>
        </w:trPr>
        <w:tc>
          <w:tcPr>
            <w:tcW w:w="6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89"/>
              </w:rPr>
              <w:t>2018</w:t>
            </w:r>
          </w:p>
        </w:tc>
        <w:tc>
          <w:tcPr>
            <w:tcW w:w="400" w:type="dxa"/>
            <w:vAlign w:val="bottom"/>
          </w:tcPr>
          <w:p>
            <w:pPr>
              <w:spacing w:after="0"/>
              <w:rPr>
                <w:sz w:val="24"/>
                <w:szCs w:val="24"/>
                <w:color w:val="auto"/>
              </w:rPr>
            </w:pPr>
          </w:p>
        </w:tc>
      </w:tr>
      <w:tr>
        <w:trPr>
          <w:trHeight w:val="186"/>
        </w:trPr>
        <w:tc>
          <w:tcPr>
            <w:tcW w:w="6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60" w:type="dxa"/>
            <w:vAlign w:val="bottom"/>
            <w:gridSpan w:val="2"/>
          </w:tcPr>
          <w:p>
            <w:pPr>
              <w:jc w:val="center"/>
              <w:ind w:right="50"/>
              <w:spacing w:after="0"/>
              <w:rPr>
                <w:sz w:val="20"/>
                <w:szCs w:val="20"/>
                <w:color w:val="auto"/>
              </w:rPr>
            </w:pPr>
            <w:r>
              <w:rPr>
                <w:rFonts w:ascii="Arial" w:cs="Arial" w:eastAsia="Arial" w:hAnsi="Arial"/>
                <w:sz w:val="14"/>
                <w:szCs w:val="14"/>
                <w:b w:val="1"/>
                <w:bCs w:val="1"/>
                <w:color w:val="auto"/>
                <w:w w:val="84"/>
              </w:rPr>
              <w:t>(in thousands)</w:t>
            </w:r>
          </w:p>
        </w:tc>
        <w:tc>
          <w:tcPr>
            <w:tcW w:w="400" w:type="dxa"/>
            <w:vAlign w:val="bottom"/>
          </w:tcPr>
          <w:p>
            <w:pPr>
              <w:spacing w:after="0"/>
              <w:rPr>
                <w:sz w:val="16"/>
                <w:szCs w:val="16"/>
                <w:color w:val="auto"/>
              </w:rPr>
            </w:pPr>
          </w:p>
        </w:tc>
      </w:tr>
      <w:tr>
        <w:trPr>
          <w:trHeight w:val="26"/>
        </w:trPr>
        <w:tc>
          <w:tcPr>
            <w:tcW w:w="60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5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16,941</w:t>
            </w:r>
          </w:p>
        </w:tc>
        <w:tc>
          <w:tcPr>
            <w:tcW w:w="5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9"/>
              </w:rPr>
              <w:t>EUR</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19,398</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USD</w:t>
            </w:r>
          </w:p>
        </w:tc>
      </w:tr>
      <w:tr>
        <w:trPr>
          <w:trHeight w:val="256"/>
        </w:trPr>
        <w:tc>
          <w:tcPr>
            <w:tcW w:w="6080" w:type="dxa"/>
            <w:vAlign w:val="bottom"/>
          </w:tcPr>
          <w:p>
            <w:pPr>
              <w:spacing w:after="0"/>
              <w:rPr>
                <w:sz w:val="20"/>
                <w:szCs w:val="20"/>
                <w:color w:val="auto"/>
              </w:rPr>
            </w:pPr>
            <w:r>
              <w:rPr>
                <w:rFonts w:ascii="Arial" w:cs="Arial" w:eastAsia="Arial" w:hAnsi="Arial"/>
                <w:sz w:val="18"/>
                <w:szCs w:val="18"/>
                <w:color w:val="auto"/>
              </w:rPr>
              <w:t>Trade and other receivables</w:t>
            </w:r>
          </w:p>
        </w:tc>
        <w:tc>
          <w:tcPr>
            <w:tcW w:w="560" w:type="dxa"/>
            <w:vAlign w:val="bottom"/>
          </w:tcPr>
          <w:p>
            <w:pPr>
              <w:jc w:val="right"/>
              <w:spacing w:after="0"/>
              <w:rPr>
                <w:sz w:val="20"/>
                <w:szCs w:val="20"/>
                <w:color w:val="auto"/>
              </w:rPr>
            </w:pPr>
            <w:r>
              <w:rPr>
                <w:rFonts w:ascii="Arial" w:cs="Arial" w:eastAsia="Arial" w:hAnsi="Arial"/>
                <w:sz w:val="18"/>
                <w:szCs w:val="18"/>
                <w:color w:val="auto"/>
              </w:rPr>
              <w:t>2,059</w:t>
            </w:r>
          </w:p>
        </w:tc>
        <w:tc>
          <w:tcPr>
            <w:tcW w:w="500" w:type="dxa"/>
            <w:vAlign w:val="bottom"/>
          </w:tcPr>
          <w:p>
            <w:pPr>
              <w:jc w:val="right"/>
              <w:ind w:right="15"/>
              <w:spacing w:after="0"/>
              <w:rPr>
                <w:sz w:val="20"/>
                <w:szCs w:val="20"/>
                <w:color w:val="auto"/>
              </w:rPr>
            </w:pPr>
            <w:r>
              <w:rPr>
                <w:rFonts w:ascii="Arial" w:cs="Arial" w:eastAsia="Arial" w:hAnsi="Arial"/>
                <w:sz w:val="18"/>
                <w:szCs w:val="18"/>
                <w:color w:val="auto"/>
                <w:w w:val="99"/>
              </w:rPr>
              <w:t>EUR</w:t>
            </w:r>
          </w:p>
        </w:tc>
        <w:tc>
          <w:tcPr>
            <w:tcW w:w="660" w:type="dxa"/>
            <w:vAlign w:val="bottom"/>
          </w:tcPr>
          <w:p>
            <w:pPr>
              <w:jc w:val="right"/>
              <w:spacing w:after="0"/>
              <w:rPr>
                <w:sz w:val="20"/>
                <w:szCs w:val="20"/>
                <w:color w:val="auto"/>
              </w:rPr>
            </w:pPr>
            <w:r>
              <w:rPr>
                <w:rFonts w:ascii="Arial" w:cs="Arial" w:eastAsia="Arial" w:hAnsi="Arial"/>
                <w:sz w:val="18"/>
                <w:szCs w:val="18"/>
                <w:color w:val="auto"/>
              </w:rPr>
              <w:t>3,374</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USD</w:t>
            </w:r>
          </w:p>
        </w:tc>
      </w:tr>
      <w:tr>
        <w:trPr>
          <w:trHeight w:val="257"/>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Monetary assets in foreign currency</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19,000</w:t>
            </w:r>
          </w:p>
        </w:tc>
        <w:tc>
          <w:tcPr>
            <w:tcW w:w="5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9"/>
              </w:rPr>
              <w:t>EUR</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USD</w:t>
            </w:r>
          </w:p>
        </w:tc>
      </w:tr>
      <w:tr>
        <w:trPr>
          <w:trHeight w:val="257"/>
        </w:trPr>
        <w:tc>
          <w:tcPr>
            <w:tcW w:w="608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560" w:type="dxa"/>
            <w:vAlign w:val="bottom"/>
          </w:tcPr>
          <w:p>
            <w:pPr>
              <w:jc w:val="right"/>
              <w:spacing w:after="0"/>
              <w:rPr>
                <w:sz w:val="20"/>
                <w:szCs w:val="20"/>
                <w:color w:val="auto"/>
              </w:rPr>
            </w:pPr>
            <w:r>
              <w:rPr>
                <w:rFonts w:ascii="Arial" w:cs="Arial" w:eastAsia="Arial" w:hAnsi="Arial"/>
                <w:sz w:val="18"/>
                <w:szCs w:val="18"/>
                <w:color w:val="auto"/>
              </w:rPr>
              <w:t>8,002</w:t>
            </w:r>
          </w:p>
        </w:tc>
        <w:tc>
          <w:tcPr>
            <w:tcW w:w="500" w:type="dxa"/>
            <w:vAlign w:val="bottom"/>
          </w:tcPr>
          <w:p>
            <w:pPr>
              <w:jc w:val="right"/>
              <w:ind w:right="15"/>
              <w:spacing w:after="0"/>
              <w:rPr>
                <w:sz w:val="20"/>
                <w:szCs w:val="20"/>
                <w:color w:val="auto"/>
              </w:rPr>
            </w:pPr>
            <w:r>
              <w:rPr>
                <w:rFonts w:ascii="Arial" w:cs="Arial" w:eastAsia="Arial" w:hAnsi="Arial"/>
                <w:sz w:val="18"/>
                <w:szCs w:val="18"/>
                <w:color w:val="auto"/>
                <w:w w:val="99"/>
              </w:rPr>
              <w:t>EUR</w:t>
            </w:r>
          </w:p>
        </w:tc>
        <w:tc>
          <w:tcPr>
            <w:tcW w:w="660" w:type="dxa"/>
            <w:vAlign w:val="bottom"/>
          </w:tcPr>
          <w:p>
            <w:pPr>
              <w:jc w:val="right"/>
              <w:spacing w:after="0"/>
              <w:rPr>
                <w:sz w:val="20"/>
                <w:szCs w:val="20"/>
                <w:color w:val="auto"/>
              </w:rPr>
            </w:pPr>
            <w:r>
              <w:rPr>
                <w:rFonts w:ascii="Arial" w:cs="Arial" w:eastAsia="Arial" w:hAnsi="Arial"/>
                <w:sz w:val="18"/>
                <w:szCs w:val="18"/>
                <w:color w:val="auto"/>
              </w:rPr>
              <w:t>9,162</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USD</w:t>
            </w:r>
          </w:p>
        </w:tc>
      </w:tr>
      <w:tr>
        <w:trPr>
          <w:trHeight w:val="270"/>
        </w:trPr>
        <w:tc>
          <w:tcPr>
            <w:tcW w:w="60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132 EUR</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 GBP</w:t>
            </w:r>
          </w:p>
        </w:tc>
      </w:tr>
      <w:tr>
        <w:trPr>
          <w:trHeight w:val="270"/>
        </w:trPr>
        <w:tc>
          <w:tcPr>
            <w:tcW w:w="6080" w:type="dxa"/>
            <w:vAlign w:val="bottom"/>
          </w:tcPr>
          <w:p>
            <w:pPr>
              <w:spacing w:after="0"/>
              <w:rPr>
                <w:sz w:val="23"/>
                <w:szCs w:val="23"/>
                <w:color w:val="auto"/>
              </w:rPr>
            </w:pPr>
          </w:p>
        </w:tc>
        <w:tc>
          <w:tcPr>
            <w:tcW w:w="1060" w:type="dxa"/>
            <w:vAlign w:val="bottom"/>
            <w:gridSpan w:val="2"/>
          </w:tcPr>
          <w:p>
            <w:pPr>
              <w:jc w:val="right"/>
              <w:ind w:right="15"/>
              <w:spacing w:after="0"/>
              <w:rPr>
                <w:sz w:val="20"/>
                <w:szCs w:val="20"/>
                <w:color w:val="auto"/>
              </w:rPr>
            </w:pPr>
            <w:r>
              <w:rPr>
                <w:rFonts w:ascii="Arial" w:cs="Arial" w:eastAsia="Arial" w:hAnsi="Arial"/>
                <w:sz w:val="18"/>
                <w:szCs w:val="18"/>
                <w:color w:val="auto"/>
              </w:rPr>
              <w:t>46 EUR</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51 CHF</w:t>
            </w:r>
          </w:p>
        </w:tc>
      </w:tr>
      <w:tr>
        <w:trPr>
          <w:trHeight w:val="27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Monetary liabilities in Foreign Currency</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8,180</w:t>
            </w:r>
          </w:p>
        </w:tc>
        <w:tc>
          <w:tcPr>
            <w:tcW w:w="5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9"/>
              </w:rPr>
              <w:t>EUR</w:t>
            </w:r>
          </w:p>
        </w:tc>
        <w:tc>
          <w:tcPr>
            <w:tcW w:w="6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-3239770</wp:posOffset>
            </wp:positionV>
            <wp:extent cx="386588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38658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-1173480</wp:posOffset>
            </wp:positionV>
            <wp:extent cx="386588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87" w:lineRule="exact"/>
        <w:rPr>
          <w:sz w:val="20"/>
          <w:szCs w:val="20"/>
          <w:color w:val="auto"/>
        </w:rPr>
      </w:pPr>
    </w:p>
    <w:p>
      <w:pPr>
        <w:ind w:left="1260" w:right="459" w:firstLine="648"/>
        <w:spacing w:after="0" w:line="243" w:lineRule="auto"/>
        <w:rPr>
          <w:sz w:val="20"/>
          <w:szCs w:val="20"/>
          <w:color w:val="auto"/>
        </w:rPr>
      </w:pPr>
      <w:r>
        <w:rPr>
          <w:rFonts w:ascii="Arial" w:cs="Arial" w:eastAsia="Arial" w:hAnsi="Arial"/>
          <w:sz w:val="18"/>
          <w:szCs w:val="18"/>
          <w:color w:val="auto"/>
        </w:rPr>
        <w:t>As shown in the tables above, CureVac AG is exposed to a significant currency risk only in relation to the USD. Therefore, a foreign currency sensitivity analysis is only presented in respect to the net exposure in USD at fiscal year ends. CureVac’s net exposure in USD is the difference between monetary assets in USD and monetary liabilities in USD and developed as follows: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Net exposure in USD</w:t>
      </w:r>
    </w:p>
    <w:p>
      <w:pPr>
        <w:spacing w:after="0" w:line="185" w:lineRule="exact"/>
        <w:rPr>
          <w:sz w:val="20"/>
          <w:szCs w:val="20"/>
          <w:color w:val="auto"/>
        </w:rPr>
      </w:pPr>
    </w:p>
    <w:p>
      <w:pPr>
        <w:ind w:left="1260"/>
        <w:spacing w:after="0"/>
        <w:tabs>
          <w:tab w:leader="none" w:pos="5120" w:val="left"/>
        </w:tabs>
        <w:rPr>
          <w:sz w:val="20"/>
          <w:szCs w:val="20"/>
          <w:color w:val="auto"/>
        </w:rPr>
      </w:pPr>
      <w:r>
        <w:rPr>
          <w:rFonts w:ascii="Arial" w:cs="Arial" w:eastAsia="Arial" w:hAnsi="Arial"/>
          <w:sz w:val="18"/>
          <w:szCs w:val="18"/>
          <w:b w:val="1"/>
          <w:bCs w:val="1"/>
          <w:color w:val="auto"/>
        </w:rPr>
        <w:t xml:space="preserve">2018 </w:t>
      </w:r>
      <w:r>
        <w:rPr>
          <w:rFonts w:ascii="Arial" w:cs="Arial" w:eastAsia="Arial" w:hAnsi="Arial"/>
          <w:sz w:val="18"/>
          <w:szCs w:val="18"/>
          <w:color w:val="auto"/>
        </w:rPr>
        <w:t>(1 EUR= 1.1450 USD)</w:t>
      </w:r>
      <w:r>
        <w:rPr>
          <w:sz w:val="20"/>
          <w:szCs w:val="20"/>
          <w:color w:val="auto"/>
        </w:rPr>
        <w:tab/>
      </w:r>
      <w:r>
        <w:rPr>
          <w:rFonts w:ascii="Arial" w:cs="Arial" w:eastAsia="Arial" w:hAnsi="Arial"/>
          <w:sz w:val="17"/>
          <w:szCs w:val="17"/>
          <w:b w:val="1"/>
          <w:bCs w:val="1"/>
          <w:color w:val="auto"/>
        </w:rPr>
        <w:t xml:space="preserve">2019 </w:t>
      </w:r>
      <w:r>
        <w:rPr>
          <w:rFonts w:ascii="Arial" w:cs="Arial" w:eastAsia="Arial" w:hAnsi="Arial"/>
          <w:sz w:val="17"/>
          <w:szCs w:val="17"/>
          <w:color w:val="auto"/>
        </w:rPr>
        <w:t>(1 EUR = 1.1234 USD)</w:t>
      </w:r>
    </w:p>
    <w:p>
      <w:pPr>
        <w:spacing w:after="0" w:line="36" w:lineRule="exact"/>
        <w:rPr>
          <w:sz w:val="20"/>
          <w:szCs w:val="20"/>
          <w:color w:val="auto"/>
        </w:rPr>
      </w:pPr>
    </w:p>
    <w:p>
      <w:pPr>
        <w:ind w:left="1260"/>
        <w:spacing w:after="0"/>
        <w:tabs>
          <w:tab w:leader="none" w:pos="5120" w:val="left"/>
        </w:tabs>
        <w:rPr>
          <w:sz w:val="20"/>
          <w:szCs w:val="20"/>
          <w:color w:val="auto"/>
        </w:rPr>
      </w:pPr>
      <w:r>
        <w:rPr>
          <w:rFonts w:ascii="Arial" w:cs="Arial" w:eastAsia="Arial" w:hAnsi="Arial"/>
          <w:sz w:val="18"/>
          <w:szCs w:val="18"/>
          <w:b w:val="1"/>
          <w:bCs w:val="1"/>
          <w:color w:val="auto"/>
        </w:rPr>
        <w:t>EUR 10,544k from USD 13,090k</w:t>
      </w:r>
      <w:r>
        <w:rPr>
          <w:sz w:val="20"/>
          <w:szCs w:val="20"/>
          <w:color w:val="auto"/>
        </w:rPr>
        <w:tab/>
      </w:r>
      <w:r>
        <w:rPr>
          <w:rFonts w:ascii="Arial" w:cs="Arial" w:eastAsia="Arial" w:hAnsi="Arial"/>
          <w:sz w:val="16"/>
          <w:szCs w:val="16"/>
          <w:b w:val="1"/>
          <w:bCs w:val="1"/>
          <w:color w:val="auto"/>
        </w:rPr>
        <w:t>EUR 30,656k from USD 34,400k</w:t>
      </w:r>
    </w:p>
    <w:p>
      <w:pPr>
        <w:spacing w:after="0" w:line="135" w:lineRule="exact"/>
        <w:rPr>
          <w:sz w:val="20"/>
          <w:szCs w:val="20"/>
          <w:color w:val="auto"/>
        </w:rPr>
      </w:pPr>
    </w:p>
    <w:p>
      <w:pPr>
        <w:ind w:left="1260" w:right="419" w:firstLine="648"/>
        <w:spacing w:after="0" w:line="255" w:lineRule="auto"/>
        <w:rPr>
          <w:sz w:val="20"/>
          <w:szCs w:val="20"/>
          <w:color w:val="auto"/>
        </w:rPr>
      </w:pPr>
      <w:r>
        <w:rPr>
          <w:rFonts w:ascii="Arial" w:cs="Arial" w:eastAsia="Arial" w:hAnsi="Arial"/>
          <w:sz w:val="17"/>
          <w:szCs w:val="17"/>
          <w:color w:val="auto"/>
        </w:rPr>
        <w:t>At December 31, 2019, if the EUR had weakened 10 per cent against the US dollar with all other variables held constant, pre-tax loss for the year would have been EUR 3,406k (2018: EUR 1,172k) lower and post-tax loss would have been EUR 2,414k (2018: EUR 831k). Conversely, if the EUR had strengthened 10 per cent against the US dollar with all other variables held constant, pre-tax loss would have been EUR 2,787k (2018: EUR 959k) higher and post-tax loss would have been EUR 1,975k (2018: EUR 680k) higher. The effects on pre- and post-tax loss and (accumulated) other comprehensive income due to fact that CureVac Inc’s functional currency is the USD would still have been immaterial at December 31, 2019.</w:t>
      </w:r>
    </w:p>
    <w:p>
      <w:pPr>
        <w:spacing w:after="0" w:line="112" w:lineRule="exact"/>
        <w:rPr>
          <w:sz w:val="20"/>
          <w:szCs w:val="20"/>
          <w:color w:val="auto"/>
        </w:rPr>
      </w:pPr>
    </w:p>
    <w:p>
      <w:pPr>
        <w:ind w:left="1260" w:right="699" w:firstLine="648"/>
        <w:spacing w:after="0" w:line="261" w:lineRule="auto"/>
        <w:rPr>
          <w:sz w:val="20"/>
          <w:szCs w:val="20"/>
          <w:color w:val="auto"/>
        </w:rPr>
      </w:pPr>
      <w:r>
        <w:rPr>
          <w:rFonts w:ascii="Arial" w:cs="Arial" w:eastAsia="Arial" w:hAnsi="Arial"/>
          <w:sz w:val="18"/>
          <w:szCs w:val="18"/>
          <w:color w:val="auto"/>
        </w:rPr>
        <w:t>CureVac did not have derivatives in fiscal 2018. Refer to Note 3 for discussion regarding a USD 10,000k forward contract in fiscal 2019.</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58" w:lineRule="exact"/>
        <w:rPr>
          <w:sz w:val="20"/>
          <w:szCs w:val="20"/>
          <w:color w:val="auto"/>
        </w:rPr>
      </w:pPr>
    </w:p>
    <w:p>
      <w:pPr>
        <w:ind w:left="1260" w:right="439" w:firstLine="648"/>
        <w:spacing w:after="0" w:line="241" w:lineRule="auto"/>
        <w:rPr>
          <w:sz w:val="20"/>
          <w:szCs w:val="20"/>
          <w:color w:val="auto"/>
        </w:rPr>
      </w:pPr>
      <w:r>
        <w:rPr>
          <w:rFonts w:ascii="Arial" w:cs="Arial" w:eastAsia="Arial" w:hAnsi="Arial"/>
          <w:sz w:val="18"/>
          <w:szCs w:val="18"/>
          <w:color w:val="auto"/>
        </w:rPr>
        <w:t>Interest rate risk is the risk that the fair value or future cash flows of a financial instrument will fluctuate because of changes in market interest rates. CureVac’s exposure to the risk of changes in market interest rates relates primarily to the CureVac`s cash and cash equivalents with floating interest rates. Due to persistent low-interest-rates CureVac might be exposed to the risk of being charged negative interest rates on its bank deposits.</w:t>
      </w:r>
    </w:p>
    <w:p>
      <w:pPr>
        <w:spacing w:after="0" w:line="108" w:lineRule="exact"/>
        <w:rPr>
          <w:sz w:val="20"/>
          <w:szCs w:val="20"/>
          <w:color w:val="auto"/>
        </w:rPr>
      </w:pPr>
    </w:p>
    <w:p>
      <w:pPr>
        <w:ind w:left="1260" w:right="559" w:firstLine="648"/>
        <w:spacing w:after="0" w:line="248" w:lineRule="auto"/>
        <w:rPr>
          <w:sz w:val="20"/>
          <w:szCs w:val="20"/>
          <w:color w:val="auto"/>
        </w:rPr>
      </w:pPr>
      <w:r>
        <w:rPr>
          <w:rFonts w:ascii="Arial" w:cs="Arial" w:eastAsia="Arial" w:hAnsi="Arial"/>
          <w:sz w:val="18"/>
          <w:szCs w:val="18"/>
          <w:color w:val="auto"/>
        </w:rPr>
        <w:t>If interest rates as of December 31, 2019 had been 1% higher while all other variables had remained the same, the net loss for the year (before and after tax) would have been EUR 307k (2018: EUR 218k)</w:t>
      </w:r>
    </w:p>
    <w:p>
      <w:pPr>
        <w:sectPr>
          <w:pgSz w:w="11900" w:h="16838" w:orient="portrait"/>
          <w:cols w:equalWidth="0" w:num="1">
            <w:col w:w="9879"/>
          </w:cols>
          <w:pgMar w:left="580" w:top="131" w:right="1440" w:bottom="1440" w:gutter="0" w:footer="0" w:header="0"/>
        </w:sectPr>
      </w:pPr>
    </w:p>
    <w:p>
      <w:pPr>
        <w:spacing w:after="0" w:line="37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71" w:name="page372"/>
    <w:bookmarkEnd w:id="371"/>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19"/>
        <w:spacing w:after="0" w:line="243" w:lineRule="auto"/>
        <w:rPr>
          <w:sz w:val="20"/>
          <w:szCs w:val="20"/>
          <w:color w:val="auto"/>
        </w:rPr>
      </w:pPr>
      <w:r>
        <w:rPr>
          <w:rFonts w:ascii="Arial" w:cs="Arial" w:eastAsia="Arial" w:hAnsi="Arial"/>
          <w:sz w:val="18"/>
          <w:szCs w:val="18"/>
          <w:color w:val="auto"/>
        </w:rPr>
        <w:t>lower because the higher interest income would have been generated from floating rates on invested cash and cash equivalents. Because interest rates on cash and cash equivalents as of December 31, 2019 and 2018 had been almost near zero, lower interest rates would have had an immaterial effect on the net loss for the year (before and after tax) and on other comprehensive income.</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44" w:lineRule="exact"/>
        <w:rPr>
          <w:sz w:val="20"/>
          <w:szCs w:val="20"/>
          <w:color w:val="auto"/>
        </w:rPr>
      </w:pPr>
    </w:p>
    <w:p>
      <w:pPr>
        <w:ind w:left="1260" w:right="419" w:firstLine="648"/>
        <w:spacing w:after="0" w:line="248" w:lineRule="auto"/>
        <w:rPr>
          <w:sz w:val="20"/>
          <w:szCs w:val="20"/>
          <w:color w:val="auto"/>
        </w:rPr>
      </w:pPr>
      <w:r>
        <w:rPr>
          <w:rFonts w:ascii="Arial" w:cs="Arial" w:eastAsia="Arial" w:hAnsi="Arial"/>
          <w:sz w:val="18"/>
          <w:szCs w:val="18"/>
          <w:color w:val="auto"/>
        </w:rPr>
        <w:t>All assets and liabilities for which fair value is measured or disclosed in the financial statements are categorized with the fair value hierarchy, described as follows, based on the lowest level input that is significant to the fair value measurement as a whole:</w:t>
      </w:r>
    </w:p>
    <w:p>
      <w:pPr>
        <w:spacing w:after="0" w:line="47" w:lineRule="exact"/>
        <w:rPr>
          <w:sz w:val="20"/>
          <w:szCs w:val="20"/>
          <w:color w:val="auto"/>
        </w:rPr>
      </w:pPr>
    </w:p>
    <w:p>
      <w:pPr>
        <w:ind w:left="2260" w:hanging="352"/>
        <w:spacing w:after="0"/>
        <w:tabs>
          <w:tab w:leader="none" w:pos="22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Level 1 — Inputs use quoted prices in active markets for identical assets or liabilities</w:t>
      </w:r>
    </w:p>
    <w:p>
      <w:pPr>
        <w:spacing w:after="0" w:line="76" w:lineRule="exact"/>
        <w:rPr>
          <w:rFonts w:ascii="Arial" w:cs="Arial" w:eastAsia="Arial" w:hAnsi="Arial"/>
          <w:sz w:val="18"/>
          <w:szCs w:val="18"/>
          <w:color w:val="auto"/>
        </w:rPr>
      </w:pPr>
    </w:p>
    <w:p>
      <w:pPr>
        <w:ind w:left="2260" w:right="419" w:hanging="352"/>
        <w:spacing w:after="0" w:line="277" w:lineRule="auto"/>
        <w:tabs>
          <w:tab w:leader="none" w:pos="22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Level 2 — Inputs are inputs, other than quoted prices included in Level 1, which are directly or indirectly observable</w:t>
      </w:r>
    </w:p>
    <w:p>
      <w:pPr>
        <w:spacing w:after="0" w:line="21" w:lineRule="exact"/>
        <w:rPr>
          <w:rFonts w:ascii="Arial" w:cs="Arial" w:eastAsia="Arial" w:hAnsi="Arial"/>
          <w:sz w:val="18"/>
          <w:szCs w:val="18"/>
          <w:color w:val="auto"/>
        </w:rPr>
      </w:pPr>
    </w:p>
    <w:p>
      <w:pPr>
        <w:ind w:left="2260" w:right="439" w:hanging="352"/>
        <w:spacing w:after="0" w:line="277" w:lineRule="auto"/>
        <w:tabs>
          <w:tab w:leader="none" w:pos="22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Level 3 — Inputs are unobservable and have values estimated by management based on market participant assumptions which are reasonably available</w:t>
      </w:r>
    </w:p>
    <w:p>
      <w:pPr>
        <w:spacing w:after="0" w:line="76" w:lineRule="exact"/>
        <w:rPr>
          <w:sz w:val="20"/>
          <w:szCs w:val="20"/>
          <w:color w:val="auto"/>
        </w:rPr>
      </w:pPr>
    </w:p>
    <w:p>
      <w:pPr>
        <w:ind w:left="1260" w:right="419" w:firstLine="648"/>
        <w:spacing w:after="0" w:line="254" w:lineRule="auto"/>
        <w:rPr>
          <w:sz w:val="20"/>
          <w:szCs w:val="20"/>
          <w:color w:val="auto"/>
        </w:rPr>
      </w:pPr>
      <w:r>
        <w:rPr>
          <w:rFonts w:ascii="Arial" w:cs="Arial" w:eastAsia="Arial" w:hAnsi="Arial"/>
          <w:sz w:val="17"/>
          <w:szCs w:val="17"/>
          <w:color w:val="auto"/>
        </w:rPr>
        <w:t>All financial instruments are measured at amortized cost at December 31, 2019 and December 31, 2018. Apart from this, liabilities from licenses agreements (i.e., acquired intangible assets) of EUR 848k (2018: EUR 850k), are classified as financial liabilities at fair value through profit or loss under the Level 2 input factors. Management assessed that the fair values of cash and cash equivalents, short-term investments, trade receivables and other financial assets, trade payables and other current liabilities as well as liabilities from licensing agreement approximate their carrying amounts. Moreover, management assessed that the potential differences between carrying amounts and fair value of liabilities to banks, (finance) lease liabilities and the liabilities for licensing agreements should be immaterial.</w:t>
      </w:r>
    </w:p>
    <w:p>
      <w:pPr>
        <w:spacing w:after="0" w:line="113" w:lineRule="exact"/>
        <w:rPr>
          <w:sz w:val="20"/>
          <w:szCs w:val="20"/>
          <w:color w:val="auto"/>
        </w:rPr>
      </w:pPr>
    </w:p>
    <w:p>
      <w:pPr>
        <w:ind w:left="1260" w:right="439" w:firstLine="648"/>
        <w:spacing w:after="0" w:line="270" w:lineRule="auto"/>
        <w:rPr>
          <w:sz w:val="20"/>
          <w:szCs w:val="20"/>
          <w:color w:val="auto"/>
        </w:rPr>
      </w:pPr>
      <w:r>
        <w:rPr>
          <w:rFonts w:ascii="Arial" w:cs="Arial" w:eastAsia="Arial" w:hAnsi="Arial"/>
          <w:sz w:val="17"/>
          <w:szCs w:val="17"/>
          <w:color w:val="auto"/>
        </w:rPr>
        <w:t>As of December 31, 2019, the amortized cost of the convertible loans approximate their fair value as the loans were agreed and drawn down on recently and there have been no significant changes in relevant interest rates since the agreement date. For further information regarding the convertible loan, see Note 13.</w:t>
      </w:r>
    </w:p>
    <w:p>
      <w:pPr>
        <w:spacing w:after="0" w:line="1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Capital management</w:t>
      </w:r>
    </w:p>
    <w:p>
      <w:pPr>
        <w:spacing w:after="0" w:line="144" w:lineRule="exact"/>
        <w:rPr>
          <w:sz w:val="20"/>
          <w:szCs w:val="20"/>
          <w:color w:val="auto"/>
        </w:rPr>
      </w:pPr>
    </w:p>
    <w:p>
      <w:pPr>
        <w:ind w:left="1260" w:right="419" w:firstLine="648"/>
        <w:spacing w:after="0" w:line="270" w:lineRule="auto"/>
        <w:rPr>
          <w:sz w:val="20"/>
          <w:szCs w:val="20"/>
          <w:color w:val="auto"/>
        </w:rPr>
      </w:pPr>
      <w:r>
        <w:rPr>
          <w:rFonts w:ascii="Arial" w:cs="Arial" w:eastAsia="Arial" w:hAnsi="Arial"/>
          <w:sz w:val="17"/>
          <w:szCs w:val="17"/>
          <w:color w:val="auto"/>
        </w:rPr>
        <w:t>For the purpose of CureVac’s capital management, capital includes share capital and all other equity reserves attributable to the equity holders. The primary objective of CureVac’s capital management is to maximize the shareholder value through investment in the development activities of the Group.</w:t>
      </w:r>
    </w:p>
    <w:p>
      <w:pPr>
        <w:spacing w:after="0" w:line="83" w:lineRule="exact"/>
        <w:rPr>
          <w:sz w:val="20"/>
          <w:szCs w:val="20"/>
          <w:color w:val="auto"/>
        </w:rPr>
      </w:pPr>
    </w:p>
    <w:p>
      <w:pPr>
        <w:ind w:left="1260" w:right="579" w:firstLine="648"/>
        <w:spacing w:after="0" w:line="248" w:lineRule="auto"/>
        <w:rPr>
          <w:sz w:val="20"/>
          <w:szCs w:val="20"/>
          <w:color w:val="auto"/>
        </w:rPr>
      </w:pPr>
      <w:r>
        <w:rPr>
          <w:rFonts w:ascii="Arial" w:cs="Arial" w:eastAsia="Arial" w:hAnsi="Arial"/>
          <w:sz w:val="18"/>
          <w:szCs w:val="18"/>
          <w:color w:val="auto"/>
        </w:rPr>
        <w:t>Based on its business as an active research Group, CureVac has to rely almost exclusively on debt and equity funding by its shareholders until the Group can refinance itself in the future from marketable products as a result of successful development projects.</w:t>
      </w:r>
    </w:p>
    <w:p>
      <w:pPr>
        <w:spacing w:after="0" w:line="114" w:lineRule="exact"/>
        <w:rPr>
          <w:sz w:val="20"/>
          <w:szCs w:val="20"/>
          <w:color w:val="auto"/>
        </w:rPr>
      </w:pPr>
    </w:p>
    <w:p>
      <w:pPr>
        <w:ind w:left="1260" w:right="419" w:firstLine="648"/>
        <w:spacing w:after="0" w:line="241" w:lineRule="auto"/>
        <w:rPr>
          <w:sz w:val="20"/>
          <w:szCs w:val="20"/>
          <w:color w:val="auto"/>
        </w:rPr>
      </w:pPr>
      <w:r>
        <w:rPr>
          <w:rFonts w:ascii="Arial" w:cs="Arial" w:eastAsia="Arial" w:hAnsi="Arial"/>
          <w:sz w:val="18"/>
          <w:szCs w:val="18"/>
          <w:color w:val="auto"/>
        </w:rPr>
        <w:t>The Group’s finance department reviews the total amount of cash of the Group on a weekly basis. As part of this review, the committee considers the total cash and cash equivalents, the cash outflow, currency translation differences and refinancing activities. The Group monitors cash using a burn rate. The cash burn rate is defined as the average monthly net cash flow from operating and investing activities during a financial year.</w:t>
      </w:r>
    </w:p>
    <w:p>
      <w:pPr>
        <w:spacing w:after="0" w:line="122" w:lineRule="exact"/>
        <w:rPr>
          <w:sz w:val="20"/>
          <w:szCs w:val="20"/>
          <w:color w:val="auto"/>
        </w:rPr>
      </w:pPr>
    </w:p>
    <w:p>
      <w:pPr>
        <w:ind w:left="1260" w:right="779" w:firstLine="648"/>
        <w:spacing w:after="0" w:line="248" w:lineRule="auto"/>
        <w:rPr>
          <w:sz w:val="20"/>
          <w:szCs w:val="20"/>
          <w:color w:val="auto"/>
        </w:rPr>
      </w:pPr>
      <w:r>
        <w:rPr>
          <w:rFonts w:ascii="Arial" w:cs="Arial" w:eastAsia="Arial" w:hAnsi="Arial"/>
          <w:sz w:val="18"/>
          <w:szCs w:val="18"/>
          <w:color w:val="auto"/>
        </w:rPr>
        <w:t>In meeting its financing objectives, the Group negotiates and enters into research cooperation agreements. In general, the aim is to maximize the financial resources available for further research and development projects.</w:t>
      </w:r>
    </w:p>
    <w:p>
      <w:pPr>
        <w:spacing w:after="0" w:line="101" w:lineRule="exact"/>
        <w:rPr>
          <w:sz w:val="20"/>
          <w:szCs w:val="20"/>
          <w:color w:val="auto"/>
        </w:rPr>
      </w:pPr>
    </w:p>
    <w:p>
      <w:pPr>
        <w:ind w:left="1260" w:right="779" w:firstLine="648"/>
        <w:spacing w:after="0" w:line="261" w:lineRule="auto"/>
        <w:rPr>
          <w:sz w:val="20"/>
          <w:szCs w:val="20"/>
          <w:color w:val="auto"/>
        </w:rPr>
      </w:pPr>
      <w:r>
        <w:rPr>
          <w:rFonts w:ascii="Arial" w:cs="Arial" w:eastAsia="Arial" w:hAnsi="Arial"/>
          <w:sz w:val="18"/>
          <w:szCs w:val="18"/>
          <w:color w:val="auto"/>
        </w:rPr>
        <w:t>CureVac is not subject to externally imposed capital requirements. The objectives of CureVac’s capital management were achieved in the reporting year.</w:t>
      </w:r>
    </w:p>
    <w:p>
      <w:pPr>
        <w:spacing w:after="0" w:line="103" w:lineRule="exact"/>
        <w:rPr>
          <w:sz w:val="20"/>
          <w:szCs w:val="20"/>
          <w:color w:val="auto"/>
        </w:rPr>
      </w:pPr>
    </w:p>
    <w:p>
      <w:pPr>
        <w:ind w:left="1260" w:right="579" w:firstLine="648"/>
        <w:spacing w:after="0" w:line="261" w:lineRule="auto"/>
        <w:rPr>
          <w:sz w:val="20"/>
          <w:szCs w:val="20"/>
          <w:color w:val="auto"/>
        </w:rPr>
      </w:pPr>
      <w:r>
        <w:rPr>
          <w:rFonts w:ascii="Arial" w:cs="Arial" w:eastAsia="Arial" w:hAnsi="Arial"/>
          <w:sz w:val="18"/>
          <w:szCs w:val="18"/>
          <w:color w:val="auto"/>
        </w:rPr>
        <w:t>No changes were made in the objectives, policies or processes for managing cash during the years ended December 31, 2019 and 2018.</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16. Notes to the consolidated statements of cash flows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Changes in liabilities arising from financing activities</w:t>
      </w:r>
    </w:p>
    <w:p>
      <w:pPr>
        <w:spacing w:after="0" w:line="131" w:lineRule="exact"/>
        <w:rPr>
          <w:sz w:val="20"/>
          <w:szCs w:val="20"/>
          <w:color w:val="auto"/>
        </w:rPr>
      </w:pPr>
    </w:p>
    <w:p>
      <w:pPr>
        <w:ind w:left="1260" w:right="779" w:firstLine="648"/>
        <w:spacing w:after="0" w:line="270" w:lineRule="auto"/>
        <w:rPr>
          <w:sz w:val="20"/>
          <w:szCs w:val="20"/>
          <w:color w:val="auto"/>
        </w:rPr>
      </w:pPr>
      <w:r>
        <w:rPr>
          <w:rFonts w:ascii="Arial" w:cs="Arial" w:eastAsia="Arial" w:hAnsi="Arial"/>
          <w:sz w:val="17"/>
          <w:szCs w:val="17"/>
          <w:color w:val="auto"/>
        </w:rPr>
        <w:t>CureVac uses leases to acquire the right to use assets for a specified amount of time. Due to the first-time adoption of IFRS 16, lease liabilities at an amount of EUR 15,810k were recognized as of January 1, 2019. The liability arising from leases amounts to EUR 14,130k as of December 31, 2019.</w:t>
      </w:r>
    </w:p>
    <w:p>
      <w:pPr>
        <w:sectPr>
          <w:pgSz w:w="11900" w:h="16838" w:orient="portrait"/>
          <w:cols w:equalWidth="0" w:num="1">
            <w:col w:w="9879"/>
          </w:cols>
          <w:pgMar w:left="580" w:top="131" w:right="1440" w:bottom="1440" w:gutter="0" w:footer="0" w:header="0"/>
        </w:sectPr>
      </w:pPr>
    </w:p>
    <w:p>
      <w:pPr>
        <w:spacing w:after="0" w:line="33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72" w:name="page373"/>
    <w:bookmarkEnd w:id="372"/>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9"/>
              </w:rPr>
              <w:t>Foreign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2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5"/>
          </w:tcPr>
          <w:p>
            <w:pPr>
              <w:spacing w:after="0"/>
              <w:rPr>
                <w:sz w:val="20"/>
                <w:szCs w:val="20"/>
                <w:color w:val="auto"/>
              </w:rPr>
            </w:pPr>
            <w:r>
              <w:rPr>
                <w:rFonts w:ascii="Arial" w:cs="Arial" w:eastAsia="Arial" w:hAnsi="Arial"/>
                <w:sz w:val="14"/>
                <w:szCs w:val="14"/>
                <w:b w:val="1"/>
                <w:bCs w:val="1"/>
                <w:color w:val="auto"/>
              </w:rPr>
              <w:t>January 1,</w:t>
            </w: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Cash</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0"/>
              </w:rPr>
              <w:t>New</w:t>
            </w:r>
          </w:p>
        </w:tc>
        <w:tc>
          <w:tcPr>
            <w:tcW w:w="160" w:type="dxa"/>
            <w:vAlign w:val="bottom"/>
          </w:tcPr>
          <w:p>
            <w:pPr>
              <w:spacing w:after="0"/>
              <w:rPr>
                <w:sz w:val="14"/>
                <w:szCs w:val="14"/>
                <w:color w:val="auto"/>
              </w:rPr>
            </w:pPr>
          </w:p>
        </w:tc>
        <w:tc>
          <w:tcPr>
            <w:tcW w:w="54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w w:val="85"/>
              </w:rPr>
              <w:t>Accrued</w:t>
            </w:r>
          </w:p>
        </w:tc>
        <w:tc>
          <w:tcPr>
            <w:tcW w:w="180" w:type="dxa"/>
            <w:vAlign w:val="bottom"/>
          </w:tcPr>
          <w:p>
            <w:pPr>
              <w:spacing w:after="0"/>
              <w:rPr>
                <w:sz w:val="14"/>
                <w:szCs w:val="14"/>
                <w:color w:val="auto"/>
              </w:rPr>
            </w:pPr>
          </w:p>
        </w:tc>
        <w:tc>
          <w:tcPr>
            <w:tcW w:w="92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7"/>
              </w:rPr>
              <w:t>Exchange</w:t>
            </w:r>
          </w:p>
        </w:tc>
        <w:tc>
          <w:tcPr>
            <w:tcW w:w="840" w:type="dxa"/>
            <w:vAlign w:val="bottom"/>
            <w:gridSpan w:val="5"/>
          </w:tcPr>
          <w:p>
            <w:pPr>
              <w:spacing w:after="0"/>
              <w:rPr>
                <w:sz w:val="20"/>
                <w:szCs w:val="20"/>
                <w:color w:val="auto"/>
              </w:rPr>
            </w:pPr>
            <w:r>
              <w:rPr>
                <w:rFonts w:ascii="Arial" w:cs="Arial" w:eastAsia="Arial" w:hAnsi="Arial"/>
                <w:sz w:val="14"/>
                <w:szCs w:val="14"/>
                <w:b w:val="1"/>
                <w:bCs w:val="1"/>
                <w:color w:val="auto"/>
                <w:w w:val="90"/>
              </w:rPr>
              <w:t>December 31,</w:t>
            </w:r>
          </w:p>
        </w:tc>
      </w:tr>
      <w:tr>
        <w:trPr>
          <w:trHeight w:val="192"/>
        </w:trPr>
        <w:tc>
          <w:tcPr>
            <w:tcW w:w="2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 of EUR</w:t>
            </w:r>
          </w:p>
        </w:tc>
        <w:tc>
          <w:tcPr>
            <w:tcW w:w="2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flows</w:t>
            </w:r>
          </w:p>
        </w:tc>
        <w:tc>
          <w:tcPr>
            <w:tcW w:w="1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6"/>
              </w:rPr>
              <w:t>Reclassification</w:t>
            </w:r>
          </w:p>
        </w:tc>
        <w:tc>
          <w:tcPr>
            <w:tcW w:w="200" w:type="dxa"/>
            <w:vAlign w:val="bottom"/>
            <w:tcBorders>
              <w:bottom w:val="single" w:sz="8" w:color="CCEEFF"/>
            </w:tcBorders>
            <w:gridSpan w:val="2"/>
          </w:tcPr>
          <w:p>
            <w:pPr>
              <w:spacing w:after="0"/>
              <w:rPr>
                <w:sz w:val="16"/>
                <w:szCs w:val="16"/>
                <w:color w:val="auto"/>
              </w:rPr>
            </w:pPr>
          </w:p>
        </w:tc>
        <w:tc>
          <w:tcPr>
            <w:tcW w:w="3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74"/>
              </w:rPr>
              <w:t>leases</w:t>
            </w:r>
          </w:p>
        </w:tc>
        <w:tc>
          <w:tcPr>
            <w:tcW w:w="16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w w:val="90"/>
              </w:rPr>
              <w:t>interest</w:t>
            </w:r>
          </w:p>
        </w:tc>
        <w:tc>
          <w:tcPr>
            <w:tcW w:w="1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Movements</w:t>
            </w:r>
          </w:p>
        </w:tc>
        <w:tc>
          <w:tcPr>
            <w:tcW w:w="2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gridSpan w:val="4"/>
          </w:tcPr>
          <w:p>
            <w:pPr>
              <w:jc w:val="center"/>
              <w:ind w:left="78"/>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auto"/>
            </w:tcBorders>
          </w:tcPr>
          <w:p>
            <w:pPr>
              <w:spacing w:after="0"/>
              <w:rPr>
                <w:sz w:val="16"/>
                <w:szCs w:val="16"/>
                <w:color w:val="auto"/>
              </w:rPr>
            </w:pPr>
          </w:p>
        </w:tc>
      </w:tr>
      <w:tr>
        <w:trPr>
          <w:trHeight w:val="215"/>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loans</w:t>
            </w:r>
          </w:p>
        </w:tc>
        <w:tc>
          <w:tcPr>
            <w:tcW w:w="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69,889</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(7,604)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2,733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center"/>
              <w:ind w:right="480"/>
              <w:spacing w:after="0"/>
              <w:rPr>
                <w:sz w:val="20"/>
                <w:szCs w:val="20"/>
                <w:color w:val="auto"/>
              </w:rPr>
            </w:pPr>
            <w:r>
              <w:rPr>
                <w:rFonts w:ascii="Arial" w:cs="Arial" w:eastAsia="Arial" w:hAnsi="Arial"/>
                <w:sz w:val="18"/>
                <w:szCs w:val="18"/>
                <w:color w:val="auto"/>
                <w:w w:val="99"/>
              </w:rPr>
              <w:t>—</w:t>
            </w:r>
          </w:p>
        </w:tc>
        <w:tc>
          <w:tcPr>
            <w:tcW w:w="84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90"/>
              </w:rPr>
              <w:t>65,018</w:t>
            </w:r>
          </w:p>
        </w:tc>
      </w:tr>
      <w:tr>
        <w:trPr>
          <w:trHeight w:val="243"/>
        </w:trPr>
        <w:tc>
          <w:tcPr>
            <w:tcW w:w="2460" w:type="dxa"/>
            <w:vAlign w:val="bottom"/>
            <w:gridSpan w:val="2"/>
          </w:tcPr>
          <w:p>
            <w:pPr>
              <w:spacing w:after="0"/>
              <w:rPr>
                <w:sz w:val="20"/>
                <w:szCs w:val="20"/>
                <w:color w:val="auto"/>
              </w:rPr>
            </w:pPr>
            <w:r>
              <w:rPr>
                <w:rFonts w:ascii="Arial" w:cs="Arial" w:eastAsia="Arial" w:hAnsi="Arial"/>
                <w:sz w:val="18"/>
                <w:szCs w:val="18"/>
                <w:color w:val="auto"/>
              </w:rPr>
              <w:t>Lease liabilities</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15,810</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(1,910)</w:t>
            </w:r>
          </w:p>
        </w:tc>
        <w:tc>
          <w:tcPr>
            <w:tcW w:w="240" w:type="dxa"/>
            <w:vAlign w:val="bottom"/>
          </w:tcPr>
          <w:p>
            <w:pPr>
              <w:spacing w:after="0"/>
              <w:rPr>
                <w:sz w:val="21"/>
                <w:szCs w:val="21"/>
                <w:color w:val="auto"/>
              </w:rPr>
            </w:pPr>
          </w:p>
        </w:tc>
        <w:tc>
          <w:tcPr>
            <w:tcW w:w="920" w:type="dxa"/>
            <w:vAlign w:val="bottom"/>
            <w:gridSpan w:val="4"/>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gridSpan w:val="4"/>
          </w:tcPr>
          <w:p>
            <w:pPr>
              <w:jc w:val="right"/>
              <w:ind w:right="80"/>
              <w:spacing w:after="0"/>
              <w:rPr>
                <w:sz w:val="20"/>
                <w:szCs w:val="20"/>
                <w:color w:val="auto"/>
              </w:rPr>
            </w:pPr>
            <w:r>
              <w:rPr>
                <w:rFonts w:ascii="Arial" w:cs="Arial" w:eastAsia="Arial" w:hAnsi="Arial"/>
                <w:sz w:val="18"/>
                <w:szCs w:val="18"/>
                <w:color w:val="auto"/>
                <w:w w:val="93"/>
              </w:rPr>
              <w:t>153</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6"/>
          </w:tcPr>
          <w:p>
            <w:pPr>
              <w:jc w:val="center"/>
              <w:ind w:left="98"/>
              <w:spacing w:after="0"/>
              <w:rPr>
                <w:sz w:val="20"/>
                <w:szCs w:val="20"/>
                <w:color w:val="auto"/>
              </w:rPr>
            </w:pPr>
            <w:r>
              <w:rPr>
                <w:rFonts w:ascii="Arial" w:cs="Arial" w:eastAsia="Arial" w:hAnsi="Arial"/>
                <w:sz w:val="18"/>
                <w:szCs w:val="18"/>
                <w:color w:val="auto"/>
                <w:w w:val="89"/>
              </w:rPr>
              <w:t>77</w:t>
            </w:r>
          </w:p>
        </w:tc>
        <w:tc>
          <w:tcPr>
            <w:tcW w:w="220" w:type="dxa"/>
            <w:vAlign w:val="bottom"/>
          </w:tcPr>
          <w:p>
            <w:pPr>
              <w:spacing w:after="0"/>
              <w:rPr>
                <w:sz w:val="21"/>
                <w:szCs w:val="21"/>
                <w:color w:val="auto"/>
              </w:rPr>
            </w:pPr>
          </w:p>
        </w:tc>
        <w:tc>
          <w:tcPr>
            <w:tcW w:w="840" w:type="dxa"/>
            <w:vAlign w:val="bottom"/>
            <w:gridSpan w:val="5"/>
          </w:tcPr>
          <w:p>
            <w:pPr>
              <w:jc w:val="center"/>
              <w:spacing w:after="0"/>
              <w:rPr>
                <w:sz w:val="20"/>
                <w:szCs w:val="20"/>
                <w:color w:val="auto"/>
              </w:rPr>
            </w:pPr>
            <w:r>
              <w:rPr>
                <w:rFonts w:ascii="Arial" w:cs="Arial" w:eastAsia="Arial" w:hAnsi="Arial"/>
                <w:sz w:val="18"/>
                <w:szCs w:val="18"/>
                <w:color w:val="auto"/>
                <w:w w:val="90"/>
              </w:rPr>
              <w:t>14,130</w:t>
            </w:r>
          </w:p>
        </w:tc>
      </w:tr>
      <w:tr>
        <w:trPr>
          <w:trHeight w:val="205"/>
        </w:trPr>
        <w:tc>
          <w:tcPr>
            <w:tcW w:w="2460" w:type="dxa"/>
            <w:vAlign w:val="bottom"/>
            <w:tcBorders>
              <w:top w:val="single" w:sz="8" w:color="CCEEFF"/>
            </w:tcBorders>
            <w:gridSpan w:val="2"/>
            <w:shd w:val="clear" w:color="auto" w:fill="CCEEFF"/>
          </w:tcPr>
          <w:p>
            <w:pPr>
              <w:spacing w:after="0" w:line="205" w:lineRule="exact"/>
              <w:rPr>
                <w:sz w:val="20"/>
                <w:szCs w:val="20"/>
                <w:color w:val="auto"/>
              </w:rPr>
            </w:pPr>
            <w:r>
              <w:rPr>
                <w:rFonts w:ascii="Arial" w:cs="Arial" w:eastAsia="Arial" w:hAnsi="Arial"/>
                <w:sz w:val="18"/>
                <w:szCs w:val="18"/>
                <w:b w:val="1"/>
                <w:bCs w:val="1"/>
                <w:color w:val="auto"/>
                <w:w w:val="95"/>
              </w:rPr>
              <w:t>Total liabilities from financing</w:t>
            </w: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48"/>
        </w:trPr>
        <w:tc>
          <w:tcPr>
            <w:tcW w:w="24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activities</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15,810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67,979</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1"/>
              </w:rPr>
              <w:t>(7,604)</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tcBorders>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3"/>
              </w:rPr>
              <w:t>153</w:t>
            </w:r>
          </w:p>
        </w:tc>
        <w:tc>
          <w:tcPr>
            <w:tcW w:w="70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2,733</w:t>
            </w:r>
          </w:p>
        </w:tc>
        <w:tc>
          <w:tcPr>
            <w:tcW w:w="880" w:type="dxa"/>
            <w:vAlign w:val="bottom"/>
            <w:gridSpan w:val="6"/>
            <w:shd w:val="clear" w:color="auto" w:fill="CCEEFF"/>
          </w:tcPr>
          <w:p>
            <w:pPr>
              <w:jc w:val="center"/>
              <w:ind w:left="98"/>
              <w:spacing w:after="0"/>
              <w:rPr>
                <w:sz w:val="20"/>
                <w:szCs w:val="20"/>
                <w:color w:val="auto"/>
              </w:rPr>
            </w:pPr>
            <w:r>
              <w:rPr>
                <w:rFonts w:ascii="Arial" w:cs="Arial" w:eastAsia="Arial" w:hAnsi="Arial"/>
                <w:sz w:val="18"/>
                <w:szCs w:val="18"/>
                <w:b w:val="1"/>
                <w:bCs w:val="1"/>
                <w:color w:val="auto"/>
                <w:w w:val="89"/>
              </w:rPr>
              <w:t>77</w:t>
            </w:r>
          </w:p>
        </w:tc>
        <w:tc>
          <w:tcPr>
            <w:tcW w:w="220" w:type="dxa"/>
            <w:vAlign w:val="bottom"/>
            <w:shd w:val="clear" w:color="auto" w:fill="CCEEFF"/>
          </w:tcPr>
          <w:p>
            <w:pPr>
              <w:spacing w:after="0"/>
              <w:rPr>
                <w:sz w:val="21"/>
                <w:szCs w:val="21"/>
                <w:color w:val="auto"/>
              </w:rPr>
            </w:pPr>
          </w:p>
        </w:tc>
        <w:tc>
          <w:tcPr>
            <w:tcW w:w="840" w:type="dxa"/>
            <w:vAlign w:val="bottom"/>
            <w:gridSpan w:val="5"/>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79,148</w:t>
            </w: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371"/>
        </w:trPr>
        <w:tc>
          <w:tcPr>
            <w:tcW w:w="8200" w:type="dxa"/>
            <w:vAlign w:val="bottom"/>
            <w:gridSpan w:val="36"/>
          </w:tcPr>
          <w:p>
            <w:pPr>
              <w:ind w:left="640"/>
              <w:spacing w:after="0"/>
              <w:rPr>
                <w:sz w:val="20"/>
                <w:szCs w:val="20"/>
                <w:color w:val="auto"/>
              </w:rPr>
            </w:pPr>
            <w:r>
              <w:rPr>
                <w:rFonts w:ascii="Arial" w:cs="Arial" w:eastAsia="Arial" w:hAnsi="Arial"/>
                <w:sz w:val="18"/>
                <w:szCs w:val="18"/>
                <w:color w:val="auto"/>
                <w:w w:val="99"/>
              </w:rPr>
              <w:t>The reclassification of €7,604k results from an amount recorded as a component of equity. See</w:t>
            </w:r>
          </w:p>
        </w:tc>
      </w:tr>
      <w:tr>
        <w:trPr>
          <w:trHeight w:val="230"/>
        </w:trPr>
        <w:tc>
          <w:tcPr>
            <w:tcW w:w="2460" w:type="dxa"/>
            <w:vAlign w:val="bottom"/>
            <w:gridSpan w:val="2"/>
          </w:tcPr>
          <w:p>
            <w:pPr>
              <w:spacing w:after="0"/>
              <w:rPr>
                <w:sz w:val="20"/>
                <w:szCs w:val="20"/>
                <w:color w:val="auto"/>
              </w:rPr>
            </w:pPr>
            <w:r>
              <w:rPr>
                <w:rFonts w:ascii="Arial" w:cs="Arial" w:eastAsia="Arial" w:hAnsi="Arial"/>
                <w:sz w:val="18"/>
                <w:szCs w:val="18"/>
                <w:color w:val="auto"/>
              </w:rPr>
              <w:t>Note 12.</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01"/>
        </w:trPr>
        <w:tc>
          <w:tcPr>
            <w:tcW w:w="2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87"/>
              </w:rPr>
              <w:t>Changes from</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2"/>
        </w:trPr>
        <w:tc>
          <w:tcPr>
            <w:tcW w:w="2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89"/>
              </w:rPr>
              <w:t>January 1,</w:t>
            </w:r>
          </w:p>
        </w:tc>
        <w:tc>
          <w:tcPr>
            <w:tcW w:w="110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86"/>
              </w:rPr>
              <w:t>financing</w:t>
            </w:r>
          </w:p>
        </w:tc>
        <w:tc>
          <w:tcPr>
            <w:tcW w:w="840" w:type="dxa"/>
            <w:vAlign w:val="bottom"/>
            <w:gridSpan w:val="5"/>
          </w:tcPr>
          <w:p>
            <w:pPr>
              <w:spacing w:after="0"/>
              <w:rPr>
                <w:sz w:val="20"/>
                <w:szCs w:val="20"/>
                <w:color w:val="auto"/>
              </w:rPr>
            </w:pPr>
            <w:r>
              <w:rPr>
                <w:rFonts w:ascii="Arial" w:cs="Arial" w:eastAsia="Arial" w:hAnsi="Arial"/>
                <w:sz w:val="14"/>
                <w:szCs w:val="14"/>
                <w:b w:val="1"/>
                <w:bCs w:val="1"/>
                <w:color w:val="auto"/>
                <w:w w:val="90"/>
              </w:rPr>
              <w:t>December 31,</w:t>
            </w:r>
          </w:p>
        </w:tc>
      </w:tr>
      <w:tr>
        <w:trPr>
          <w:trHeight w:val="186"/>
        </w:trPr>
        <w:tc>
          <w:tcPr>
            <w:tcW w:w="2460" w:type="dxa"/>
            <w:vAlign w:val="bottom"/>
            <w:gridSpan w:val="2"/>
          </w:tcPr>
          <w:p>
            <w:pPr>
              <w:spacing w:after="0"/>
              <w:rPr>
                <w:sz w:val="20"/>
                <w:szCs w:val="20"/>
                <w:color w:val="auto"/>
              </w:rPr>
            </w:pPr>
            <w:r>
              <w:rPr>
                <w:rFonts w:ascii="Arial" w:cs="Arial" w:eastAsia="Arial" w:hAnsi="Arial"/>
                <w:sz w:val="14"/>
                <w:szCs w:val="14"/>
                <w:b w:val="1"/>
                <w:bCs w:val="1"/>
                <w:color w:val="auto"/>
              </w:rPr>
              <w:t>in thousands of EUR</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4"/>
          </w:tcPr>
          <w:p>
            <w:pPr>
              <w:jc w:val="center"/>
              <w:ind w:right="70"/>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83"/>
              </w:rPr>
              <w:t>cash flows</w:t>
            </w:r>
          </w:p>
        </w:tc>
        <w:tc>
          <w:tcPr>
            <w:tcW w:w="680" w:type="dxa"/>
            <w:vAlign w:val="bottom"/>
            <w:gridSpan w:val="4"/>
          </w:tcPr>
          <w:p>
            <w:pPr>
              <w:jc w:val="center"/>
              <w:ind w:left="78"/>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6"/>
                <w:szCs w:val="16"/>
                <w:color w:val="auto"/>
              </w:rPr>
            </w:pPr>
          </w:p>
        </w:tc>
      </w:tr>
      <w:tr>
        <w:trPr>
          <w:trHeight w:val="26"/>
        </w:trPr>
        <w:tc>
          <w:tcPr>
            <w:tcW w:w="24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57"/>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tcBorders>
              <w:right w:val="single" w:sz="8" w:color="CCEEFF"/>
            </w:tcBorders>
            <w:shd w:val="clear" w:color="auto" w:fill="CCEEFF"/>
          </w:tcPr>
          <w:p>
            <w:pPr>
              <w:spacing w:after="0"/>
              <w:rPr>
                <w:sz w:val="22"/>
                <w:szCs w:val="22"/>
                <w:color w:val="auto"/>
              </w:rPr>
            </w:pPr>
          </w:p>
        </w:tc>
        <w:tc>
          <w:tcPr>
            <w:tcW w:w="480" w:type="dxa"/>
            <w:vAlign w:val="bottom"/>
            <w:gridSpan w:val="4"/>
            <w:shd w:val="clear" w:color="auto" w:fill="CCEEFF"/>
          </w:tcPr>
          <w:p>
            <w:pPr>
              <w:jc w:val="center"/>
              <w:ind w:right="90"/>
              <w:spacing w:after="0"/>
              <w:rPr>
                <w:sz w:val="20"/>
                <w:szCs w:val="20"/>
                <w:color w:val="auto"/>
              </w:rPr>
            </w:pPr>
            <w:r>
              <w:rPr>
                <w:rFonts w:ascii="Arial" w:cs="Arial" w:eastAsia="Arial" w:hAnsi="Arial"/>
                <w:sz w:val="18"/>
                <w:szCs w:val="18"/>
                <w:color w:val="auto"/>
                <w:w w:val="86"/>
              </w:rPr>
              <w:t>188</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22"/>
                <w:szCs w:val="22"/>
                <w:color w:val="auto"/>
              </w:rPr>
            </w:pPr>
          </w:p>
        </w:tc>
        <w:tc>
          <w:tcPr>
            <w:tcW w:w="520" w:type="dxa"/>
            <w:vAlign w:val="bottom"/>
            <w:gridSpan w:val="3"/>
            <w:shd w:val="clear" w:color="auto" w:fill="CCEEFF"/>
          </w:tcPr>
          <w:p>
            <w:pPr>
              <w:jc w:val="center"/>
              <w:ind w:left="258"/>
              <w:spacing w:after="0"/>
              <w:rPr>
                <w:sz w:val="20"/>
                <w:szCs w:val="20"/>
                <w:color w:val="auto"/>
              </w:rPr>
            </w:pPr>
            <w:r>
              <w:rPr>
                <w:rFonts w:ascii="Arial" w:cs="Arial" w:eastAsia="Arial" w:hAnsi="Arial"/>
                <w:sz w:val="18"/>
                <w:szCs w:val="18"/>
                <w:color w:val="auto"/>
                <w:w w:val="89"/>
              </w:rPr>
              <w:t>77</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0"/>
        </w:trPr>
        <w:tc>
          <w:tcPr>
            <w:tcW w:w="3340" w:type="dxa"/>
            <w:vAlign w:val="bottom"/>
            <w:gridSpan w:val="7"/>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63"/>
        </w:trPr>
        <w:tc>
          <w:tcPr>
            <w:tcW w:w="3340" w:type="dxa"/>
            <w:vAlign w:val="bottom"/>
            <w:gridSpan w:val="7"/>
          </w:tcPr>
          <w:p>
            <w:pPr>
              <w:spacing w:after="0"/>
              <w:rPr>
                <w:sz w:val="20"/>
                <w:szCs w:val="20"/>
                <w:color w:val="auto"/>
              </w:rPr>
            </w:pPr>
            <w:r>
              <w:rPr>
                <w:rFonts w:ascii="Arial" w:cs="Arial" w:eastAsia="Arial" w:hAnsi="Arial"/>
                <w:sz w:val="18"/>
                <w:szCs w:val="18"/>
                <w:b w:val="1"/>
                <w:bCs w:val="1"/>
                <w:color w:val="auto"/>
                <w:w w:val="98"/>
              </w:rPr>
              <w:t>Total liabilities from financing activities</w:t>
            </w: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86"/>
              </w:rPr>
              <w:t>188</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rPr>
              <w:t>(112)</w:t>
            </w:r>
          </w:p>
        </w:tc>
        <w:tc>
          <w:tcPr>
            <w:tcW w:w="220" w:type="dxa"/>
            <w:vAlign w:val="bottom"/>
          </w:tcPr>
          <w:p>
            <w:pPr>
              <w:spacing w:after="0"/>
              <w:rPr>
                <w:sz w:val="22"/>
                <w:szCs w:val="22"/>
                <w:color w:val="auto"/>
              </w:rPr>
            </w:pPr>
          </w:p>
        </w:tc>
        <w:tc>
          <w:tcPr>
            <w:tcW w:w="520" w:type="dxa"/>
            <w:vAlign w:val="bottom"/>
            <w:gridSpan w:val="3"/>
          </w:tcPr>
          <w:p>
            <w:pPr>
              <w:jc w:val="center"/>
              <w:ind w:left="258"/>
              <w:spacing w:after="0"/>
              <w:rPr>
                <w:sz w:val="20"/>
                <w:szCs w:val="20"/>
                <w:color w:val="auto"/>
              </w:rPr>
            </w:pPr>
            <w:r>
              <w:rPr>
                <w:rFonts w:ascii="Arial" w:cs="Arial" w:eastAsia="Arial" w:hAnsi="Arial"/>
                <w:sz w:val="18"/>
                <w:szCs w:val="18"/>
                <w:b w:val="1"/>
                <w:bCs w:val="1"/>
                <w:color w:val="auto"/>
                <w:w w:val="89"/>
              </w:rPr>
              <w:t>77</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0"/>
        </w:trPr>
        <w:tc>
          <w:tcPr>
            <w:tcW w:w="2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5900420</wp:posOffset>
            </wp:positionH>
            <wp:positionV relativeFrom="paragraph">
              <wp:posOffset>-1533525</wp:posOffset>
            </wp:positionV>
            <wp:extent cx="111125"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-1533525</wp:posOffset>
            </wp:positionV>
            <wp:extent cx="4774565"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4774565" cy="8255"/>
                    </a:xfrm>
                    <a:prstGeom prst="rect">
                      <a:avLst/>
                    </a:prstGeom>
                    <a:noFill/>
                  </pic:spPr>
                </pic:pic>
              </a:graphicData>
            </a:graphic>
          </wp:anchor>
        </w:drawing>
        <w:drawing>
          <wp:anchor simplePos="0" relativeHeight="251657728" behindDoc="1" locked="0" layoutInCell="0" allowOverlap="1">
            <wp:simplePos x="0" y="0"/>
            <wp:positionH relativeFrom="column">
              <wp:posOffset>5334635</wp:posOffset>
            </wp:positionH>
            <wp:positionV relativeFrom="paragraph">
              <wp:posOffset>-1833880</wp:posOffset>
            </wp:positionV>
            <wp:extent cx="13716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-1833880</wp:posOffset>
            </wp:positionV>
            <wp:extent cx="120015"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-1833880</wp:posOffset>
            </wp:positionV>
            <wp:extent cx="120015"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-1833880</wp:posOffset>
            </wp:positionV>
            <wp:extent cx="120015"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-1833880</wp:posOffset>
            </wp:positionV>
            <wp:extent cx="120015"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2788920</wp:posOffset>
            </wp:positionH>
            <wp:positionV relativeFrom="paragraph">
              <wp:posOffset>-1833880</wp:posOffset>
            </wp:positionV>
            <wp:extent cx="120015"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2240280</wp:posOffset>
            </wp:positionH>
            <wp:positionV relativeFrom="paragraph">
              <wp:posOffset>-1833880</wp:posOffset>
            </wp:positionV>
            <wp:extent cx="12001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5334635</wp:posOffset>
            </wp:positionH>
            <wp:positionV relativeFrom="paragraph">
              <wp:posOffset>-384810</wp:posOffset>
            </wp:positionV>
            <wp:extent cx="13716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-384810</wp:posOffset>
            </wp:positionV>
            <wp:extent cx="13716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-384810</wp:posOffset>
            </wp:positionV>
            <wp:extent cx="13716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17. Commitments and contingencies</w:t>
      </w:r>
    </w:p>
    <w:p>
      <w:pPr>
        <w:spacing w:after="0" w:line="13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In the course of its ordinary activities, no major claims have been made against the Company.</w:t>
      </w:r>
    </w:p>
    <w:p>
      <w:pPr>
        <w:spacing w:after="0" w:line="158" w:lineRule="exact"/>
        <w:rPr>
          <w:sz w:val="20"/>
          <w:szCs w:val="20"/>
          <w:color w:val="auto"/>
        </w:rPr>
      </w:pPr>
    </w:p>
    <w:p>
      <w:pPr>
        <w:ind w:left="1260" w:right="579" w:firstLine="648"/>
        <w:spacing w:after="0" w:line="261" w:lineRule="auto"/>
        <w:rPr>
          <w:sz w:val="20"/>
          <w:szCs w:val="20"/>
          <w:color w:val="auto"/>
        </w:rPr>
      </w:pPr>
      <w:r>
        <w:rPr>
          <w:rFonts w:ascii="Arial" w:cs="Arial" w:eastAsia="Arial" w:hAnsi="Arial"/>
          <w:sz w:val="18"/>
          <w:szCs w:val="18"/>
          <w:color w:val="auto"/>
        </w:rPr>
        <w:t>See Section “Changes in accounting policies and disclosures” for commitments and contingencies relating to IFRS 16 (Leases).</w:t>
      </w:r>
    </w:p>
    <w:p>
      <w:pPr>
        <w:spacing w:after="0" w:line="14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18. Remuneration of the Company’s key management personnel</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Total remuneration of key management personnel</w:t>
      </w:r>
    </w:p>
    <w:p>
      <w:pPr>
        <w:spacing w:after="0" w:line="14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Remuneration of the Company’s key management personnel was as follows in fiscal 2019:</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Management</w:t>
            </w:r>
          </w:p>
        </w:tc>
        <w:tc>
          <w:tcPr>
            <w:tcW w:w="7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8"/>
              </w:rPr>
              <w:t>Supervisory</w:t>
            </w:r>
          </w:p>
        </w:tc>
      </w:tr>
      <w:tr>
        <w:trPr>
          <w:trHeight w:val="186"/>
        </w:trPr>
        <w:tc>
          <w:tcPr>
            <w:tcW w:w="5680" w:type="dxa"/>
            <w:vAlign w:val="bottom"/>
            <w:gridSpan w:val="2"/>
          </w:tcPr>
          <w:p>
            <w:pPr>
              <w:spacing w:after="0"/>
              <w:rPr>
                <w:sz w:val="20"/>
                <w:szCs w:val="20"/>
                <w:color w:val="auto"/>
              </w:rPr>
            </w:pPr>
            <w:r>
              <w:rPr>
                <w:rFonts w:ascii="Arial" w:cs="Arial" w:eastAsia="Arial" w:hAnsi="Arial"/>
                <w:sz w:val="14"/>
                <w:szCs w:val="14"/>
                <w:b w:val="1"/>
                <w:bCs w:val="1"/>
                <w:color w:val="auto"/>
              </w:rPr>
              <w:t>Remuneration of key management in 2019</w:t>
            </w:r>
          </w:p>
        </w:tc>
        <w:tc>
          <w:tcPr>
            <w:tcW w:w="160" w:type="dxa"/>
            <w:vAlign w:val="bottom"/>
          </w:tcPr>
          <w:p>
            <w:pPr>
              <w:spacing w:after="0"/>
              <w:rPr>
                <w:sz w:val="16"/>
                <w:szCs w:val="16"/>
                <w:color w:val="auto"/>
              </w:rPr>
            </w:pPr>
          </w:p>
        </w:tc>
        <w:tc>
          <w:tcPr>
            <w:tcW w:w="8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8"/>
              </w:rPr>
              <w:t>Board</w:t>
            </w: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Board</w:t>
            </w:r>
          </w:p>
        </w:tc>
      </w:tr>
      <w:tr>
        <w:trPr>
          <w:trHeight w:val="25"/>
        </w:trPr>
        <w:tc>
          <w:tcPr>
            <w:tcW w:w="5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r>
      <w:tr>
        <w:trPr>
          <w:trHeight w:val="198"/>
        </w:trPr>
        <w:tc>
          <w:tcPr>
            <w:tcW w:w="5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6"/>
              </w:rPr>
              <w:t>EUR k</w:t>
            </w: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EUR k</w:t>
            </w:r>
          </w:p>
        </w:tc>
      </w:tr>
      <w:tr>
        <w:trPr>
          <w:trHeight w:val="25"/>
        </w:trPr>
        <w:tc>
          <w:tcPr>
            <w:tcW w:w="5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benefits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3,166</w:t>
            </w: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240" w:type="dxa"/>
            <w:vAlign w:val="bottom"/>
            <w:shd w:val="clear" w:color="auto" w:fill="CCEEFF"/>
          </w:tcPr>
          <w:p>
            <w:pPr>
              <w:spacing w:after="0"/>
              <w:rPr>
                <w:sz w:val="22"/>
                <w:szCs w:val="22"/>
                <w:color w:val="auto"/>
              </w:rPr>
            </w:pPr>
          </w:p>
        </w:tc>
      </w:tr>
      <w:tr>
        <w:trPr>
          <w:trHeight w:val="263"/>
        </w:trPr>
        <w:tc>
          <w:tcPr>
            <w:tcW w:w="56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Share-based payments</w:t>
            </w:r>
          </w:p>
        </w:tc>
        <w:tc>
          <w:tcPr>
            <w:tcW w:w="16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18,483</w:t>
            </w:r>
          </w:p>
        </w:tc>
        <w:tc>
          <w:tcPr>
            <w:tcW w:w="18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22"/>
                <w:szCs w:val="22"/>
                <w:color w:val="auto"/>
              </w:rPr>
            </w:pPr>
          </w:p>
        </w:tc>
      </w:tr>
      <w:tr>
        <w:trPr>
          <w:trHeight w:val="264"/>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21,649</w:t>
            </w: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521</w:t>
            </w:r>
          </w:p>
        </w:tc>
        <w:tc>
          <w:tcPr>
            <w:tcW w:w="240" w:type="dxa"/>
            <w:vAlign w:val="bottom"/>
            <w:shd w:val="clear" w:color="auto" w:fill="CCEEFF"/>
          </w:tcPr>
          <w:p>
            <w:pPr>
              <w:spacing w:after="0"/>
              <w:rPr>
                <w:sz w:val="22"/>
                <w:szCs w:val="22"/>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-205105</wp:posOffset>
            </wp:positionV>
            <wp:extent cx="4749165"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155" w:lineRule="exact"/>
        <w:rPr>
          <w:sz w:val="20"/>
          <w:szCs w:val="20"/>
          <w:color w:val="auto"/>
        </w:rPr>
      </w:pPr>
    </w:p>
    <w:p>
      <w:pPr>
        <w:ind w:left="1260" w:right="599" w:firstLine="648"/>
        <w:spacing w:after="0" w:line="261" w:lineRule="auto"/>
        <w:rPr>
          <w:sz w:val="20"/>
          <w:szCs w:val="20"/>
          <w:color w:val="auto"/>
        </w:rPr>
      </w:pPr>
      <w:r>
        <w:rPr>
          <w:rFonts w:ascii="Arial" w:cs="Arial" w:eastAsia="Arial" w:hAnsi="Arial"/>
          <w:sz w:val="18"/>
          <w:szCs w:val="18"/>
          <w:color w:val="auto"/>
        </w:rPr>
        <w:t>The amounts disclosed in the table are the amounts recognized as an expense during the reporting period related to key management personnel.</w:t>
      </w:r>
    </w:p>
    <w:p>
      <w:pPr>
        <w:spacing w:after="0" w:line="10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figures for fiscal 2018 were as follows:</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Management</w:t>
            </w:r>
          </w:p>
        </w:tc>
        <w:tc>
          <w:tcPr>
            <w:tcW w:w="7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8"/>
              </w:rPr>
              <w:t>Supervisory</w:t>
            </w:r>
          </w:p>
        </w:tc>
        <w:tc>
          <w:tcPr>
            <w:tcW w:w="0" w:type="dxa"/>
            <w:vAlign w:val="bottom"/>
          </w:tcPr>
          <w:p>
            <w:pPr>
              <w:spacing w:after="0"/>
              <w:rPr>
                <w:sz w:val="1"/>
                <w:szCs w:val="1"/>
                <w:color w:val="auto"/>
              </w:rPr>
            </w:pPr>
          </w:p>
        </w:tc>
      </w:tr>
      <w:tr>
        <w:trPr>
          <w:trHeight w:val="186"/>
        </w:trPr>
        <w:tc>
          <w:tcPr>
            <w:tcW w:w="5840" w:type="dxa"/>
            <w:vAlign w:val="bottom"/>
            <w:gridSpan w:val="2"/>
          </w:tcPr>
          <w:p>
            <w:pPr>
              <w:ind w:left="360"/>
              <w:spacing w:after="0"/>
              <w:rPr>
                <w:sz w:val="20"/>
                <w:szCs w:val="20"/>
                <w:color w:val="auto"/>
              </w:rPr>
            </w:pPr>
            <w:r>
              <w:rPr>
                <w:rFonts w:ascii="Arial" w:cs="Arial" w:eastAsia="Arial" w:hAnsi="Arial"/>
                <w:sz w:val="14"/>
                <w:szCs w:val="14"/>
                <w:b w:val="1"/>
                <w:bCs w:val="1"/>
                <w:color w:val="auto"/>
              </w:rPr>
              <w:t>Remuneration of key management in 2018</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8"/>
              </w:rPr>
              <w:t>Board</w:t>
            </w: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Board</w:t>
            </w:r>
          </w:p>
        </w:tc>
        <w:tc>
          <w:tcPr>
            <w:tcW w:w="0" w:type="dxa"/>
            <w:vAlign w:val="bottom"/>
          </w:tcPr>
          <w:p>
            <w:pPr>
              <w:spacing w:after="0"/>
              <w:rPr>
                <w:sz w:val="1"/>
                <w:szCs w:val="1"/>
                <w:color w:val="auto"/>
              </w:rPr>
            </w:pPr>
          </w:p>
        </w:tc>
      </w:tr>
      <w:tr>
        <w:trPr>
          <w:trHeight w:val="25"/>
        </w:trPr>
        <w:tc>
          <w:tcPr>
            <w:tcW w:w="360" w:type="dxa"/>
            <w:vAlign w:val="bottom"/>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6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6"/>
              </w:rPr>
              <w:t>EUR k</w:t>
            </w: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EUR k</w:t>
            </w:r>
          </w:p>
        </w:tc>
        <w:tc>
          <w:tcPr>
            <w:tcW w:w="0" w:type="dxa"/>
            <w:vAlign w:val="bottom"/>
          </w:tcPr>
          <w:p>
            <w:pPr>
              <w:spacing w:after="0"/>
              <w:rPr>
                <w:sz w:val="1"/>
                <w:szCs w:val="1"/>
                <w:color w:val="auto"/>
              </w:rPr>
            </w:pPr>
          </w:p>
        </w:tc>
      </w:tr>
      <w:tr>
        <w:trPr>
          <w:trHeight w:val="25"/>
        </w:trPr>
        <w:tc>
          <w:tcPr>
            <w:tcW w:w="5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Short-term benefits</w:t>
            </w:r>
          </w:p>
        </w:tc>
        <w:tc>
          <w:tcPr>
            <w:tcW w:w="820" w:type="dxa"/>
            <w:vAlign w:val="bottom"/>
            <w:gridSpan w:val="3"/>
            <w:shd w:val="clear" w:color="auto" w:fill="CCEEFF"/>
          </w:tcPr>
          <w:p>
            <w:pPr>
              <w:jc w:val="center"/>
              <w:ind w:left="310"/>
              <w:spacing w:after="0"/>
              <w:rPr>
                <w:sz w:val="20"/>
                <w:szCs w:val="20"/>
                <w:color w:val="auto"/>
              </w:rPr>
            </w:pPr>
            <w:r>
              <w:rPr>
                <w:rFonts w:ascii="Arial" w:cs="Arial" w:eastAsia="Arial" w:hAnsi="Arial"/>
                <w:sz w:val="18"/>
                <w:szCs w:val="18"/>
                <w:color w:val="auto"/>
                <w:w w:val="93"/>
              </w:rPr>
              <w:t>2,195</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center"/>
              <w:ind w:left="161"/>
              <w:spacing w:after="0"/>
              <w:rPr>
                <w:sz w:val="20"/>
                <w:szCs w:val="20"/>
                <w:color w:val="auto"/>
              </w:rPr>
            </w:pPr>
            <w:r>
              <w:rPr>
                <w:rFonts w:ascii="Arial" w:cs="Arial" w:eastAsia="Arial" w:hAnsi="Arial"/>
                <w:sz w:val="18"/>
                <w:szCs w:val="18"/>
                <w:color w:val="auto"/>
                <w:w w:val="93"/>
              </w:rPr>
              <w:t>343</w:t>
            </w:r>
          </w:p>
        </w:tc>
        <w:tc>
          <w:tcPr>
            <w:tcW w:w="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4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54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gridSpan w:val="3"/>
          </w:tcPr>
          <w:p>
            <w:pPr>
              <w:jc w:val="center"/>
              <w:ind w:left="310"/>
              <w:spacing w:after="0"/>
              <w:rPr>
                <w:sz w:val="20"/>
                <w:szCs w:val="20"/>
                <w:color w:val="auto"/>
              </w:rPr>
            </w:pPr>
            <w:r>
              <w:rPr>
                <w:rFonts w:ascii="Arial" w:cs="Arial" w:eastAsia="Arial" w:hAnsi="Arial"/>
                <w:sz w:val="18"/>
                <w:szCs w:val="18"/>
                <w:b w:val="1"/>
                <w:bCs w:val="1"/>
                <w:color w:val="auto"/>
                <w:w w:val="93"/>
              </w:rPr>
              <w:t>2,195</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gridSpan w:val="2"/>
          </w:tcPr>
          <w:p>
            <w:pPr>
              <w:jc w:val="center"/>
              <w:ind w:left="161"/>
              <w:spacing w:after="0"/>
              <w:rPr>
                <w:sz w:val="20"/>
                <w:szCs w:val="20"/>
                <w:color w:val="auto"/>
              </w:rPr>
            </w:pPr>
            <w:r>
              <w:rPr>
                <w:rFonts w:ascii="Arial" w:cs="Arial" w:eastAsia="Arial" w:hAnsi="Arial"/>
                <w:sz w:val="18"/>
                <w:szCs w:val="18"/>
                <w:b w:val="1"/>
                <w:bCs w:val="1"/>
                <w:color w:val="auto"/>
                <w:w w:val="93"/>
              </w:rPr>
              <w:t>343</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19. Other related party disclosures</w:t>
            </w: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8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dievini Hopp BioTech holding GmbH &amp; Co. KG</w:t>
      </w:r>
    </w:p>
    <w:p>
      <w:pPr>
        <w:spacing w:after="0" w:line="131" w:lineRule="exact"/>
        <w:rPr>
          <w:sz w:val="20"/>
          <w:szCs w:val="20"/>
          <w:color w:val="auto"/>
        </w:rPr>
      </w:pPr>
    </w:p>
    <w:p>
      <w:pPr>
        <w:ind w:left="1260" w:right="499" w:firstLine="648"/>
        <w:spacing w:after="0" w:line="261" w:lineRule="auto"/>
        <w:rPr>
          <w:sz w:val="20"/>
          <w:szCs w:val="20"/>
          <w:color w:val="auto"/>
        </w:rPr>
      </w:pPr>
      <w:r>
        <w:rPr>
          <w:rFonts w:ascii="Arial" w:cs="Arial" w:eastAsia="Arial" w:hAnsi="Arial"/>
          <w:sz w:val="18"/>
          <w:szCs w:val="18"/>
          <w:color w:val="auto"/>
        </w:rPr>
        <w:t>dievini Hopp BioTech holding GmbH &amp; Co. KG (dievini) holds the majority of the share capital of the Company, is the controlling shareholder and is the ultimate parent of the Group.</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related party transactions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Molecular Health GmbH</w:t>
      </w:r>
    </w:p>
    <w:p>
      <w:pPr>
        <w:spacing w:after="0" w:line="144" w:lineRule="exact"/>
        <w:rPr>
          <w:sz w:val="20"/>
          <w:szCs w:val="20"/>
          <w:color w:val="auto"/>
        </w:rPr>
      </w:pPr>
    </w:p>
    <w:p>
      <w:pPr>
        <w:ind w:left="1260" w:right="1019" w:firstLine="648"/>
        <w:spacing w:after="0" w:line="291" w:lineRule="auto"/>
        <w:rPr>
          <w:sz w:val="20"/>
          <w:szCs w:val="20"/>
          <w:color w:val="auto"/>
        </w:rPr>
      </w:pPr>
      <w:r>
        <w:rPr>
          <w:rFonts w:ascii="Arial" w:cs="Arial" w:eastAsia="Arial" w:hAnsi="Arial"/>
          <w:sz w:val="17"/>
          <w:szCs w:val="17"/>
          <w:color w:val="auto"/>
        </w:rPr>
        <w:t>Molecular Health GmbH (Molecular Health) is a wholly owned subsidiary of dievini. In December 2017 CureVac concluded a contract with Molecular Health, according to which Molecular</w:t>
      </w:r>
    </w:p>
    <w:p>
      <w:pPr>
        <w:sectPr>
          <w:pgSz w:w="11900" w:h="16838" w:orient="portrait"/>
          <w:cols w:equalWidth="0" w:num="1">
            <w:col w:w="9879"/>
          </w:cols>
          <w:pgMar w:left="580" w:top="131" w:right="1440" w:bottom="1440" w:gutter="0" w:footer="0" w:header="0"/>
        </w:sectPr>
      </w:pP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73" w:name="page374"/>
    <w:bookmarkEnd w:id="373"/>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519"/>
        <w:spacing w:after="0" w:line="263" w:lineRule="auto"/>
        <w:rPr>
          <w:sz w:val="20"/>
          <w:szCs w:val="20"/>
          <w:color w:val="auto"/>
        </w:rPr>
      </w:pPr>
      <w:r>
        <w:rPr>
          <w:rFonts w:ascii="Arial" w:cs="Arial" w:eastAsia="Arial" w:hAnsi="Arial"/>
          <w:sz w:val="18"/>
          <w:szCs w:val="18"/>
          <w:color w:val="auto"/>
        </w:rPr>
        <w:t>Health provides services in conjunction with the Modeling of the biological and clinical effects of Toll-like receptor 7 and 8 agonists in cancer and immune cells. The Group incurred EUR 0k in fiscal 2019 and EUR 30k in July 2018 in research and development expenses in connection with this contract.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Rittershaus Rechtsanwaelte</w:t>
      </w:r>
    </w:p>
    <w:p>
      <w:pPr>
        <w:spacing w:after="0" w:line="158" w:lineRule="exact"/>
        <w:rPr>
          <w:sz w:val="20"/>
          <w:szCs w:val="20"/>
          <w:color w:val="auto"/>
        </w:rPr>
      </w:pPr>
    </w:p>
    <w:p>
      <w:pPr>
        <w:ind w:left="1260" w:right="459" w:firstLine="648"/>
        <w:spacing w:after="0" w:line="279" w:lineRule="auto"/>
        <w:rPr>
          <w:sz w:val="20"/>
          <w:szCs w:val="20"/>
          <w:color w:val="auto"/>
        </w:rPr>
      </w:pPr>
      <w:r>
        <w:rPr>
          <w:rFonts w:ascii="Arial" w:cs="Arial" w:eastAsia="Arial" w:hAnsi="Arial"/>
          <w:sz w:val="17"/>
          <w:szCs w:val="17"/>
          <w:color w:val="auto"/>
        </w:rPr>
        <w:t>Since December 15, 2005, a consultant agreement is in place for an indefinite term with Rittershaus. The agreement can be terminated without notice by CureVac and with notice of three months to the end of the quarter by Rittershaus. In fiscal 2019, consulting fees of EUR 208k (2018: EUR 145k) were paid to the Rittershaus. Prof. Dr. Christof Hettich is a managing director of Rittershaus and dievini as well.</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Dr. Ingmar Hoerr</w:t>
      </w:r>
    </w:p>
    <w:p>
      <w:pPr>
        <w:spacing w:after="0" w:line="158" w:lineRule="exact"/>
        <w:rPr>
          <w:sz w:val="20"/>
          <w:szCs w:val="20"/>
          <w:color w:val="auto"/>
        </w:rPr>
      </w:pPr>
    </w:p>
    <w:p>
      <w:pPr>
        <w:ind w:left="1260" w:right="419" w:firstLine="648"/>
        <w:spacing w:after="0" w:line="259" w:lineRule="auto"/>
        <w:rPr>
          <w:sz w:val="20"/>
          <w:szCs w:val="20"/>
          <w:color w:val="auto"/>
        </w:rPr>
      </w:pPr>
      <w:r>
        <w:rPr>
          <w:rFonts w:ascii="Arial" w:cs="Arial" w:eastAsia="Arial" w:hAnsi="Arial"/>
          <w:sz w:val="18"/>
          <w:szCs w:val="18"/>
          <w:color w:val="auto"/>
        </w:rPr>
        <w:t>Since June 2018, an advisory agreement between CureVac and Mr. Hoerr was in place. This contract was terminated in March 2020 after the transition of Dr. Hoerr from CureVac’s supervisory board to its management board on March 10, 2020. In fiscal 2019, advisory fees of EUR 240k (2018: EUR 144k) were paid to Dr. Hoerr.</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Dietmar Hopp</w:t>
      </w:r>
    </w:p>
    <w:p>
      <w:pPr>
        <w:spacing w:after="0" w:line="144" w:lineRule="exact"/>
        <w:rPr>
          <w:sz w:val="20"/>
          <w:szCs w:val="20"/>
          <w:color w:val="auto"/>
        </w:rPr>
      </w:pPr>
    </w:p>
    <w:p>
      <w:pPr>
        <w:ind w:left="1260" w:right="699" w:firstLine="648"/>
        <w:spacing w:after="0" w:line="263" w:lineRule="auto"/>
        <w:rPr>
          <w:sz w:val="20"/>
          <w:szCs w:val="20"/>
          <w:color w:val="auto"/>
        </w:rPr>
      </w:pPr>
      <w:r>
        <w:rPr>
          <w:rFonts w:ascii="Arial" w:cs="Arial" w:eastAsia="Arial" w:hAnsi="Arial"/>
          <w:sz w:val="18"/>
          <w:szCs w:val="18"/>
          <w:color w:val="auto"/>
        </w:rPr>
        <w:t>During 2019, Dietmar Hopp, principal of dievini Hopp BioTech holding GmbH &amp; Co. KG (dievini), the majority shareholder of the Group, granted two convertible loans to the Group; see Note 12 Convertible loans for further information.</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20. Subsequent events</w:t>
      </w:r>
    </w:p>
    <w:p>
      <w:pPr>
        <w:spacing w:after="0" w:line="162" w:lineRule="exact"/>
        <w:rPr>
          <w:sz w:val="20"/>
          <w:szCs w:val="20"/>
          <w:color w:val="auto"/>
        </w:rPr>
      </w:pPr>
    </w:p>
    <w:p>
      <w:pPr>
        <w:ind w:left="1260" w:right="519" w:firstLine="648"/>
        <w:spacing w:after="0" w:line="273" w:lineRule="auto"/>
        <w:rPr>
          <w:sz w:val="20"/>
          <w:szCs w:val="20"/>
          <w:color w:val="auto"/>
        </w:rPr>
      </w:pPr>
      <w:r>
        <w:rPr>
          <w:rFonts w:ascii="Arial" w:cs="Arial" w:eastAsia="Arial" w:hAnsi="Arial"/>
          <w:sz w:val="17"/>
          <w:szCs w:val="17"/>
          <w:color w:val="auto"/>
        </w:rPr>
        <w:t>In January 2020, CureVac AG and CEPI announced an additional collaboration to develop a vaccine against the new coronavirus SARS-CoV-2. The aim of the cooperation is to safely advance vaccine candidates into clinical testing as quickly as possible. The agreement will build on the existing partnership between CureVac and CEPI to develop a rapid-response vaccine platform and includes additional initial funding of up to USD 8,300k by CEPI for accelerated vaccine development, manufacturing and clinical tests. For information relating to the existing collaboration with CEPI, see Note 3.</w:t>
      </w:r>
    </w:p>
    <w:p>
      <w:pPr>
        <w:spacing w:after="0" w:line="110" w:lineRule="exact"/>
        <w:rPr>
          <w:sz w:val="20"/>
          <w:szCs w:val="20"/>
          <w:color w:val="auto"/>
        </w:rPr>
      </w:pPr>
    </w:p>
    <w:p>
      <w:pPr>
        <w:ind w:left="1260" w:right="499" w:firstLine="648"/>
        <w:spacing w:after="0" w:line="263" w:lineRule="auto"/>
        <w:rPr>
          <w:sz w:val="20"/>
          <w:szCs w:val="20"/>
          <w:color w:val="auto"/>
        </w:rPr>
      </w:pPr>
      <w:r>
        <w:rPr>
          <w:rFonts w:ascii="Arial" w:cs="Arial" w:eastAsia="Arial" w:hAnsi="Arial"/>
          <w:sz w:val="18"/>
          <w:szCs w:val="18"/>
          <w:color w:val="auto"/>
        </w:rPr>
        <w:t>In March 2020, CureVac collected EUR 19,984k in funds due from Genmab in connection with issuance of Series B shares under the ISA and the related capital increase came into effect upon registration of the shares in the commercial register in February 2020.</w:t>
      </w:r>
    </w:p>
    <w:p>
      <w:pPr>
        <w:spacing w:after="0" w:line="103" w:lineRule="exact"/>
        <w:rPr>
          <w:sz w:val="20"/>
          <w:szCs w:val="20"/>
          <w:color w:val="auto"/>
        </w:rPr>
      </w:pPr>
    </w:p>
    <w:p>
      <w:pPr>
        <w:jc w:val="both"/>
        <w:ind w:left="1260" w:right="479" w:firstLine="648"/>
        <w:spacing w:after="0" w:line="259" w:lineRule="auto"/>
        <w:rPr>
          <w:sz w:val="20"/>
          <w:szCs w:val="20"/>
          <w:color w:val="auto"/>
        </w:rPr>
      </w:pPr>
      <w:r>
        <w:rPr>
          <w:rFonts w:ascii="Arial" w:cs="Arial" w:eastAsia="Arial" w:hAnsi="Arial"/>
          <w:sz w:val="18"/>
          <w:szCs w:val="18"/>
          <w:color w:val="auto"/>
        </w:rPr>
        <w:t>On March 10, 2020, the service agreement with Dan Menichella (the then-CEO of the Group) was discontinued. As a result, at this date, 805,520 of unvested options awarded to him vested immediately; this amount has been retrospectively adjusted to reflect the impact of the share split resulting from the corporate reorganization described in Note 1.</w:t>
      </w:r>
    </w:p>
    <w:p>
      <w:pPr>
        <w:spacing w:after="0" w:line="119" w:lineRule="exact"/>
        <w:rPr>
          <w:sz w:val="20"/>
          <w:szCs w:val="20"/>
          <w:color w:val="auto"/>
        </w:rPr>
      </w:pPr>
    </w:p>
    <w:p>
      <w:pPr>
        <w:ind w:left="1260" w:right="479" w:firstLine="648"/>
        <w:spacing w:after="0" w:line="254" w:lineRule="auto"/>
        <w:rPr>
          <w:sz w:val="20"/>
          <w:szCs w:val="20"/>
          <w:color w:val="auto"/>
        </w:rPr>
      </w:pPr>
      <w:r>
        <w:rPr>
          <w:rFonts w:ascii="Arial" w:cs="Arial" w:eastAsia="Arial" w:hAnsi="Arial"/>
          <w:sz w:val="18"/>
          <w:szCs w:val="18"/>
          <w:color w:val="auto"/>
        </w:rPr>
        <w:t>The COVID-19 pandemic, which began in December 2019 in China and has spread worldwide, has caused many governments to implement measures to slow the spread of the outbreak through quarantines, travel restrictions, heightened border scrutiny and other measures. The Company has taken a series of actions aimed at safeguarding the Company’s employees and business associates, including implementing a work-from-home policy for employees except for those related to our laboratory operations. The rapid development and fluidity of the situation presents uncertainty and risk with respect to the Company, its performance and its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74" w:name="page375"/>
    <w:bookmarkEnd w:id="374"/>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305435</wp:posOffset>
            </wp:positionV>
            <wp:extent cx="5212080" cy="2540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5212080" cy="2540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365760</wp:posOffset>
            </wp:positionV>
            <wp:extent cx="521208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380"/>
        <w:spacing w:after="0"/>
        <w:rPr>
          <w:sz w:val="20"/>
          <w:szCs w:val="20"/>
          <w:color w:val="auto"/>
        </w:rPr>
      </w:pPr>
      <w:r>
        <w:rPr>
          <w:rFonts w:ascii="Arial" w:cs="Arial" w:eastAsia="Arial" w:hAnsi="Arial"/>
          <w:sz w:val="29"/>
          <w:szCs w:val="29"/>
          <w:b w:val="1"/>
          <w:bCs w:val="1"/>
          <w:color w:val="auto"/>
        </w:rPr>
        <w:t>5,000,000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236855</wp:posOffset>
            </wp:positionV>
            <wp:extent cx="2468880" cy="86550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2468880"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860"/>
        <w:spacing w:after="0"/>
        <w:rPr>
          <w:sz w:val="20"/>
          <w:szCs w:val="20"/>
          <w:color w:val="auto"/>
        </w:rPr>
      </w:pPr>
      <w:r>
        <w:rPr>
          <w:rFonts w:ascii="Arial" w:cs="Arial" w:eastAsia="Arial" w:hAnsi="Arial"/>
          <w:sz w:val="36"/>
          <w:szCs w:val="36"/>
          <w:b w:val="1"/>
          <w:bCs w:val="1"/>
          <w:color w:val="auto"/>
        </w:rPr>
        <w:t>CureVac N.V.</w:t>
      </w:r>
    </w:p>
    <w:p>
      <w:pPr>
        <w:spacing w:after="0" w:line="337" w:lineRule="exact"/>
        <w:rPr>
          <w:sz w:val="20"/>
          <w:szCs w:val="20"/>
          <w:color w:val="auto"/>
        </w:rPr>
      </w:pPr>
    </w:p>
    <w:p>
      <w:pPr>
        <w:ind w:left="4500"/>
        <w:spacing w:after="0"/>
        <w:rPr>
          <w:sz w:val="20"/>
          <w:szCs w:val="20"/>
          <w:color w:val="auto"/>
        </w:rPr>
      </w:pPr>
      <w:r>
        <w:rPr>
          <w:rFonts w:ascii="Arial" w:cs="Arial" w:eastAsia="Arial" w:hAnsi="Arial"/>
          <w:sz w:val="25"/>
          <w:szCs w:val="25"/>
          <w:color w:val="auto"/>
        </w:rPr>
        <w:t>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ind w:right="2839"/>
        <w:spacing w:after="0"/>
        <w:rPr>
          <w:sz w:val="20"/>
          <w:szCs w:val="20"/>
          <w:color w:val="auto"/>
        </w:rPr>
      </w:pPr>
      <w:r>
        <w:rPr>
          <w:rFonts w:ascii="Arial" w:cs="Arial" w:eastAsia="Arial" w:hAnsi="Arial"/>
          <w:sz w:val="18"/>
          <w:szCs w:val="18"/>
          <w:b w:val="1"/>
          <w:bCs w:val="1"/>
          <w:color w:val="auto"/>
        </w:rPr>
        <w:t>PRELIMINARY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860"/>
        <w:spacing w:after="0"/>
        <w:rPr>
          <w:sz w:val="20"/>
          <w:szCs w:val="20"/>
          <w:color w:val="auto"/>
        </w:rPr>
      </w:pPr>
      <w:r>
        <w:rPr>
          <w:rFonts w:ascii="Arial" w:cs="Arial" w:eastAsia="Arial" w:hAnsi="Arial"/>
          <w:sz w:val="29"/>
          <w:szCs w:val="29"/>
          <w:b w:val="1"/>
          <w:bCs w:val="1"/>
          <w:color w:val="auto"/>
        </w:rPr>
        <w:t>BofA Securities</w:t>
      </w:r>
    </w:p>
    <w:p>
      <w:pPr>
        <w:spacing w:after="0" w:line="99" w:lineRule="exact"/>
        <w:rPr>
          <w:sz w:val="20"/>
          <w:szCs w:val="20"/>
          <w:color w:val="auto"/>
        </w:rPr>
      </w:pPr>
    </w:p>
    <w:p>
      <w:pPr>
        <w:jc w:val="center"/>
        <w:ind w:right="-860"/>
        <w:spacing w:after="0"/>
        <w:rPr>
          <w:sz w:val="20"/>
          <w:szCs w:val="20"/>
          <w:color w:val="auto"/>
        </w:rPr>
      </w:pPr>
      <w:r>
        <w:rPr>
          <w:rFonts w:ascii="Arial" w:cs="Arial" w:eastAsia="Arial" w:hAnsi="Arial"/>
          <w:sz w:val="29"/>
          <w:szCs w:val="29"/>
          <w:b w:val="1"/>
          <w:bCs w:val="1"/>
          <w:color w:val="auto"/>
        </w:rPr>
        <w:t>Jefferies</w:t>
      </w:r>
    </w:p>
    <w:p>
      <w:pPr>
        <w:spacing w:after="0" w:line="99" w:lineRule="exact"/>
        <w:rPr>
          <w:sz w:val="20"/>
          <w:szCs w:val="20"/>
          <w:color w:val="auto"/>
        </w:rPr>
      </w:pPr>
    </w:p>
    <w:p>
      <w:pPr>
        <w:jc w:val="center"/>
        <w:ind w:right="-860"/>
        <w:spacing w:after="0"/>
        <w:rPr>
          <w:sz w:val="20"/>
          <w:szCs w:val="20"/>
          <w:color w:val="auto"/>
        </w:rPr>
      </w:pPr>
      <w:r>
        <w:rPr>
          <w:rFonts w:ascii="Arial" w:cs="Arial" w:eastAsia="Arial" w:hAnsi="Arial"/>
          <w:sz w:val="29"/>
          <w:szCs w:val="29"/>
          <w:b w:val="1"/>
          <w:bCs w:val="1"/>
          <w:color w:val="auto"/>
        </w:rPr>
        <w:t>Evercore ISI</w:t>
      </w:r>
    </w:p>
    <w:p>
      <w:pPr>
        <w:spacing w:after="0" w:line="108" w:lineRule="exact"/>
        <w:rPr>
          <w:sz w:val="20"/>
          <w:szCs w:val="20"/>
          <w:color w:val="auto"/>
        </w:rPr>
      </w:pPr>
    </w:p>
    <w:p>
      <w:pPr>
        <w:jc w:val="center"/>
        <w:ind w:right="-860"/>
        <w:spacing w:after="0"/>
        <w:rPr>
          <w:sz w:val="20"/>
          <w:szCs w:val="20"/>
          <w:color w:val="auto"/>
        </w:rPr>
      </w:pPr>
      <w:r>
        <w:rPr>
          <w:rFonts w:ascii="Arial" w:cs="Arial" w:eastAsia="Arial" w:hAnsi="Arial"/>
          <w:sz w:val="25"/>
          <w:szCs w:val="25"/>
          <w:b w:val="1"/>
          <w:bCs w:val="1"/>
          <w:color w:val="auto"/>
        </w:rPr>
        <w:t>UBS Investment Bank</w:t>
      </w:r>
    </w:p>
    <w:p>
      <w:pPr>
        <w:spacing w:after="0" w:line="104" w:lineRule="exact"/>
        <w:rPr>
          <w:sz w:val="20"/>
          <w:szCs w:val="20"/>
          <w:color w:val="auto"/>
        </w:rPr>
      </w:pPr>
    </w:p>
    <w:p>
      <w:pPr>
        <w:jc w:val="center"/>
        <w:ind w:right="-860"/>
        <w:spacing w:after="0"/>
        <w:rPr>
          <w:sz w:val="20"/>
          <w:szCs w:val="20"/>
          <w:color w:val="auto"/>
        </w:rPr>
      </w:pPr>
      <w:r>
        <w:rPr>
          <w:rFonts w:ascii="Arial" w:cs="Arial" w:eastAsia="Arial" w:hAnsi="Arial"/>
          <w:sz w:val="25"/>
          <w:szCs w:val="25"/>
          <w:b w:val="1"/>
          <w:bCs w:val="1"/>
          <w:color w:val="auto"/>
        </w:rPr>
        <w:t>Guggenheim Securities</w:t>
      </w:r>
    </w:p>
    <w:p>
      <w:pPr>
        <w:spacing w:after="0" w:line="104" w:lineRule="exact"/>
        <w:rPr>
          <w:sz w:val="20"/>
          <w:szCs w:val="20"/>
          <w:color w:val="auto"/>
        </w:rPr>
      </w:pPr>
    </w:p>
    <w:p>
      <w:pPr>
        <w:jc w:val="center"/>
        <w:ind w:right="-860"/>
        <w:spacing w:after="0"/>
        <w:rPr>
          <w:sz w:val="20"/>
          <w:szCs w:val="20"/>
          <w:color w:val="auto"/>
        </w:rPr>
      </w:pPr>
      <w:r>
        <w:rPr>
          <w:rFonts w:ascii="Arial" w:cs="Arial" w:eastAsia="Arial" w:hAnsi="Arial"/>
          <w:sz w:val="25"/>
          <w:szCs w:val="25"/>
          <w:b w:val="1"/>
          <w:bCs w:val="1"/>
          <w:color w:val="auto"/>
        </w:rPr>
        <w:t>Berenberg</w:t>
      </w:r>
    </w:p>
    <w:p>
      <w:pPr>
        <w:spacing w:after="0" w:line="104" w:lineRule="exact"/>
        <w:rPr>
          <w:sz w:val="20"/>
          <w:szCs w:val="20"/>
          <w:color w:val="auto"/>
        </w:rPr>
      </w:pPr>
    </w:p>
    <w:p>
      <w:pPr>
        <w:jc w:val="center"/>
        <w:ind w:right="-860"/>
        <w:spacing w:after="0"/>
        <w:rPr>
          <w:sz w:val="20"/>
          <w:szCs w:val="20"/>
          <w:color w:val="auto"/>
        </w:rPr>
      </w:pPr>
      <w:r>
        <w:rPr>
          <w:rFonts w:ascii="Arial" w:cs="Arial" w:eastAsia="Arial" w:hAnsi="Arial"/>
          <w:sz w:val="25"/>
          <w:szCs w:val="25"/>
          <w:b w:val="1"/>
          <w:bCs w:val="1"/>
          <w:color w:val="auto"/>
        </w:rPr>
        <w:t>Kempen &amp;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531495</wp:posOffset>
            </wp:positionV>
            <wp:extent cx="521208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574675</wp:posOffset>
            </wp:positionV>
            <wp:extent cx="5212080" cy="171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848995</wp:posOffset>
            </wp:positionV>
            <wp:extent cx="6806565" cy="171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75" w:name="page376"/>
    <w:bookmarkEnd w:id="375"/>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25" w:lineRule="exact"/>
        <w:rPr>
          <w:sz w:val="20"/>
          <w:szCs w:val="20"/>
          <w:color w:val="auto"/>
        </w:rPr>
      </w:pPr>
    </w:p>
    <w:p>
      <w:pPr>
        <w:ind w:left="1260"/>
        <w:spacing w:after="0"/>
        <w:tabs>
          <w:tab w:leader="none" w:pos="1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Indemnification of Directors and Officers</w:t>
      </w:r>
    </w:p>
    <w:p>
      <w:pPr>
        <w:spacing w:after="0" w:line="162" w:lineRule="exact"/>
        <w:rPr>
          <w:sz w:val="20"/>
          <w:szCs w:val="20"/>
          <w:color w:val="auto"/>
        </w:rPr>
      </w:pPr>
    </w:p>
    <w:p>
      <w:pPr>
        <w:ind w:left="1260" w:right="519" w:firstLine="648"/>
        <w:spacing w:after="0" w:line="241" w:lineRule="auto"/>
        <w:rPr>
          <w:sz w:val="20"/>
          <w:szCs w:val="20"/>
          <w:color w:val="auto"/>
        </w:rPr>
      </w:pPr>
      <w:r>
        <w:rPr>
          <w:rFonts w:ascii="Arial" w:cs="Arial" w:eastAsia="Arial" w:hAnsi="Arial"/>
          <w:sz w:val="18"/>
          <w:szCs w:val="18"/>
          <w:color w:val="auto"/>
        </w:rPr>
        <w:t>Under Dutch law, our managing directors and our supervisory directors may be held liable by the registrant for damages in the event of improper or negligent performance of their duties. They may be jointly and severally liable for damages to the registrant and third parties for infringement of our articles of association or certain provisions of Dutch law. In certain circumstances, they may also incur additional specific civil and criminal liabilities.</w:t>
      </w:r>
    </w:p>
    <w:p>
      <w:pPr>
        <w:spacing w:after="0" w:line="108" w:lineRule="exact"/>
        <w:rPr>
          <w:sz w:val="20"/>
          <w:szCs w:val="20"/>
          <w:color w:val="auto"/>
        </w:rPr>
      </w:pPr>
    </w:p>
    <w:p>
      <w:pPr>
        <w:ind w:left="1260" w:right="979" w:firstLine="648"/>
        <w:spacing w:after="0" w:line="243" w:lineRule="auto"/>
        <w:rPr>
          <w:sz w:val="20"/>
          <w:szCs w:val="20"/>
          <w:color w:val="auto"/>
        </w:rPr>
      </w:pPr>
      <w:r>
        <w:rPr>
          <w:rFonts w:ascii="Arial" w:cs="Arial" w:eastAsia="Arial" w:hAnsi="Arial"/>
          <w:sz w:val="18"/>
          <w:szCs w:val="18"/>
          <w:color w:val="auto"/>
        </w:rPr>
        <w:t>The liability of our managing directors and supervisory directors and other key employees is covered by a directors’ and officers’ liability insurance policy. This policy will contain customary limitations and exclusions, such as willful misconduct or intentional recklessness (</w:t>
      </w:r>
      <w:r>
        <w:rPr>
          <w:rFonts w:ascii="Arial" w:cs="Arial" w:eastAsia="Arial" w:hAnsi="Arial"/>
          <w:sz w:val="18"/>
          <w:szCs w:val="18"/>
          <w:i w:val="1"/>
          <w:iCs w:val="1"/>
          <w:color w:val="auto"/>
        </w:rPr>
        <w:t>opzet of bewuste</w:t>
      </w:r>
      <w:r>
        <w:rPr>
          <w:rFonts w:ascii="Arial" w:cs="Arial" w:eastAsia="Arial" w:hAnsi="Arial"/>
          <w:sz w:val="18"/>
          <w:szCs w:val="18"/>
          <w:color w:val="auto"/>
        </w:rPr>
        <w:t xml:space="preserve"> </w:t>
      </w:r>
      <w:r>
        <w:rPr>
          <w:rFonts w:ascii="Arial" w:cs="Arial" w:eastAsia="Arial" w:hAnsi="Arial"/>
          <w:sz w:val="18"/>
          <w:szCs w:val="18"/>
          <w:i w:val="1"/>
          <w:iCs w:val="1"/>
          <w:color w:val="auto"/>
        </w:rPr>
        <w:t>roekeloosheid</w:t>
      </w:r>
      <w:r>
        <w:rPr>
          <w:rFonts w:ascii="Arial" w:cs="Arial" w:eastAsia="Arial" w:hAnsi="Arial"/>
          <w:sz w:val="18"/>
          <w:szCs w:val="18"/>
          <w:color w:val="auto"/>
        </w:rPr>
        <w:t>).</w:t>
      </w:r>
    </w:p>
    <w:p>
      <w:pPr>
        <w:spacing w:after="0" w:line="120" w:lineRule="exact"/>
        <w:rPr>
          <w:sz w:val="20"/>
          <w:szCs w:val="20"/>
          <w:color w:val="auto"/>
        </w:rPr>
      </w:pPr>
    </w:p>
    <w:p>
      <w:pPr>
        <w:ind w:left="1260" w:right="519" w:firstLine="648"/>
        <w:spacing w:after="0" w:line="270" w:lineRule="auto"/>
        <w:rPr>
          <w:sz w:val="20"/>
          <w:szCs w:val="20"/>
          <w:color w:val="auto"/>
        </w:rPr>
      </w:pPr>
      <w:r>
        <w:rPr>
          <w:rFonts w:ascii="Arial" w:cs="Arial" w:eastAsia="Arial" w:hAnsi="Arial"/>
          <w:sz w:val="17"/>
          <w:szCs w:val="17"/>
          <w:color w:val="auto"/>
        </w:rPr>
        <w:t>Our current and former managing directors and supervisory directors (and such other current or former officer or employee as designated by the management board, subject to approval by our supervisory board) have the benefit of the following indemnification provisions in our articles of association:</w:t>
      </w:r>
    </w:p>
    <w:p>
      <w:pPr>
        <w:spacing w:after="0" w:line="96"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Indemnified persons shall be reimbursed for:</w:t>
      </w:r>
    </w:p>
    <w:p>
      <w:pPr>
        <w:spacing w:after="0" w:line="144" w:lineRule="exact"/>
        <w:rPr>
          <w:sz w:val="20"/>
          <w:szCs w:val="20"/>
          <w:color w:val="auto"/>
        </w:rPr>
      </w:pPr>
    </w:p>
    <w:p>
      <w:pPr>
        <w:ind w:left="2560" w:hanging="652"/>
        <w:spacing w:after="0"/>
        <w:tabs>
          <w:tab w:leader="none" w:pos="25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any financial losses or damages incurred by such indemnified person; and</w:t>
      </w:r>
    </w:p>
    <w:p>
      <w:pPr>
        <w:spacing w:after="0" w:line="144" w:lineRule="exact"/>
        <w:rPr>
          <w:rFonts w:ascii="Arial" w:cs="Arial" w:eastAsia="Arial" w:hAnsi="Arial"/>
          <w:sz w:val="18"/>
          <w:szCs w:val="18"/>
          <w:color w:val="auto"/>
        </w:rPr>
      </w:pPr>
    </w:p>
    <w:p>
      <w:pPr>
        <w:ind w:left="2560" w:right="419" w:hanging="652"/>
        <w:spacing w:after="0" w:line="257" w:lineRule="auto"/>
        <w:tabs>
          <w:tab w:leader="none" w:pos="25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any expense reasonably paid or incurred by such indemnified person in connection with any threatened, pending or completed suit, claim, action or legal proceedings of a civil, criminal, administrative or other nature, formal or informal, in which he becomes involved, in each case to the extent this relates to his current or former position with us and/or a group company and in each case to the extent permitted by applicable law.</w:t>
      </w:r>
    </w:p>
    <w:p>
      <w:pPr>
        <w:spacing w:after="0" w:line="120"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No indemnification shall be given to an indemnified person:</w:t>
      </w:r>
    </w:p>
    <w:p>
      <w:pPr>
        <w:spacing w:after="0" w:line="144" w:lineRule="exact"/>
        <w:rPr>
          <w:sz w:val="20"/>
          <w:szCs w:val="20"/>
          <w:color w:val="auto"/>
        </w:rPr>
      </w:pPr>
    </w:p>
    <w:p>
      <w:pPr>
        <w:ind w:left="2560" w:right="519" w:hanging="652"/>
        <w:spacing w:after="0" w:line="255" w:lineRule="auto"/>
        <w:tabs>
          <w:tab w:leader="none" w:pos="25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if a competent court or arbitral tribunal has established, without having (or no longer having) the possibility for appeal, that the acts or omissions of such indemnified person that led to the financial losses, damages, expenses, suit, claim, action or legal proceedings as described above are of an unlawful nature (including acts or omissions, which are considered to constitute malice, gross negligence, intentional recklessness and/or serious culpability attributable to such indemnified person);</w:t>
      </w:r>
    </w:p>
    <w:p>
      <w:pPr>
        <w:spacing w:after="0" w:line="111" w:lineRule="exact"/>
        <w:rPr>
          <w:rFonts w:ascii="Arial" w:cs="Arial" w:eastAsia="Arial" w:hAnsi="Arial"/>
          <w:sz w:val="18"/>
          <w:szCs w:val="18"/>
          <w:color w:val="auto"/>
        </w:rPr>
      </w:pPr>
    </w:p>
    <w:p>
      <w:pPr>
        <w:ind w:left="2560" w:right="619" w:hanging="652"/>
        <w:spacing w:after="0" w:line="286" w:lineRule="auto"/>
        <w:tabs>
          <w:tab w:leader="none" w:pos="256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to the extent that his financial losses, damages and expenses are covered under insurance and the relevant insurer has settled, or has provided reimbursement for, these financial losses, damages and expenses (or has irrevocably undertaken to do so);</w:t>
      </w:r>
    </w:p>
    <w:p>
      <w:pPr>
        <w:spacing w:after="0" w:line="97" w:lineRule="exact"/>
        <w:rPr>
          <w:rFonts w:ascii="Arial" w:cs="Arial" w:eastAsia="Arial" w:hAnsi="Arial"/>
          <w:sz w:val="17"/>
          <w:szCs w:val="17"/>
          <w:color w:val="auto"/>
        </w:rPr>
      </w:pPr>
    </w:p>
    <w:p>
      <w:pPr>
        <w:ind w:left="2560" w:right="539" w:hanging="652"/>
        <w:spacing w:after="0" w:line="301" w:lineRule="auto"/>
        <w:tabs>
          <w:tab w:leader="none" w:pos="256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in relation to proceedings brought by such indemnified person against us, except for proceedings brought to enforce indemnification to which he is entitled pursuant to our articles of association, pursuant to an agreement between such indemnified person and us, which has been approved by the management board or pursuant to insurance taken out</w:t>
      </w:r>
    </w:p>
    <w:p>
      <w:pPr>
        <w:spacing w:after="0" w:line="76"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by us for the benefit of such indemnified person;</w:t>
      </w:r>
    </w:p>
    <w:p>
      <w:pPr>
        <w:spacing w:after="0" w:line="158" w:lineRule="exact"/>
        <w:rPr>
          <w:sz w:val="20"/>
          <w:szCs w:val="20"/>
          <w:color w:val="auto"/>
        </w:rPr>
      </w:pPr>
    </w:p>
    <w:p>
      <w:pPr>
        <w:ind w:left="2560" w:right="599" w:hanging="652"/>
        <w:spacing w:after="0" w:line="277" w:lineRule="auto"/>
        <w:tabs>
          <w:tab w:leader="none" w:pos="25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for any financial losses, damages or expenses incurred in connection with a settlement of any proceedings effected without the our prior consent.</w:t>
      </w:r>
    </w:p>
    <w:p>
      <w:pPr>
        <w:spacing w:after="0" w:line="103" w:lineRule="exact"/>
        <w:rPr>
          <w:sz w:val="20"/>
          <w:szCs w:val="20"/>
          <w:color w:val="auto"/>
        </w:rPr>
      </w:pPr>
    </w:p>
    <w:p>
      <w:pPr>
        <w:ind w:left="1260" w:right="479" w:firstLine="648"/>
        <w:spacing w:after="0" w:line="261" w:lineRule="auto"/>
        <w:rPr>
          <w:sz w:val="20"/>
          <w:szCs w:val="20"/>
          <w:color w:val="auto"/>
        </w:rPr>
      </w:pPr>
      <w:r>
        <w:rPr>
          <w:rFonts w:ascii="Arial" w:cs="Arial" w:eastAsia="Arial" w:hAnsi="Arial"/>
          <w:sz w:val="18"/>
          <w:szCs w:val="18"/>
          <w:color w:val="auto"/>
        </w:rPr>
        <w:t>Under our articles of association, our management board may stipulate additional terms, conditions and restrictions in relation to the indemnification described above.</w:t>
      </w:r>
    </w:p>
    <w:p>
      <w:pPr>
        <w:spacing w:after="0" w:line="153" w:lineRule="exact"/>
        <w:rPr>
          <w:sz w:val="20"/>
          <w:szCs w:val="20"/>
          <w:color w:val="auto"/>
        </w:rPr>
      </w:pPr>
    </w:p>
    <w:p>
      <w:pPr>
        <w:ind w:left="1260"/>
        <w:spacing w:after="0"/>
        <w:tabs>
          <w:tab w:leader="none" w:pos="19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Recent Sales of Unregistered Securities</w:t>
      </w:r>
    </w:p>
    <w:p>
      <w:pPr>
        <w:spacing w:after="0" w:line="162" w:lineRule="exact"/>
        <w:rPr>
          <w:sz w:val="20"/>
          <w:szCs w:val="20"/>
          <w:color w:val="auto"/>
        </w:rPr>
      </w:pPr>
    </w:p>
    <w:p>
      <w:pPr>
        <w:ind w:left="1260" w:right="579" w:firstLine="648"/>
        <w:spacing w:after="0" w:line="270" w:lineRule="auto"/>
        <w:rPr>
          <w:sz w:val="20"/>
          <w:szCs w:val="20"/>
          <w:color w:val="auto"/>
        </w:rPr>
      </w:pPr>
      <w:r>
        <w:rPr>
          <w:rFonts w:ascii="Arial" w:cs="Arial" w:eastAsia="Arial" w:hAnsi="Arial"/>
          <w:sz w:val="17"/>
          <w:szCs w:val="17"/>
          <w:color w:val="auto"/>
        </w:rPr>
        <w:t>Set forth below are the sales of all securities sold by CureVac AG or CureVac N.V. within the past three years (i.e., since January 1, 2017 up to the date of this registration statement) which were not registered under the Securities Act (and in each case not giving effect to the Corporate Reorganization):</w:t>
      </w:r>
    </w:p>
    <w:p>
      <w:pPr>
        <w:sectPr>
          <w:pgSz w:w="11900" w:h="16838" w:orient="portrait"/>
          <w:cols w:equalWidth="0" w:num="1">
            <w:col w:w="9879"/>
          </w:cols>
          <w:pgMar w:left="580" w:top="131" w:right="1440" w:bottom="1440" w:gutter="0" w:footer="0" w:header="0"/>
        </w:sectPr>
      </w:pPr>
    </w:p>
    <w:p>
      <w:pPr>
        <w:spacing w:after="0" w:line="33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76" w:name="page377"/>
    <w:bookmarkEnd w:id="376"/>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999" w:firstLine="648"/>
        <w:spacing w:after="0" w:line="263" w:lineRule="auto"/>
        <w:rPr>
          <w:sz w:val="20"/>
          <w:szCs w:val="20"/>
          <w:color w:val="auto"/>
        </w:rPr>
      </w:pPr>
      <w:r>
        <w:rPr>
          <w:rFonts w:ascii="Arial" w:cs="Arial" w:eastAsia="Arial" w:hAnsi="Arial"/>
          <w:sz w:val="18"/>
          <w:szCs w:val="18"/>
          <w:color w:val="auto"/>
        </w:rPr>
        <w:t>As registered in the commercial register on December 27, 2017, CureVac AG issued 21,078 Series B shares. In addition to the nominal value of the shares (€21,078), the shareholders made cash contributions into the our capital reserves of €45,000,000.</w:t>
      </w:r>
    </w:p>
    <w:p>
      <w:pPr>
        <w:spacing w:after="0" w:line="116" w:lineRule="exact"/>
        <w:rPr>
          <w:sz w:val="20"/>
          <w:szCs w:val="20"/>
          <w:color w:val="auto"/>
        </w:rPr>
      </w:pPr>
    </w:p>
    <w:p>
      <w:pPr>
        <w:ind w:left="1260" w:right="459" w:firstLine="648"/>
        <w:spacing w:after="0" w:line="263" w:lineRule="auto"/>
        <w:rPr>
          <w:sz w:val="20"/>
          <w:szCs w:val="20"/>
          <w:color w:val="auto"/>
        </w:rPr>
      </w:pPr>
      <w:r>
        <w:rPr>
          <w:rFonts w:ascii="Arial" w:cs="Arial" w:eastAsia="Arial" w:hAnsi="Arial"/>
          <w:sz w:val="18"/>
          <w:szCs w:val="18"/>
          <w:color w:val="auto"/>
        </w:rPr>
        <w:t>As registered in the commercial register on February 18, 2020, CureVac AG issued 16,345 Series B shares. In addition to the nominal value of the shares (€16,345), the shareholders made cash contributions into our capital reserves of €19,983,655.</w:t>
      </w:r>
    </w:p>
    <w:p>
      <w:pPr>
        <w:spacing w:after="0" w:line="116" w:lineRule="exact"/>
        <w:rPr>
          <w:sz w:val="20"/>
          <w:szCs w:val="20"/>
          <w:color w:val="auto"/>
        </w:rPr>
      </w:pPr>
    </w:p>
    <w:p>
      <w:pPr>
        <w:jc w:val="both"/>
        <w:ind w:left="1260" w:right="539" w:firstLine="648"/>
        <w:spacing w:after="0" w:line="263" w:lineRule="auto"/>
        <w:rPr>
          <w:sz w:val="20"/>
          <w:szCs w:val="20"/>
          <w:color w:val="auto"/>
        </w:rPr>
      </w:pPr>
      <w:r>
        <w:rPr>
          <w:rFonts w:ascii="Arial" w:cs="Arial" w:eastAsia="Arial" w:hAnsi="Arial"/>
          <w:sz w:val="18"/>
          <w:szCs w:val="18"/>
          <w:color w:val="auto"/>
        </w:rPr>
        <w:t>As registered in the commercial register on July 27, 2020, CureVac AG issued 1,123,503 Series B shares. In addition to the nominal value of the shares (€418,466), the shareholders made cash contributions into our capital reserves of €558,861,343.</w:t>
      </w:r>
    </w:p>
    <w:p>
      <w:pPr>
        <w:spacing w:after="0" w:line="103"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On August 18, 2020, concurrent with the consummation of our initial public offering, CureVac N.V.</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issued 7,375,000 common shares to DH-LT-Investments GmbH at an issue price per share of USD 16.00.</w:t>
      </w:r>
    </w:p>
    <w:p>
      <w:pPr>
        <w:spacing w:after="0" w:line="155" w:lineRule="exact"/>
        <w:rPr>
          <w:sz w:val="20"/>
          <w:szCs w:val="20"/>
          <w:color w:val="auto"/>
        </w:rPr>
      </w:pPr>
    </w:p>
    <w:p>
      <w:pPr>
        <w:ind w:left="1260" w:right="439" w:firstLine="648"/>
        <w:spacing w:after="0" w:line="263" w:lineRule="auto"/>
        <w:rPr>
          <w:sz w:val="20"/>
          <w:szCs w:val="20"/>
          <w:color w:val="auto"/>
        </w:rPr>
      </w:pPr>
      <w:r>
        <w:rPr>
          <w:rFonts w:ascii="Arial" w:cs="Arial" w:eastAsia="Arial" w:hAnsi="Arial"/>
          <w:sz w:val="18"/>
          <w:szCs w:val="18"/>
          <w:color w:val="auto"/>
        </w:rPr>
        <w:t>The issuances of restricted securities in the transactions described above were deemed to be exempt from registration under the Securities Act in reliance upon the Section 4(a)(2) of the Securities Act and/or Regulation S promulgated under the Securities Act.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Exhibits</w:t>
      </w:r>
    </w:p>
    <w:p>
      <w:pPr>
        <w:spacing w:after="0" w:line="175" w:lineRule="exact"/>
        <w:rPr>
          <w:sz w:val="20"/>
          <w:szCs w:val="20"/>
          <w:color w:val="auto"/>
        </w:rPr>
      </w:pPr>
    </w:p>
    <w:p>
      <w:pPr>
        <w:ind w:left="1900" w:hanging="640"/>
        <w:spacing w:after="0"/>
        <w:tabs>
          <w:tab w:leader="none" w:pos="19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registration statement:</w:t>
      </w:r>
    </w:p>
    <w:p>
      <w:pPr>
        <w:spacing w:after="0" w:line="252" w:lineRule="exact"/>
        <w:rPr>
          <w:sz w:val="20"/>
          <w:szCs w:val="20"/>
          <w:color w:val="auto"/>
        </w:rPr>
      </w:pPr>
    </w:p>
    <w:p>
      <w:pPr>
        <w:ind w:left="1360"/>
        <w:spacing w:after="0"/>
        <w:tabs>
          <w:tab w:leader="none" w:pos="2060" w:val="left"/>
        </w:tabs>
        <w:rPr>
          <w:rFonts w:ascii="Arial" w:cs="Arial" w:eastAsia="Arial" w:hAnsi="Arial"/>
          <w:sz w:val="17"/>
          <w:szCs w:val="17"/>
          <w:u w:val="single" w:color="auto"/>
          <w:color w:val="0000EE"/>
        </w:rPr>
      </w:pPr>
      <w:r>
        <w:rPr>
          <w:rFonts w:ascii="Arial" w:cs="Arial" w:eastAsia="Arial" w:hAnsi="Arial"/>
          <w:sz w:val="18"/>
          <w:szCs w:val="18"/>
          <w:color w:val="auto"/>
        </w:rPr>
        <w:t>1.1</w:t>
      </w:r>
      <w:r>
        <w:rPr>
          <w:sz w:val="20"/>
          <w:szCs w:val="20"/>
          <w:color w:val="auto"/>
        </w:rPr>
        <w:tab/>
      </w:r>
      <w:hyperlink w:anchor="page386">
        <w:r>
          <w:rPr>
            <w:rFonts w:ascii="Arial" w:cs="Arial" w:eastAsia="Arial" w:hAnsi="Arial"/>
            <w:sz w:val="17"/>
            <w:szCs w:val="17"/>
            <w:u w:val="single" w:color="auto"/>
            <w:color w:val="0000EE"/>
          </w:rPr>
          <w:t>Form of Underwriting Agreement.</w:t>
        </w:r>
      </w:hyperlink>
    </w:p>
    <w:p>
      <w:pPr>
        <w:spacing w:after="0" w:line="77" w:lineRule="exact"/>
        <w:rPr>
          <w:sz w:val="20"/>
          <w:szCs w:val="20"/>
          <w:color w:val="auto"/>
        </w:rPr>
      </w:pPr>
    </w:p>
    <w:p>
      <w:pPr>
        <w:ind w:left="2080" w:right="939" w:hanging="719"/>
        <w:spacing w:after="0" w:line="277"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798">
        <w:r>
          <w:rPr>
            <w:rFonts w:ascii="Arial" w:cs="Arial" w:eastAsia="Arial" w:hAnsi="Arial"/>
            <w:sz w:val="18"/>
            <w:szCs w:val="18"/>
            <w:u w:val="single" w:color="auto"/>
            <w:color w:val="0000EE"/>
          </w:rPr>
          <w:t>Form of Articles of Association of CureVac N.V. (translated into English) (incorporated by</w:t>
        </w:r>
      </w:hyperlink>
      <w:r>
        <w:rPr>
          <w:rFonts w:ascii="Arial" w:cs="Arial" w:eastAsia="Arial" w:hAnsi="Arial"/>
          <w:sz w:val="18"/>
          <w:szCs w:val="18"/>
          <w:u w:val="single" w:color="auto"/>
          <w:color w:val="0000EE"/>
        </w:rPr>
        <w:t xml:space="preserve"> </w:t>
      </w:r>
      <w:hyperlink r:id="rId798">
        <w:r>
          <w:rPr>
            <w:rFonts w:ascii="Arial" w:cs="Arial" w:eastAsia="Arial" w:hAnsi="Arial"/>
            <w:sz w:val="18"/>
            <w:szCs w:val="18"/>
            <w:u w:val="single" w:color="auto"/>
            <w:color w:val="0000EE"/>
          </w:rPr>
          <w:t>reference to Exhibit 3.1 to the Company’s Form F-1 filed on August 10, 2020).</w:t>
        </w:r>
      </w:hyperlink>
    </w:p>
    <w:p>
      <w:pPr>
        <w:spacing w:after="0" w:line="22" w:lineRule="exact"/>
        <w:rPr>
          <w:sz w:val="20"/>
          <w:szCs w:val="20"/>
          <w:color w:val="auto"/>
        </w:rPr>
      </w:pPr>
    </w:p>
    <w:p>
      <w:pPr>
        <w:ind w:left="2080" w:right="659" w:hanging="719"/>
        <w:spacing w:after="0" w:line="277"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799">
        <w:r>
          <w:rPr>
            <w:rFonts w:ascii="Arial" w:cs="Arial" w:eastAsia="Arial" w:hAnsi="Arial"/>
            <w:sz w:val="18"/>
            <w:szCs w:val="18"/>
            <w:u w:val="single" w:color="auto"/>
            <w:color w:val="0000EE"/>
          </w:rPr>
          <w:t>Form of internal rules of the management board of CureVac N.V. (incorporated by reference to</w:t>
        </w:r>
      </w:hyperlink>
      <w:r>
        <w:rPr>
          <w:rFonts w:ascii="Arial" w:cs="Arial" w:eastAsia="Arial" w:hAnsi="Arial"/>
          <w:sz w:val="18"/>
          <w:szCs w:val="18"/>
          <w:u w:val="single" w:color="auto"/>
          <w:color w:val="0000EE"/>
        </w:rPr>
        <w:t xml:space="preserve"> </w:t>
      </w:r>
      <w:hyperlink r:id="rId799">
        <w:r>
          <w:rPr>
            <w:rFonts w:ascii="Arial" w:cs="Arial" w:eastAsia="Arial" w:hAnsi="Arial"/>
            <w:sz w:val="18"/>
            <w:szCs w:val="18"/>
            <w:u w:val="single" w:color="auto"/>
            <w:color w:val="0000EE"/>
          </w:rPr>
          <w:t>Exhibit 3.2 to the Company’s Form F-1 filed on August 10, 2020).</w:t>
        </w:r>
      </w:hyperlink>
    </w:p>
    <w:p>
      <w:pPr>
        <w:spacing w:after="0" w:line="22" w:lineRule="exact"/>
        <w:rPr>
          <w:sz w:val="20"/>
          <w:szCs w:val="20"/>
          <w:color w:val="auto"/>
        </w:rPr>
      </w:pPr>
    </w:p>
    <w:p>
      <w:pPr>
        <w:ind w:left="2080" w:right="739" w:hanging="719"/>
        <w:spacing w:after="0" w:line="277"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3.3</w:t>
      </w:r>
      <w:r>
        <w:rPr>
          <w:sz w:val="20"/>
          <w:szCs w:val="20"/>
          <w:color w:val="auto"/>
        </w:rPr>
        <w:tab/>
      </w:r>
      <w:hyperlink r:id="rId800">
        <w:r>
          <w:rPr>
            <w:rFonts w:ascii="Arial" w:cs="Arial" w:eastAsia="Arial" w:hAnsi="Arial"/>
            <w:sz w:val="18"/>
            <w:szCs w:val="18"/>
            <w:u w:val="single" w:color="auto"/>
            <w:color w:val="0000EE"/>
          </w:rPr>
          <w:t>Form of internal rules of the supervisory board of CureVac N.V. (incorporated by reference to</w:t>
        </w:r>
      </w:hyperlink>
      <w:r>
        <w:rPr>
          <w:rFonts w:ascii="Arial" w:cs="Arial" w:eastAsia="Arial" w:hAnsi="Arial"/>
          <w:sz w:val="18"/>
          <w:szCs w:val="18"/>
          <w:u w:val="single" w:color="auto"/>
          <w:color w:val="0000EE"/>
        </w:rPr>
        <w:t xml:space="preserve"> </w:t>
      </w:r>
      <w:hyperlink r:id="rId800">
        <w:r>
          <w:rPr>
            <w:rFonts w:ascii="Arial" w:cs="Arial" w:eastAsia="Arial" w:hAnsi="Arial"/>
            <w:sz w:val="18"/>
            <w:szCs w:val="18"/>
            <w:u w:val="single" w:color="auto"/>
            <w:color w:val="0000EE"/>
          </w:rPr>
          <w:t>Exhibit 3.3 to the Company’s Form F-1 filed on August 10, 2020).</w:t>
        </w:r>
      </w:hyperlink>
    </w:p>
    <w:p>
      <w:pPr>
        <w:spacing w:after="0" w:line="35" w:lineRule="exact"/>
        <w:rPr>
          <w:sz w:val="20"/>
          <w:szCs w:val="20"/>
          <w:color w:val="auto"/>
        </w:rPr>
      </w:pPr>
    </w:p>
    <w:p>
      <w:pPr>
        <w:ind w:left="1360"/>
        <w:spacing w:after="0"/>
        <w:tabs>
          <w:tab w:leader="none" w:pos="2060" w:val="left"/>
        </w:tabs>
        <w:rPr>
          <w:rFonts w:ascii="Arial" w:cs="Arial" w:eastAsia="Arial" w:hAnsi="Arial"/>
          <w:sz w:val="16"/>
          <w:szCs w:val="16"/>
          <w:u w:val="single" w:color="auto"/>
          <w:color w:val="0000EE"/>
        </w:rPr>
      </w:pPr>
      <w:r>
        <w:rPr>
          <w:rFonts w:ascii="Arial" w:cs="Arial" w:eastAsia="Arial" w:hAnsi="Arial"/>
          <w:sz w:val="18"/>
          <w:szCs w:val="18"/>
          <w:color w:val="auto"/>
        </w:rPr>
        <w:t>3.4</w:t>
      </w:r>
      <w:r>
        <w:rPr>
          <w:sz w:val="20"/>
          <w:szCs w:val="20"/>
          <w:color w:val="auto"/>
        </w:rPr>
        <w:tab/>
      </w:r>
      <w:hyperlink w:anchor="page427">
        <w:r>
          <w:rPr>
            <w:rFonts w:ascii="Arial" w:cs="Arial" w:eastAsia="Arial" w:hAnsi="Arial"/>
            <w:sz w:val="16"/>
            <w:szCs w:val="16"/>
            <w:u w:val="single" w:color="auto"/>
            <w:color w:val="0000EE"/>
          </w:rPr>
          <w:t>Form of Share Issue Deed.</w:t>
        </w:r>
      </w:hyperlink>
    </w:p>
    <w:p>
      <w:pPr>
        <w:spacing w:after="0" w:line="90" w:lineRule="exact"/>
        <w:rPr>
          <w:sz w:val="20"/>
          <w:szCs w:val="20"/>
          <w:color w:val="auto"/>
        </w:rPr>
      </w:pPr>
    </w:p>
    <w:p>
      <w:pPr>
        <w:ind w:left="2080" w:right="539" w:hanging="719"/>
        <w:spacing w:after="0" w:line="306" w:lineRule="auto"/>
        <w:tabs>
          <w:tab w:leader="none" w:pos="2060" w:val="left"/>
        </w:tabs>
        <w:rPr>
          <w:rFonts w:ascii="Arial" w:cs="Arial" w:eastAsia="Arial" w:hAnsi="Arial"/>
          <w:sz w:val="17"/>
          <w:szCs w:val="17"/>
          <w:u w:val="single" w:color="auto"/>
          <w:color w:val="0000EE"/>
        </w:rPr>
      </w:pPr>
      <w:r>
        <w:rPr>
          <w:rFonts w:ascii="Arial" w:cs="Arial" w:eastAsia="Arial" w:hAnsi="Arial"/>
          <w:sz w:val="18"/>
          <w:szCs w:val="18"/>
          <w:color w:val="auto"/>
        </w:rPr>
        <w:t>3.5</w:t>
      </w:r>
      <w:r>
        <w:rPr>
          <w:sz w:val="20"/>
          <w:szCs w:val="20"/>
          <w:color w:val="auto"/>
        </w:rPr>
        <w:tab/>
      </w:r>
      <w:hyperlink r:id="rId801">
        <w:r>
          <w:rPr>
            <w:rFonts w:ascii="Arial" w:cs="Arial" w:eastAsia="Arial" w:hAnsi="Arial"/>
            <w:sz w:val="17"/>
            <w:szCs w:val="17"/>
            <w:u w:val="single" w:color="auto"/>
            <w:color w:val="0000EE"/>
          </w:rPr>
          <w:t>Investment and Shareholders’ Agreement among several shareholders and CureVac AG</w:t>
        </w:r>
      </w:hyperlink>
      <w:r>
        <w:rPr>
          <w:rFonts w:ascii="Arial" w:cs="Arial" w:eastAsia="Arial" w:hAnsi="Arial"/>
          <w:sz w:val="17"/>
          <w:szCs w:val="17"/>
          <w:u w:val="single" w:color="auto"/>
          <w:color w:val="0000EE"/>
        </w:rPr>
        <w:t xml:space="preserve"> </w:t>
      </w:r>
      <w:hyperlink r:id="rId801">
        <w:r>
          <w:rPr>
            <w:rFonts w:ascii="Arial" w:cs="Arial" w:eastAsia="Arial" w:hAnsi="Arial"/>
            <w:sz w:val="17"/>
            <w:szCs w:val="17"/>
            <w:u w:val="single" w:color="auto"/>
            <w:color w:val="0000EE"/>
          </w:rPr>
          <w:t>(incorporated by reference to Exhibit 3.5 to the Company’s Form F-1 filed on August 10, 2020).</w:t>
        </w:r>
      </w:hyperlink>
    </w:p>
    <w:p>
      <w:pPr>
        <w:spacing w:after="0" w:line="1" w:lineRule="exact"/>
        <w:rPr>
          <w:sz w:val="20"/>
          <w:szCs w:val="20"/>
          <w:color w:val="auto"/>
        </w:rPr>
      </w:pPr>
    </w:p>
    <w:p>
      <w:pPr>
        <w:ind w:left="2080" w:right="559" w:hanging="719"/>
        <w:spacing w:after="0" w:line="263"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3.6</w:t>
      </w:r>
      <w:r>
        <w:rPr>
          <w:sz w:val="20"/>
          <w:szCs w:val="20"/>
          <w:color w:val="auto"/>
        </w:rPr>
        <w:tab/>
      </w:r>
      <w:hyperlink r:id="rId802">
        <w:r>
          <w:rPr>
            <w:rFonts w:ascii="Arial" w:cs="Arial" w:eastAsia="Arial" w:hAnsi="Arial"/>
            <w:sz w:val="18"/>
            <w:szCs w:val="18"/>
            <w:u w:val="single" w:color="auto"/>
            <w:color w:val="0000EE"/>
          </w:rPr>
          <w:t>Shareholders’ Agreement among Kreditanstalt für Wiederaufbau, Dievini Hopp BioTechholding</w:t>
        </w:r>
      </w:hyperlink>
      <w:r>
        <w:rPr>
          <w:rFonts w:ascii="Arial" w:cs="Arial" w:eastAsia="Arial" w:hAnsi="Arial"/>
          <w:sz w:val="18"/>
          <w:szCs w:val="18"/>
          <w:u w:val="single" w:color="auto"/>
          <w:color w:val="0000EE"/>
        </w:rPr>
        <w:t xml:space="preserve"> </w:t>
      </w:r>
      <w:hyperlink r:id="rId802">
        <w:r>
          <w:rPr>
            <w:rFonts w:ascii="Arial" w:cs="Arial" w:eastAsia="Arial" w:hAnsi="Arial"/>
            <w:sz w:val="18"/>
            <w:szCs w:val="18"/>
            <w:u w:val="single" w:color="auto"/>
            <w:color w:val="0000EE"/>
          </w:rPr>
          <w:t>GmbH &amp; Co KG and Mr Dietmar Hopp, dated June 16, 2020 (incorporated by reference to</w:t>
        </w:r>
      </w:hyperlink>
      <w:r>
        <w:rPr>
          <w:rFonts w:ascii="Arial" w:cs="Arial" w:eastAsia="Arial" w:hAnsi="Arial"/>
          <w:sz w:val="18"/>
          <w:szCs w:val="18"/>
          <w:u w:val="single" w:color="auto"/>
          <w:color w:val="0000EE"/>
        </w:rPr>
        <w:t xml:space="preserve"> </w:t>
      </w:r>
      <w:hyperlink r:id="rId802">
        <w:r>
          <w:rPr>
            <w:rFonts w:ascii="Arial" w:cs="Arial" w:eastAsia="Arial" w:hAnsi="Arial"/>
            <w:sz w:val="18"/>
            <w:szCs w:val="18"/>
            <w:u w:val="single" w:color="auto"/>
            <w:color w:val="0000EE"/>
          </w:rPr>
          <w:t>Exhibit 3.6 to the Company’s Form F-1 filed on August 10, 2020).</w:t>
        </w:r>
      </w:hyperlink>
    </w:p>
    <w:p>
      <w:pPr>
        <w:spacing w:after="0" w:line="49" w:lineRule="exact"/>
        <w:rPr>
          <w:rFonts w:ascii="Arial" w:cs="Arial" w:eastAsia="Arial" w:hAnsi="Arial"/>
          <w:sz w:val="18"/>
          <w:szCs w:val="18"/>
          <w:u w:val="single" w:color="auto"/>
          <w:color w:val="0000EE"/>
        </w:rPr>
      </w:pPr>
    </w:p>
    <w:p>
      <w:pPr>
        <w:ind w:left="2080" w:right="639" w:hanging="719"/>
        <w:spacing w:after="0" w:line="263"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3.7</w:t>
      </w:r>
      <w:r>
        <w:rPr>
          <w:sz w:val="20"/>
          <w:szCs w:val="20"/>
          <w:color w:val="auto"/>
        </w:rPr>
        <w:tab/>
      </w:r>
      <w:hyperlink r:id="rId803">
        <w:r>
          <w:rPr>
            <w:rFonts w:ascii="Arial" w:cs="Arial" w:eastAsia="Arial" w:hAnsi="Arial"/>
            <w:sz w:val="18"/>
            <w:szCs w:val="18"/>
            <w:u w:val="single" w:color="auto"/>
            <w:color w:val="0000EE"/>
          </w:rPr>
          <w:t>Relationship Agreement among Kreditanstalt fur Wiederaufbau, Dievini Hopp BioTechholding</w:t>
        </w:r>
      </w:hyperlink>
      <w:r>
        <w:rPr>
          <w:rFonts w:ascii="Arial" w:cs="Arial" w:eastAsia="Arial" w:hAnsi="Arial"/>
          <w:sz w:val="18"/>
          <w:szCs w:val="18"/>
          <w:u w:val="single" w:color="auto"/>
          <w:color w:val="0000EE"/>
        </w:rPr>
        <w:t xml:space="preserve"> </w:t>
      </w:r>
      <w:hyperlink r:id="rId803">
        <w:r>
          <w:rPr>
            <w:rFonts w:ascii="Arial" w:cs="Arial" w:eastAsia="Arial" w:hAnsi="Arial"/>
            <w:sz w:val="18"/>
            <w:szCs w:val="18"/>
            <w:u w:val="single" w:color="auto"/>
            <w:color w:val="0000EE"/>
          </w:rPr>
          <w:t>GmbH &amp; Co KG and Mr Dietmar Hopp, dated July 17, 2020 (incorporated by reference to</w:t>
        </w:r>
      </w:hyperlink>
      <w:r>
        <w:rPr>
          <w:rFonts w:ascii="Arial" w:cs="Arial" w:eastAsia="Arial" w:hAnsi="Arial"/>
          <w:sz w:val="18"/>
          <w:szCs w:val="18"/>
          <w:u w:val="single" w:color="auto"/>
          <w:color w:val="0000EE"/>
        </w:rPr>
        <w:t xml:space="preserve"> </w:t>
      </w:r>
      <w:hyperlink r:id="rId803">
        <w:r>
          <w:rPr>
            <w:rFonts w:ascii="Arial" w:cs="Arial" w:eastAsia="Arial" w:hAnsi="Arial"/>
            <w:sz w:val="18"/>
            <w:szCs w:val="18"/>
            <w:u w:val="single" w:color="auto"/>
            <w:color w:val="0000EE"/>
          </w:rPr>
          <w:t>Exhibit 3.7 to the Company’s Form F-1 filed on August 10, 2020).</w:t>
        </w:r>
      </w:hyperlink>
    </w:p>
    <w:p>
      <w:pPr>
        <w:spacing w:after="0" w:line="49" w:lineRule="exact"/>
        <w:rPr>
          <w:rFonts w:ascii="Arial" w:cs="Arial" w:eastAsia="Arial" w:hAnsi="Arial"/>
          <w:sz w:val="18"/>
          <w:szCs w:val="18"/>
          <w:u w:val="single" w:color="auto"/>
          <w:color w:val="0000EE"/>
        </w:rPr>
      </w:pPr>
    </w:p>
    <w:p>
      <w:pPr>
        <w:ind w:left="2080" w:right="1199" w:hanging="719"/>
        <w:spacing w:after="0" w:line="277"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804">
        <w:r>
          <w:rPr>
            <w:rFonts w:ascii="Arial" w:cs="Arial" w:eastAsia="Arial" w:hAnsi="Arial"/>
            <w:sz w:val="18"/>
            <w:szCs w:val="18"/>
            <w:u w:val="single" w:color="auto"/>
            <w:color w:val="0000EE"/>
          </w:rPr>
          <w:t>Form of Registration Rights Agreement (incorporated by reference to Exhibit 4.1 to the</w:t>
        </w:r>
      </w:hyperlink>
      <w:r>
        <w:rPr>
          <w:rFonts w:ascii="Arial" w:cs="Arial" w:eastAsia="Arial" w:hAnsi="Arial"/>
          <w:sz w:val="18"/>
          <w:szCs w:val="18"/>
          <w:u w:val="single" w:color="auto"/>
          <w:color w:val="0000EE"/>
        </w:rPr>
        <w:t xml:space="preserve"> </w:t>
      </w:r>
      <w:hyperlink r:id="rId804">
        <w:r>
          <w:rPr>
            <w:rFonts w:ascii="Arial" w:cs="Arial" w:eastAsia="Arial" w:hAnsi="Arial"/>
            <w:sz w:val="18"/>
            <w:szCs w:val="18"/>
            <w:u w:val="single" w:color="auto"/>
            <w:color w:val="0000EE"/>
          </w:rPr>
          <w:t>Company’s Form F-1 filed on August 10, 2020).</w:t>
        </w:r>
      </w:hyperlink>
    </w:p>
    <w:p>
      <w:pPr>
        <w:spacing w:after="0" w:line="35" w:lineRule="exact"/>
        <w:rPr>
          <w:sz w:val="20"/>
          <w:szCs w:val="20"/>
          <w:color w:val="auto"/>
        </w:rPr>
      </w:pPr>
    </w:p>
    <w:p>
      <w:pPr>
        <w:ind w:left="2080" w:right="1079" w:hanging="719"/>
        <w:spacing w:after="0" w:line="277"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5.1</w:t>
      </w:r>
      <w:r>
        <w:rPr>
          <w:sz w:val="20"/>
          <w:szCs w:val="20"/>
          <w:color w:val="auto"/>
        </w:rPr>
        <w:tab/>
      </w:r>
      <w:hyperlink w:anchor="page431">
        <w:r>
          <w:rPr>
            <w:rFonts w:ascii="Arial" w:cs="Arial" w:eastAsia="Arial" w:hAnsi="Arial"/>
            <w:sz w:val="18"/>
            <w:szCs w:val="18"/>
            <w:u w:val="single" w:color="auto"/>
            <w:color w:val="0000EE"/>
          </w:rPr>
          <w:t>Form of opinion of NautaDutilh N.V., Dutch counsel of CureVac, as to the validity of the</w:t>
        </w:r>
      </w:hyperlink>
      <w:r>
        <w:rPr>
          <w:rFonts w:ascii="Arial" w:cs="Arial" w:eastAsia="Arial" w:hAnsi="Arial"/>
          <w:sz w:val="18"/>
          <w:szCs w:val="18"/>
          <w:u w:val="single" w:color="auto"/>
          <w:color w:val="0000EE"/>
        </w:rPr>
        <w:t xml:space="preserve"> </w:t>
      </w:r>
      <w:hyperlink w:anchor="page431">
        <w:r>
          <w:rPr>
            <w:rFonts w:ascii="Arial" w:cs="Arial" w:eastAsia="Arial" w:hAnsi="Arial"/>
            <w:sz w:val="18"/>
            <w:szCs w:val="18"/>
            <w:u w:val="single" w:color="auto"/>
            <w:color w:val="0000EE"/>
          </w:rPr>
          <w:t>common shares.</w:t>
        </w:r>
      </w:hyperlink>
    </w:p>
    <w:p>
      <w:pPr>
        <w:spacing w:after="0" w:line="49" w:lineRule="exact"/>
        <w:rPr>
          <w:sz w:val="20"/>
          <w:szCs w:val="20"/>
          <w:color w:val="auto"/>
        </w:rPr>
      </w:pPr>
    </w:p>
    <w:p>
      <w:pPr>
        <w:ind w:left="1360"/>
        <w:spacing w:after="0"/>
        <w:tabs>
          <w:tab w:leader="none" w:pos="2060" w:val="left"/>
        </w:tabs>
        <w:rPr>
          <w:rFonts w:ascii="Arial" w:cs="Arial" w:eastAsia="Arial" w:hAnsi="Arial"/>
          <w:sz w:val="17"/>
          <w:szCs w:val="17"/>
          <w:u w:val="single" w:color="auto"/>
          <w:color w:val="0000EE"/>
        </w:rPr>
      </w:pPr>
      <w:r>
        <w:rPr>
          <w:rFonts w:ascii="Arial" w:cs="Arial" w:eastAsia="Arial" w:hAnsi="Arial"/>
          <w:sz w:val="18"/>
          <w:szCs w:val="18"/>
          <w:color w:val="auto"/>
        </w:rPr>
        <w:t>8.1</w:t>
      </w:r>
      <w:r>
        <w:rPr>
          <w:sz w:val="20"/>
          <w:szCs w:val="20"/>
          <w:color w:val="auto"/>
        </w:rPr>
        <w:tab/>
      </w:r>
      <w:hyperlink w:anchor="page439">
        <w:r>
          <w:rPr>
            <w:rFonts w:ascii="Arial" w:cs="Arial" w:eastAsia="Arial" w:hAnsi="Arial"/>
            <w:sz w:val="17"/>
            <w:szCs w:val="17"/>
            <w:u w:val="single" w:color="auto"/>
            <w:color w:val="0000EE"/>
          </w:rPr>
          <w:t>Opinion of NautaDutilh N.V., Dutch counsel of CureVac, as to Dutch tax matters.</w:t>
        </w:r>
      </w:hyperlink>
    </w:p>
    <w:p>
      <w:pPr>
        <w:spacing w:after="0" w:line="117" w:lineRule="exact"/>
        <w:rPr>
          <w:sz w:val="20"/>
          <w:szCs w:val="20"/>
          <w:color w:val="auto"/>
        </w:rPr>
      </w:pPr>
    </w:p>
    <w:p>
      <w:pPr>
        <w:ind w:left="1360"/>
        <w:spacing w:after="0"/>
        <w:tabs>
          <w:tab w:leader="none" w:pos="2060" w:val="left"/>
        </w:tabs>
        <w:rPr>
          <w:rFonts w:ascii="Arial" w:cs="Arial" w:eastAsia="Arial" w:hAnsi="Arial"/>
          <w:sz w:val="17"/>
          <w:szCs w:val="17"/>
          <w:u w:val="single" w:color="auto"/>
          <w:color w:val="0000EE"/>
        </w:rPr>
      </w:pPr>
      <w:r>
        <w:rPr>
          <w:rFonts w:ascii="Arial" w:cs="Arial" w:eastAsia="Arial" w:hAnsi="Arial"/>
          <w:sz w:val="18"/>
          <w:szCs w:val="18"/>
          <w:color w:val="auto"/>
        </w:rPr>
        <w:t>8.2</w:t>
      </w:r>
      <w:r>
        <w:rPr>
          <w:sz w:val="20"/>
          <w:szCs w:val="20"/>
          <w:color w:val="auto"/>
        </w:rPr>
        <w:tab/>
      </w:r>
      <w:hyperlink w:anchor="page442">
        <w:r>
          <w:rPr>
            <w:rFonts w:ascii="Arial" w:cs="Arial" w:eastAsia="Arial" w:hAnsi="Arial"/>
            <w:sz w:val="17"/>
            <w:szCs w:val="17"/>
            <w:u w:val="single" w:color="auto"/>
            <w:color w:val="0000EE"/>
          </w:rPr>
          <w:t>Opinion of FALK GmbH &amp; Co KG, as to German tax matters.</w:t>
        </w:r>
      </w:hyperlink>
    </w:p>
    <w:p>
      <w:pPr>
        <w:spacing w:after="0" w:line="117" w:lineRule="exact"/>
        <w:rPr>
          <w:sz w:val="20"/>
          <w:szCs w:val="20"/>
          <w:color w:val="auto"/>
        </w:rPr>
      </w:pPr>
    </w:p>
    <w:p>
      <w:pPr>
        <w:ind w:left="1360"/>
        <w:spacing w:after="0"/>
        <w:tabs>
          <w:tab w:leader="none" w:pos="2060" w:val="left"/>
        </w:tabs>
        <w:rPr>
          <w:rFonts w:ascii="Arial" w:cs="Arial" w:eastAsia="Arial" w:hAnsi="Arial"/>
          <w:sz w:val="17"/>
          <w:szCs w:val="17"/>
          <w:u w:val="single" w:color="auto"/>
          <w:color w:val="0000EE"/>
        </w:rPr>
      </w:pPr>
      <w:r>
        <w:rPr>
          <w:rFonts w:ascii="Arial" w:cs="Arial" w:eastAsia="Arial" w:hAnsi="Arial"/>
          <w:sz w:val="18"/>
          <w:szCs w:val="18"/>
          <w:color w:val="auto"/>
        </w:rPr>
        <w:t>8.3</w:t>
      </w:r>
      <w:r>
        <w:rPr>
          <w:sz w:val="20"/>
          <w:szCs w:val="20"/>
          <w:color w:val="auto"/>
        </w:rPr>
        <w:tab/>
      </w:r>
      <w:hyperlink w:anchor="page445">
        <w:r>
          <w:rPr>
            <w:rFonts w:ascii="Arial" w:cs="Arial" w:eastAsia="Arial" w:hAnsi="Arial"/>
            <w:sz w:val="17"/>
            <w:szCs w:val="17"/>
            <w:u w:val="single" w:color="auto"/>
            <w:color w:val="0000EE"/>
          </w:rPr>
          <w:t>Opinion of Davis Polk &amp; Wardwell LLP, as to U.S. tax matters.</w:t>
        </w:r>
      </w:hyperlink>
    </w:p>
    <w:p>
      <w:pPr>
        <w:spacing w:after="0" w:line="104" w:lineRule="exact"/>
        <w:rPr>
          <w:sz w:val="20"/>
          <w:szCs w:val="20"/>
          <w:color w:val="auto"/>
        </w:rPr>
      </w:pPr>
    </w:p>
    <w:p>
      <w:pPr>
        <w:ind w:left="2080" w:right="579" w:hanging="809"/>
        <w:spacing w:after="0" w:line="263"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805">
        <w:r>
          <w:rPr>
            <w:rFonts w:ascii="Arial" w:cs="Arial" w:eastAsia="Arial" w:hAnsi="Arial"/>
            <w:sz w:val="18"/>
            <w:szCs w:val="18"/>
            <w:u w:val="single" w:color="auto"/>
            <w:color w:val="0000EE"/>
          </w:rPr>
          <w:t>Collaboration and License Agreement by and between CureVac AG and Genmab B.V., dated</w:t>
        </w:r>
      </w:hyperlink>
      <w:r>
        <w:rPr>
          <w:rFonts w:ascii="Arial" w:cs="Arial" w:eastAsia="Arial" w:hAnsi="Arial"/>
          <w:sz w:val="18"/>
          <w:szCs w:val="18"/>
          <w:u w:val="single" w:color="auto"/>
          <w:color w:val="0000EE"/>
        </w:rPr>
        <w:t xml:space="preserve"> </w:t>
      </w:r>
      <w:hyperlink r:id="rId805">
        <w:r>
          <w:rPr>
            <w:rFonts w:ascii="Arial" w:cs="Arial" w:eastAsia="Arial" w:hAnsi="Arial"/>
            <w:sz w:val="18"/>
            <w:szCs w:val="18"/>
            <w:u w:val="single" w:color="auto"/>
            <w:color w:val="0000EE"/>
          </w:rPr>
          <w:t>December 19, 2019 (incorporated by reference to Exhibit 10.1 to the Company’s Form F-1 filed</w:t>
        </w:r>
      </w:hyperlink>
      <w:r>
        <w:rPr>
          <w:rFonts w:ascii="Arial" w:cs="Arial" w:eastAsia="Arial" w:hAnsi="Arial"/>
          <w:sz w:val="18"/>
          <w:szCs w:val="18"/>
          <w:u w:val="single" w:color="auto"/>
          <w:color w:val="0000EE"/>
        </w:rPr>
        <w:t xml:space="preserve"> </w:t>
      </w:r>
      <w:hyperlink r:id="rId805">
        <w:r>
          <w:rPr>
            <w:rFonts w:ascii="Arial" w:cs="Arial" w:eastAsia="Arial" w:hAnsi="Arial"/>
            <w:sz w:val="18"/>
            <w:szCs w:val="18"/>
            <w:u w:val="single" w:color="auto"/>
            <w:color w:val="0000EE"/>
          </w:rPr>
          <w:t>on August 10, 2020).†</w:t>
        </w:r>
      </w:hyperlink>
    </w:p>
    <w:p>
      <w:pPr>
        <w:spacing w:after="0" w:line="200" w:lineRule="exact"/>
        <w:rPr>
          <w:rFonts w:ascii="Arial" w:cs="Arial" w:eastAsia="Arial" w:hAnsi="Arial"/>
          <w:sz w:val="18"/>
          <w:szCs w:val="18"/>
          <w:u w:val="single" w:color="auto"/>
          <w:color w:val="0000EE"/>
        </w:rPr>
      </w:pPr>
    </w:p>
    <w:p>
      <w:pPr>
        <w:spacing w:after="0" w:line="227" w:lineRule="exact"/>
        <w:rPr>
          <w:rFonts w:ascii="Arial" w:cs="Arial" w:eastAsia="Arial" w:hAnsi="Arial"/>
          <w:sz w:val="18"/>
          <w:szCs w:val="18"/>
          <w:u w:val="single" w:color="auto"/>
          <w:color w:val="0000EE"/>
        </w:rPr>
      </w:pPr>
    </w:p>
    <w:p>
      <w:pPr>
        <w:ind w:left="5200"/>
        <w:spacing w:after="0"/>
        <w:rPr>
          <w:sz w:val="20"/>
          <w:szCs w:val="20"/>
          <w:color w:val="auto"/>
        </w:rPr>
      </w:pPr>
      <w:r>
        <w:rPr>
          <w:rFonts w:ascii="Arial" w:cs="Arial" w:eastAsia="Arial" w:hAnsi="Arial"/>
          <w:sz w:val="18"/>
          <w:szCs w:val="18"/>
          <w:color w:val="auto"/>
        </w:rPr>
        <w:t>II-2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77" w:name="page378"/>
    <w:bookmarkEnd w:id="377"/>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80" w:right="539" w:hanging="809"/>
        <w:spacing w:after="0" w:line="263"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807">
        <w:r>
          <w:rPr>
            <w:rFonts w:ascii="Arial" w:cs="Arial" w:eastAsia="Arial" w:hAnsi="Arial"/>
            <w:sz w:val="18"/>
            <w:szCs w:val="18"/>
            <w:u w:val="single" w:color="auto"/>
            <w:color w:val="0000EE"/>
          </w:rPr>
          <w:t>Development and License Agreement by and between CureVac AG and CRISPR Therapeutics</w:t>
        </w:r>
      </w:hyperlink>
      <w:r>
        <w:rPr>
          <w:rFonts w:ascii="Arial" w:cs="Arial" w:eastAsia="Arial" w:hAnsi="Arial"/>
          <w:sz w:val="18"/>
          <w:szCs w:val="18"/>
          <w:u w:val="single" w:color="auto"/>
          <w:color w:val="0000EE"/>
        </w:rPr>
        <w:t xml:space="preserve"> </w:t>
      </w:r>
      <w:hyperlink r:id="rId807">
        <w:r>
          <w:rPr>
            <w:rFonts w:ascii="Arial" w:cs="Arial" w:eastAsia="Arial" w:hAnsi="Arial"/>
            <w:sz w:val="18"/>
            <w:szCs w:val="18"/>
            <w:u w:val="single" w:color="auto"/>
            <w:color w:val="0000EE"/>
          </w:rPr>
          <w:t>AG, dated November 9, 2017 (incorporated by reference to Exhibit 10.2 to the Company’s Form</w:t>
        </w:r>
      </w:hyperlink>
      <w:r>
        <w:rPr>
          <w:rFonts w:ascii="Arial" w:cs="Arial" w:eastAsia="Arial" w:hAnsi="Arial"/>
          <w:sz w:val="18"/>
          <w:szCs w:val="18"/>
          <w:u w:val="single" w:color="auto"/>
          <w:color w:val="0000EE"/>
        </w:rPr>
        <w:t xml:space="preserve"> </w:t>
      </w:r>
      <w:hyperlink r:id="rId807">
        <w:r>
          <w:rPr>
            <w:rFonts w:ascii="Arial" w:cs="Arial" w:eastAsia="Arial" w:hAnsi="Arial"/>
            <w:sz w:val="18"/>
            <w:szCs w:val="18"/>
            <w:u w:val="single" w:color="auto"/>
            <w:color w:val="0000EE"/>
          </w:rPr>
          <w:t>F-1 filed on August 10, 2020).†</w:t>
        </w:r>
      </w:hyperlink>
    </w:p>
    <w:p>
      <w:pPr>
        <w:spacing w:after="0" w:line="22" w:lineRule="exact"/>
        <w:rPr>
          <w:rFonts w:ascii="Arial" w:cs="Arial" w:eastAsia="Arial" w:hAnsi="Arial"/>
          <w:sz w:val="18"/>
          <w:szCs w:val="18"/>
          <w:u w:val="single" w:color="auto"/>
          <w:color w:val="0000EE"/>
        </w:rPr>
      </w:pPr>
    </w:p>
    <w:p>
      <w:pPr>
        <w:jc w:val="both"/>
        <w:ind w:left="2080" w:right="459" w:hanging="809"/>
        <w:spacing w:after="0" w:line="263"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808">
        <w:r>
          <w:rPr>
            <w:rFonts w:ascii="Arial" w:cs="Arial" w:eastAsia="Arial" w:hAnsi="Arial"/>
            <w:sz w:val="18"/>
            <w:szCs w:val="18"/>
            <w:u w:val="single" w:color="auto"/>
            <w:color w:val="0000EE"/>
          </w:rPr>
          <w:t>Exclusive Collaboration and License Agreement by and between CureVac GmbH and Boehringer</w:t>
        </w:r>
      </w:hyperlink>
      <w:r>
        <w:rPr>
          <w:rFonts w:ascii="Arial" w:cs="Arial" w:eastAsia="Arial" w:hAnsi="Arial"/>
          <w:sz w:val="18"/>
          <w:szCs w:val="18"/>
          <w:u w:val="single" w:color="auto"/>
          <w:color w:val="0000EE"/>
        </w:rPr>
        <w:t xml:space="preserve"> </w:t>
      </w:r>
      <w:hyperlink r:id="rId808">
        <w:r>
          <w:rPr>
            <w:rFonts w:ascii="Arial" w:cs="Arial" w:eastAsia="Arial" w:hAnsi="Arial"/>
            <w:sz w:val="18"/>
            <w:szCs w:val="18"/>
            <w:u w:val="single" w:color="auto"/>
            <w:color w:val="0000EE"/>
          </w:rPr>
          <w:t>Ingelheim International GmbH, dated August 21, 2014 (incorporated by reference to Exhibit 10.3</w:t>
        </w:r>
      </w:hyperlink>
      <w:r>
        <w:rPr>
          <w:rFonts w:ascii="Arial" w:cs="Arial" w:eastAsia="Arial" w:hAnsi="Arial"/>
          <w:sz w:val="18"/>
          <w:szCs w:val="18"/>
          <w:u w:val="single" w:color="auto"/>
          <w:color w:val="0000EE"/>
        </w:rPr>
        <w:t xml:space="preserve"> </w:t>
      </w:r>
      <w:hyperlink r:id="rId808">
        <w:r>
          <w:rPr>
            <w:rFonts w:ascii="Arial" w:cs="Arial" w:eastAsia="Arial" w:hAnsi="Arial"/>
            <w:sz w:val="18"/>
            <w:szCs w:val="18"/>
            <w:u w:val="single" w:color="auto"/>
            <w:color w:val="0000EE"/>
          </w:rPr>
          <w:t>to the Company’s Form F-1 filed on August 10, 2020).†</w:t>
        </w:r>
      </w:hyperlink>
    </w:p>
    <w:p>
      <w:pPr>
        <w:spacing w:after="0" w:line="49" w:lineRule="exact"/>
        <w:rPr>
          <w:rFonts w:ascii="Arial" w:cs="Arial" w:eastAsia="Arial" w:hAnsi="Arial"/>
          <w:sz w:val="18"/>
          <w:szCs w:val="18"/>
          <w:u w:val="single" w:color="auto"/>
          <w:color w:val="0000EE"/>
        </w:rPr>
      </w:pPr>
    </w:p>
    <w:p>
      <w:pPr>
        <w:ind w:left="2080" w:right="599" w:hanging="809"/>
        <w:spacing w:after="0" w:line="286" w:lineRule="auto"/>
        <w:tabs>
          <w:tab w:leader="none" w:pos="2060" w:val="left"/>
        </w:tabs>
        <w:rPr>
          <w:rFonts w:ascii="Arial" w:cs="Arial" w:eastAsia="Arial" w:hAnsi="Arial"/>
          <w:sz w:val="17"/>
          <w:szCs w:val="17"/>
          <w:u w:val="single" w:color="auto"/>
          <w:color w:val="0000EE"/>
        </w:rPr>
      </w:pPr>
      <w:r>
        <w:rPr>
          <w:rFonts w:ascii="Arial" w:cs="Arial" w:eastAsia="Arial" w:hAnsi="Arial"/>
          <w:sz w:val="18"/>
          <w:szCs w:val="18"/>
          <w:color w:val="auto"/>
        </w:rPr>
        <w:t>10.4</w:t>
      </w:r>
      <w:r>
        <w:rPr>
          <w:sz w:val="20"/>
          <w:szCs w:val="20"/>
          <w:color w:val="auto"/>
        </w:rPr>
        <w:tab/>
      </w:r>
      <w:hyperlink r:id="rId809">
        <w:r>
          <w:rPr>
            <w:rFonts w:ascii="Arial" w:cs="Arial" w:eastAsia="Arial" w:hAnsi="Arial"/>
            <w:sz w:val="17"/>
            <w:szCs w:val="17"/>
            <w:u w:val="single" w:color="auto"/>
            <w:color w:val="0000EE"/>
          </w:rPr>
          <w:t>Amendment No. 1 to Exclusive Collaboration and License Agreement by and between CureVac</w:t>
        </w:r>
      </w:hyperlink>
      <w:r>
        <w:rPr>
          <w:rFonts w:ascii="Arial" w:cs="Arial" w:eastAsia="Arial" w:hAnsi="Arial"/>
          <w:sz w:val="17"/>
          <w:szCs w:val="17"/>
          <w:u w:val="single" w:color="auto"/>
          <w:color w:val="0000EE"/>
        </w:rPr>
        <w:t xml:space="preserve"> </w:t>
      </w:r>
      <w:hyperlink r:id="rId809">
        <w:r>
          <w:rPr>
            <w:rFonts w:ascii="Arial" w:cs="Arial" w:eastAsia="Arial" w:hAnsi="Arial"/>
            <w:sz w:val="17"/>
            <w:szCs w:val="17"/>
            <w:u w:val="single" w:color="auto"/>
            <w:color w:val="0000EE"/>
          </w:rPr>
          <w:t>GmbH and Boehringer Ingelheim International GmbH, dated June 30, 2015 (incorporated by</w:t>
        </w:r>
      </w:hyperlink>
      <w:r>
        <w:rPr>
          <w:rFonts w:ascii="Arial" w:cs="Arial" w:eastAsia="Arial" w:hAnsi="Arial"/>
          <w:sz w:val="17"/>
          <w:szCs w:val="17"/>
          <w:u w:val="single" w:color="auto"/>
          <w:color w:val="0000EE"/>
        </w:rPr>
        <w:t xml:space="preserve"> </w:t>
      </w:r>
      <w:hyperlink r:id="rId809">
        <w:r>
          <w:rPr>
            <w:rFonts w:ascii="Arial" w:cs="Arial" w:eastAsia="Arial" w:hAnsi="Arial"/>
            <w:sz w:val="17"/>
            <w:szCs w:val="17"/>
            <w:u w:val="single" w:color="auto"/>
            <w:color w:val="0000EE"/>
          </w:rPr>
          <w:t>reference to Exhibit 10.4 to the Company’s Form F-1 filed on August 10, 2020).†</w:t>
        </w:r>
      </w:hyperlink>
    </w:p>
    <w:p>
      <w:pPr>
        <w:spacing w:after="0" w:line="30" w:lineRule="exact"/>
        <w:rPr>
          <w:rFonts w:ascii="Arial" w:cs="Arial" w:eastAsia="Arial" w:hAnsi="Arial"/>
          <w:sz w:val="17"/>
          <w:szCs w:val="17"/>
          <w:u w:val="single" w:color="auto"/>
          <w:color w:val="0000EE"/>
        </w:rPr>
      </w:pPr>
    </w:p>
    <w:p>
      <w:pPr>
        <w:ind w:left="2080" w:right="599" w:hanging="809"/>
        <w:spacing w:after="0" w:line="286" w:lineRule="auto"/>
        <w:tabs>
          <w:tab w:leader="none" w:pos="2060" w:val="left"/>
        </w:tabs>
        <w:rPr>
          <w:rFonts w:ascii="Arial" w:cs="Arial" w:eastAsia="Arial" w:hAnsi="Arial"/>
          <w:sz w:val="17"/>
          <w:szCs w:val="17"/>
          <w:u w:val="single" w:color="auto"/>
          <w:color w:val="0000EE"/>
        </w:rPr>
      </w:pPr>
      <w:r>
        <w:rPr>
          <w:rFonts w:ascii="Arial" w:cs="Arial" w:eastAsia="Arial" w:hAnsi="Arial"/>
          <w:sz w:val="18"/>
          <w:szCs w:val="18"/>
          <w:color w:val="auto"/>
        </w:rPr>
        <w:t>10.5</w:t>
      </w:r>
      <w:r>
        <w:rPr>
          <w:sz w:val="20"/>
          <w:szCs w:val="20"/>
          <w:color w:val="auto"/>
        </w:rPr>
        <w:tab/>
      </w:r>
      <w:hyperlink r:id="rId810">
        <w:r>
          <w:rPr>
            <w:rFonts w:ascii="Arial" w:cs="Arial" w:eastAsia="Arial" w:hAnsi="Arial"/>
            <w:sz w:val="17"/>
            <w:szCs w:val="17"/>
            <w:u w:val="single" w:color="auto"/>
            <w:color w:val="0000EE"/>
          </w:rPr>
          <w:t>Amendment No. 2 to Exclusive Collaboration and License Agreement by and between CureVac</w:t>
        </w:r>
      </w:hyperlink>
      <w:r>
        <w:rPr>
          <w:rFonts w:ascii="Arial" w:cs="Arial" w:eastAsia="Arial" w:hAnsi="Arial"/>
          <w:sz w:val="17"/>
          <w:szCs w:val="17"/>
          <w:u w:val="single" w:color="auto"/>
          <w:color w:val="0000EE"/>
        </w:rPr>
        <w:t xml:space="preserve"> </w:t>
      </w:r>
      <w:hyperlink r:id="rId810">
        <w:r>
          <w:rPr>
            <w:rFonts w:ascii="Arial" w:cs="Arial" w:eastAsia="Arial" w:hAnsi="Arial"/>
            <w:sz w:val="17"/>
            <w:szCs w:val="17"/>
            <w:u w:val="single" w:color="auto"/>
            <w:color w:val="0000EE"/>
          </w:rPr>
          <w:t>AG and Boehringer Ingelheim International GmbH, dated August 1, 2016 (incorporated by</w:t>
        </w:r>
      </w:hyperlink>
      <w:r>
        <w:rPr>
          <w:rFonts w:ascii="Arial" w:cs="Arial" w:eastAsia="Arial" w:hAnsi="Arial"/>
          <w:sz w:val="17"/>
          <w:szCs w:val="17"/>
          <w:u w:val="single" w:color="auto"/>
          <w:color w:val="0000EE"/>
        </w:rPr>
        <w:t xml:space="preserve"> </w:t>
      </w:r>
      <w:hyperlink r:id="rId810">
        <w:r>
          <w:rPr>
            <w:rFonts w:ascii="Arial" w:cs="Arial" w:eastAsia="Arial" w:hAnsi="Arial"/>
            <w:sz w:val="17"/>
            <w:szCs w:val="17"/>
            <w:u w:val="single" w:color="auto"/>
            <w:color w:val="0000EE"/>
          </w:rPr>
          <w:t>reference to Exhibit 10.5 to the Company’s Form F-1 filed on August 10, 2020).†</w:t>
        </w:r>
      </w:hyperlink>
    </w:p>
    <w:p>
      <w:pPr>
        <w:spacing w:after="0" w:line="30" w:lineRule="exact"/>
        <w:rPr>
          <w:rFonts w:ascii="Arial" w:cs="Arial" w:eastAsia="Arial" w:hAnsi="Arial"/>
          <w:sz w:val="17"/>
          <w:szCs w:val="17"/>
          <w:u w:val="single" w:color="auto"/>
          <w:color w:val="0000EE"/>
        </w:rPr>
      </w:pPr>
    </w:p>
    <w:p>
      <w:pPr>
        <w:ind w:left="2080" w:right="599" w:hanging="809"/>
        <w:spacing w:after="0" w:line="286" w:lineRule="auto"/>
        <w:tabs>
          <w:tab w:leader="none" w:pos="2060" w:val="left"/>
        </w:tabs>
        <w:rPr>
          <w:rFonts w:ascii="Arial" w:cs="Arial" w:eastAsia="Arial" w:hAnsi="Arial"/>
          <w:sz w:val="17"/>
          <w:szCs w:val="17"/>
          <w:u w:val="single" w:color="auto"/>
          <w:color w:val="0000EE"/>
        </w:rPr>
      </w:pPr>
      <w:r>
        <w:rPr>
          <w:rFonts w:ascii="Arial" w:cs="Arial" w:eastAsia="Arial" w:hAnsi="Arial"/>
          <w:sz w:val="18"/>
          <w:szCs w:val="18"/>
          <w:color w:val="auto"/>
        </w:rPr>
        <w:t>10.6</w:t>
      </w:r>
      <w:r>
        <w:rPr>
          <w:sz w:val="20"/>
          <w:szCs w:val="20"/>
          <w:color w:val="auto"/>
        </w:rPr>
        <w:tab/>
      </w:r>
      <w:hyperlink r:id="rId811">
        <w:r>
          <w:rPr>
            <w:rFonts w:ascii="Arial" w:cs="Arial" w:eastAsia="Arial" w:hAnsi="Arial"/>
            <w:sz w:val="17"/>
            <w:szCs w:val="17"/>
            <w:u w:val="single" w:color="auto"/>
            <w:color w:val="0000EE"/>
          </w:rPr>
          <w:t>Amendment No. 3 to Exclusive Collaboration and License Agreement by and between CureVac</w:t>
        </w:r>
      </w:hyperlink>
      <w:r>
        <w:rPr>
          <w:rFonts w:ascii="Arial" w:cs="Arial" w:eastAsia="Arial" w:hAnsi="Arial"/>
          <w:sz w:val="17"/>
          <w:szCs w:val="17"/>
          <w:u w:val="single" w:color="auto"/>
          <w:color w:val="0000EE"/>
        </w:rPr>
        <w:t xml:space="preserve"> </w:t>
      </w:r>
      <w:hyperlink r:id="rId811">
        <w:r>
          <w:rPr>
            <w:rFonts w:ascii="Arial" w:cs="Arial" w:eastAsia="Arial" w:hAnsi="Arial"/>
            <w:sz w:val="17"/>
            <w:szCs w:val="17"/>
            <w:u w:val="single" w:color="auto"/>
            <w:color w:val="0000EE"/>
          </w:rPr>
          <w:t>AG and Boehringer Ingelheim International GmbH, dated August 8, 2019 (incorporated by</w:t>
        </w:r>
      </w:hyperlink>
      <w:r>
        <w:rPr>
          <w:rFonts w:ascii="Arial" w:cs="Arial" w:eastAsia="Arial" w:hAnsi="Arial"/>
          <w:sz w:val="17"/>
          <w:szCs w:val="17"/>
          <w:u w:val="single" w:color="auto"/>
          <w:color w:val="0000EE"/>
        </w:rPr>
        <w:t xml:space="preserve"> </w:t>
      </w:r>
      <w:hyperlink r:id="rId811">
        <w:r>
          <w:rPr>
            <w:rFonts w:ascii="Arial" w:cs="Arial" w:eastAsia="Arial" w:hAnsi="Arial"/>
            <w:sz w:val="17"/>
            <w:szCs w:val="17"/>
            <w:u w:val="single" w:color="auto"/>
            <w:color w:val="0000EE"/>
          </w:rPr>
          <w:t>reference to Exhibit 10.6 to the Company’s Form F-1 filed on August 10, 2020).†</w:t>
        </w:r>
      </w:hyperlink>
    </w:p>
    <w:p>
      <w:pPr>
        <w:spacing w:after="0" w:line="30" w:lineRule="exact"/>
        <w:rPr>
          <w:rFonts w:ascii="Arial" w:cs="Arial" w:eastAsia="Arial" w:hAnsi="Arial"/>
          <w:sz w:val="17"/>
          <w:szCs w:val="17"/>
          <w:u w:val="single" w:color="auto"/>
          <w:color w:val="0000EE"/>
        </w:rPr>
      </w:pPr>
    </w:p>
    <w:p>
      <w:pPr>
        <w:ind w:left="2080" w:right="559" w:hanging="809"/>
        <w:spacing w:after="0" w:line="263"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812">
        <w:r>
          <w:rPr>
            <w:rFonts w:ascii="Arial" w:cs="Arial" w:eastAsia="Arial" w:hAnsi="Arial"/>
            <w:sz w:val="18"/>
            <w:szCs w:val="18"/>
            <w:u w:val="single" w:color="auto"/>
            <w:color w:val="0000EE"/>
          </w:rPr>
          <w:t>Global Access Commitments Agreement, by and between Bill &amp; Melinda Gates Foundation and</w:t>
        </w:r>
      </w:hyperlink>
      <w:r>
        <w:rPr>
          <w:rFonts w:ascii="Arial" w:cs="Arial" w:eastAsia="Arial" w:hAnsi="Arial"/>
          <w:sz w:val="18"/>
          <w:szCs w:val="18"/>
          <w:u w:val="single" w:color="auto"/>
          <w:color w:val="0000EE"/>
        </w:rPr>
        <w:t xml:space="preserve"> </w:t>
      </w:r>
      <w:hyperlink r:id="rId812">
        <w:r>
          <w:rPr>
            <w:rFonts w:ascii="Arial" w:cs="Arial" w:eastAsia="Arial" w:hAnsi="Arial"/>
            <w:sz w:val="18"/>
            <w:szCs w:val="18"/>
            <w:u w:val="single" w:color="auto"/>
            <w:color w:val="0000EE"/>
          </w:rPr>
          <w:t>CureVac GmbH, dated February 13, 2015 (incorporated by reference to Exhibit 10.7 to the</w:t>
        </w:r>
      </w:hyperlink>
      <w:r>
        <w:rPr>
          <w:rFonts w:ascii="Arial" w:cs="Arial" w:eastAsia="Arial" w:hAnsi="Arial"/>
          <w:sz w:val="18"/>
          <w:szCs w:val="18"/>
          <w:u w:val="single" w:color="auto"/>
          <w:color w:val="0000EE"/>
        </w:rPr>
        <w:t xml:space="preserve"> </w:t>
      </w:r>
      <w:hyperlink r:id="rId812">
        <w:r>
          <w:rPr>
            <w:rFonts w:ascii="Arial" w:cs="Arial" w:eastAsia="Arial" w:hAnsi="Arial"/>
            <w:sz w:val="18"/>
            <w:szCs w:val="18"/>
            <w:u w:val="single" w:color="auto"/>
            <w:color w:val="0000EE"/>
          </w:rPr>
          <w:t>Company’s Form F-1 filed on August 10, 2020).†</w:t>
        </w:r>
      </w:hyperlink>
    </w:p>
    <w:p>
      <w:pPr>
        <w:spacing w:after="0" w:line="49" w:lineRule="exact"/>
        <w:rPr>
          <w:rFonts w:ascii="Arial" w:cs="Arial" w:eastAsia="Arial" w:hAnsi="Arial"/>
          <w:sz w:val="18"/>
          <w:szCs w:val="18"/>
          <w:u w:val="single" w:color="auto"/>
          <w:color w:val="0000EE"/>
        </w:rPr>
      </w:pPr>
    </w:p>
    <w:p>
      <w:pPr>
        <w:ind w:left="2080" w:right="599" w:hanging="809"/>
        <w:spacing w:after="0" w:line="259"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813">
        <w:r>
          <w:rPr>
            <w:rFonts w:ascii="Arial" w:cs="Arial" w:eastAsia="Arial" w:hAnsi="Arial"/>
            <w:sz w:val="18"/>
            <w:szCs w:val="18"/>
            <w:u w:val="single" w:color="auto"/>
            <w:color w:val="0000EE"/>
          </w:rPr>
          <w:t>Definitive Agreement and Project Collaboration Plan for Assessment of RNA Vaccine</w:t>
        </w:r>
      </w:hyperlink>
      <w:r>
        <w:rPr>
          <w:rFonts w:ascii="Arial" w:cs="Arial" w:eastAsia="Arial" w:hAnsi="Arial"/>
          <w:sz w:val="18"/>
          <w:szCs w:val="18"/>
          <w:u w:val="single" w:color="auto"/>
          <w:color w:val="0000EE"/>
        </w:rPr>
        <w:t xml:space="preserve"> </w:t>
      </w:r>
      <w:hyperlink r:id="rId813">
        <w:r>
          <w:rPr>
            <w:rFonts w:ascii="Arial" w:cs="Arial" w:eastAsia="Arial" w:hAnsi="Arial"/>
            <w:sz w:val="18"/>
            <w:szCs w:val="18"/>
            <w:u w:val="single" w:color="auto"/>
            <w:color w:val="0000EE"/>
          </w:rPr>
          <w:t>Technology for Non-live Rotavirus Vaccines in Pre-clinical Models by and between Bill &amp;</w:t>
        </w:r>
      </w:hyperlink>
      <w:r>
        <w:rPr>
          <w:rFonts w:ascii="Arial" w:cs="Arial" w:eastAsia="Arial" w:hAnsi="Arial"/>
          <w:sz w:val="18"/>
          <w:szCs w:val="18"/>
          <w:u w:val="single" w:color="auto"/>
          <w:color w:val="0000EE"/>
        </w:rPr>
        <w:t xml:space="preserve"> </w:t>
      </w:r>
      <w:hyperlink r:id="rId813">
        <w:r>
          <w:rPr>
            <w:rFonts w:ascii="Arial" w:cs="Arial" w:eastAsia="Arial" w:hAnsi="Arial"/>
            <w:sz w:val="18"/>
            <w:szCs w:val="18"/>
            <w:u w:val="single" w:color="auto"/>
            <w:color w:val="0000EE"/>
          </w:rPr>
          <w:t>Melinda Gates Foundation and CureVac GmbH, dated May 15, 2014 (incorporated by reference</w:t>
        </w:r>
      </w:hyperlink>
      <w:r>
        <w:rPr>
          <w:rFonts w:ascii="Arial" w:cs="Arial" w:eastAsia="Arial" w:hAnsi="Arial"/>
          <w:sz w:val="18"/>
          <w:szCs w:val="18"/>
          <w:u w:val="single" w:color="auto"/>
          <w:color w:val="0000EE"/>
        </w:rPr>
        <w:t xml:space="preserve"> </w:t>
      </w:r>
      <w:hyperlink r:id="rId813">
        <w:r>
          <w:rPr>
            <w:rFonts w:ascii="Arial" w:cs="Arial" w:eastAsia="Arial" w:hAnsi="Arial"/>
            <w:sz w:val="18"/>
            <w:szCs w:val="18"/>
            <w:u w:val="single" w:color="auto"/>
            <w:color w:val="0000EE"/>
          </w:rPr>
          <w:t>to Exhibit 10.8 to the Company’s Form F-1 filed on August 10, 2020).†</w:t>
        </w:r>
      </w:hyperlink>
    </w:p>
    <w:p>
      <w:pPr>
        <w:spacing w:after="0" w:line="52" w:lineRule="exact"/>
        <w:rPr>
          <w:rFonts w:ascii="Arial" w:cs="Arial" w:eastAsia="Arial" w:hAnsi="Arial"/>
          <w:sz w:val="18"/>
          <w:szCs w:val="18"/>
          <w:u w:val="single" w:color="auto"/>
          <w:color w:val="0000EE"/>
        </w:rPr>
      </w:pPr>
    </w:p>
    <w:p>
      <w:pPr>
        <w:ind w:left="2080" w:right="479" w:hanging="809"/>
        <w:spacing w:after="0" w:line="263"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814">
        <w:r>
          <w:rPr>
            <w:rFonts w:ascii="Arial" w:cs="Arial" w:eastAsia="Arial" w:hAnsi="Arial"/>
            <w:sz w:val="18"/>
            <w:szCs w:val="18"/>
            <w:u w:val="single" w:color="auto"/>
            <w:color w:val="0000EE"/>
          </w:rPr>
          <w:t>Framework Partnering Agreement between Coalition for Epidemic Preparedness Innovations and</w:t>
        </w:r>
      </w:hyperlink>
      <w:r>
        <w:rPr>
          <w:rFonts w:ascii="Arial" w:cs="Arial" w:eastAsia="Arial" w:hAnsi="Arial"/>
          <w:sz w:val="18"/>
          <w:szCs w:val="18"/>
          <w:u w:val="single" w:color="auto"/>
          <w:color w:val="0000EE"/>
        </w:rPr>
        <w:t xml:space="preserve"> </w:t>
      </w:r>
      <w:hyperlink r:id="rId814">
        <w:r>
          <w:rPr>
            <w:rFonts w:ascii="Arial" w:cs="Arial" w:eastAsia="Arial" w:hAnsi="Arial"/>
            <w:sz w:val="18"/>
            <w:szCs w:val="18"/>
            <w:u w:val="single" w:color="auto"/>
            <w:color w:val="0000EE"/>
          </w:rPr>
          <w:t>CureVac AG, dated February 15, 2019 (incorporated by reference to Exhibit 10.9 to the</w:t>
        </w:r>
      </w:hyperlink>
      <w:r>
        <w:rPr>
          <w:rFonts w:ascii="Arial" w:cs="Arial" w:eastAsia="Arial" w:hAnsi="Arial"/>
          <w:sz w:val="18"/>
          <w:szCs w:val="18"/>
          <w:u w:val="single" w:color="auto"/>
          <w:color w:val="0000EE"/>
        </w:rPr>
        <w:t xml:space="preserve"> </w:t>
      </w:r>
      <w:hyperlink r:id="rId814">
        <w:r>
          <w:rPr>
            <w:rFonts w:ascii="Arial" w:cs="Arial" w:eastAsia="Arial" w:hAnsi="Arial"/>
            <w:sz w:val="18"/>
            <w:szCs w:val="18"/>
            <w:u w:val="single" w:color="auto"/>
            <w:color w:val="0000EE"/>
          </w:rPr>
          <w:t>Company’s Form F-1 filed on August 10, 2020).†</w:t>
        </w:r>
      </w:hyperlink>
    </w:p>
    <w:p>
      <w:pPr>
        <w:spacing w:after="0" w:line="49" w:lineRule="exact"/>
        <w:rPr>
          <w:rFonts w:ascii="Arial" w:cs="Arial" w:eastAsia="Arial" w:hAnsi="Arial"/>
          <w:sz w:val="18"/>
          <w:szCs w:val="18"/>
          <w:u w:val="single" w:color="auto"/>
          <w:color w:val="0000EE"/>
        </w:rPr>
      </w:pPr>
    </w:p>
    <w:p>
      <w:pPr>
        <w:ind w:left="2080" w:right="439" w:hanging="809"/>
        <w:spacing w:after="0" w:line="259"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815">
        <w:r>
          <w:rPr>
            <w:rFonts w:ascii="Arial" w:cs="Arial" w:eastAsia="Arial" w:hAnsi="Arial"/>
            <w:sz w:val="18"/>
            <w:szCs w:val="18"/>
            <w:u w:val="single" w:color="auto"/>
            <w:color w:val="0000EE"/>
          </w:rPr>
          <w:t>Workpackage Statement (Development of CureVac Outbreak Response To Novel Coronavirus</w:t>
        </w:r>
      </w:hyperlink>
      <w:r>
        <w:rPr>
          <w:rFonts w:ascii="Arial" w:cs="Arial" w:eastAsia="Arial" w:hAnsi="Arial"/>
          <w:sz w:val="18"/>
          <w:szCs w:val="18"/>
          <w:u w:val="single" w:color="auto"/>
          <w:color w:val="0000EE"/>
        </w:rPr>
        <w:t xml:space="preserve"> </w:t>
      </w:r>
      <w:hyperlink r:id="rId815">
        <w:r>
          <w:rPr>
            <w:rFonts w:ascii="Arial" w:cs="Arial" w:eastAsia="Arial" w:hAnsi="Arial"/>
            <w:sz w:val="18"/>
            <w:szCs w:val="18"/>
            <w:u w:val="single" w:color="auto"/>
            <w:color w:val="0000EE"/>
          </w:rPr>
          <w:t>(2019-nCoV)) between Coalition for Epidemic Preparedness Innovations and CureVac AG, dated</w:t>
        </w:r>
      </w:hyperlink>
      <w:r>
        <w:rPr>
          <w:rFonts w:ascii="Arial" w:cs="Arial" w:eastAsia="Arial" w:hAnsi="Arial"/>
          <w:sz w:val="18"/>
          <w:szCs w:val="18"/>
          <w:u w:val="single" w:color="auto"/>
          <w:color w:val="0000EE"/>
        </w:rPr>
        <w:t xml:space="preserve"> </w:t>
      </w:r>
      <w:hyperlink r:id="rId815">
        <w:r>
          <w:rPr>
            <w:rFonts w:ascii="Arial" w:cs="Arial" w:eastAsia="Arial" w:hAnsi="Arial"/>
            <w:sz w:val="18"/>
            <w:szCs w:val="18"/>
            <w:u w:val="single" w:color="auto"/>
            <w:color w:val="0000EE"/>
          </w:rPr>
          <w:t>January 27, 2020 (incorporated by reference to Exhibit 10.10 to the Company’s Form F-1 filed on</w:t>
        </w:r>
      </w:hyperlink>
      <w:r>
        <w:rPr>
          <w:rFonts w:ascii="Arial" w:cs="Arial" w:eastAsia="Arial" w:hAnsi="Arial"/>
          <w:sz w:val="18"/>
          <w:szCs w:val="18"/>
          <w:u w:val="single" w:color="auto"/>
          <w:color w:val="0000EE"/>
        </w:rPr>
        <w:t xml:space="preserve"> </w:t>
      </w:r>
      <w:hyperlink r:id="rId815">
        <w:r>
          <w:rPr>
            <w:rFonts w:ascii="Arial" w:cs="Arial" w:eastAsia="Arial" w:hAnsi="Arial"/>
            <w:sz w:val="18"/>
            <w:szCs w:val="18"/>
            <w:u w:val="single" w:color="auto"/>
            <w:color w:val="0000EE"/>
          </w:rPr>
          <w:t>August 10, 2020).†</w:t>
        </w:r>
      </w:hyperlink>
    </w:p>
    <w:p>
      <w:pPr>
        <w:spacing w:after="0" w:line="52" w:lineRule="exact"/>
        <w:rPr>
          <w:rFonts w:ascii="Arial" w:cs="Arial" w:eastAsia="Arial" w:hAnsi="Arial"/>
          <w:sz w:val="18"/>
          <w:szCs w:val="18"/>
          <w:u w:val="single" w:color="auto"/>
          <w:color w:val="0000EE"/>
        </w:rPr>
      </w:pPr>
    </w:p>
    <w:p>
      <w:pPr>
        <w:ind w:left="2080" w:right="499" w:hanging="809"/>
        <w:spacing w:after="0" w:line="263"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816">
        <w:r>
          <w:rPr>
            <w:rFonts w:ascii="Arial" w:cs="Arial" w:eastAsia="Arial" w:hAnsi="Arial"/>
            <w:sz w:val="18"/>
            <w:szCs w:val="18"/>
            <w:u w:val="single" w:color="auto"/>
            <w:color w:val="0000EE"/>
          </w:rPr>
          <w:t>Development and Option Agreement, between CureVac AG and Acuitas Therapeutics Inc., dated</w:t>
        </w:r>
      </w:hyperlink>
      <w:r>
        <w:rPr>
          <w:rFonts w:ascii="Arial" w:cs="Arial" w:eastAsia="Arial" w:hAnsi="Arial"/>
          <w:sz w:val="18"/>
          <w:szCs w:val="18"/>
          <w:u w:val="single" w:color="auto"/>
          <w:color w:val="0000EE"/>
        </w:rPr>
        <w:t xml:space="preserve"> </w:t>
      </w:r>
      <w:hyperlink r:id="rId816">
        <w:r>
          <w:rPr>
            <w:rFonts w:ascii="Arial" w:cs="Arial" w:eastAsia="Arial" w:hAnsi="Arial"/>
            <w:sz w:val="18"/>
            <w:szCs w:val="18"/>
            <w:u w:val="single" w:color="auto"/>
            <w:color w:val="0000EE"/>
          </w:rPr>
          <w:t>April 29, 2016 (incorporated by reference to Exhibit 10.11 to the Company’s Form F-1 filed on</w:t>
        </w:r>
      </w:hyperlink>
      <w:r>
        <w:rPr>
          <w:rFonts w:ascii="Arial" w:cs="Arial" w:eastAsia="Arial" w:hAnsi="Arial"/>
          <w:sz w:val="18"/>
          <w:szCs w:val="18"/>
          <w:u w:val="single" w:color="auto"/>
          <w:color w:val="0000EE"/>
        </w:rPr>
        <w:t xml:space="preserve"> </w:t>
      </w:r>
      <w:hyperlink r:id="rId816">
        <w:r>
          <w:rPr>
            <w:rFonts w:ascii="Arial" w:cs="Arial" w:eastAsia="Arial" w:hAnsi="Arial"/>
            <w:sz w:val="18"/>
            <w:szCs w:val="18"/>
            <w:u w:val="single" w:color="auto"/>
            <w:color w:val="0000EE"/>
          </w:rPr>
          <w:t>August 10, 2020).†</w:t>
        </w:r>
      </w:hyperlink>
    </w:p>
    <w:p>
      <w:pPr>
        <w:spacing w:after="0" w:line="62" w:lineRule="exact"/>
        <w:rPr>
          <w:rFonts w:ascii="Arial" w:cs="Arial" w:eastAsia="Arial" w:hAnsi="Arial"/>
          <w:sz w:val="18"/>
          <w:szCs w:val="18"/>
          <w:u w:val="single" w:color="auto"/>
          <w:color w:val="0000EE"/>
        </w:rPr>
      </w:pPr>
    </w:p>
    <w:p>
      <w:pPr>
        <w:ind w:left="2080" w:right="639" w:hanging="809"/>
        <w:spacing w:after="0" w:line="286" w:lineRule="auto"/>
        <w:tabs>
          <w:tab w:leader="none" w:pos="2060" w:val="left"/>
        </w:tabs>
        <w:rPr>
          <w:rFonts w:ascii="Arial" w:cs="Arial" w:eastAsia="Arial" w:hAnsi="Arial"/>
          <w:sz w:val="17"/>
          <w:szCs w:val="17"/>
          <w:u w:val="single" w:color="auto"/>
          <w:color w:val="0000EE"/>
        </w:rPr>
      </w:pPr>
      <w:r>
        <w:rPr>
          <w:rFonts w:ascii="Arial" w:cs="Arial" w:eastAsia="Arial" w:hAnsi="Arial"/>
          <w:sz w:val="18"/>
          <w:szCs w:val="18"/>
          <w:color w:val="auto"/>
        </w:rPr>
        <w:t>10.12</w:t>
      </w:r>
      <w:r>
        <w:rPr>
          <w:sz w:val="20"/>
          <w:szCs w:val="20"/>
          <w:color w:val="auto"/>
        </w:rPr>
        <w:tab/>
      </w:r>
      <w:hyperlink r:id="rId817">
        <w:r>
          <w:rPr>
            <w:rFonts w:ascii="Arial" w:cs="Arial" w:eastAsia="Arial" w:hAnsi="Arial"/>
            <w:sz w:val="17"/>
            <w:szCs w:val="17"/>
            <w:u w:val="single" w:color="auto"/>
            <w:color w:val="0000EE"/>
          </w:rPr>
          <w:t>Side Agreement and Amendment Number One to the Development and Option Agreement,</w:t>
        </w:r>
      </w:hyperlink>
      <w:r>
        <w:rPr>
          <w:rFonts w:ascii="Arial" w:cs="Arial" w:eastAsia="Arial" w:hAnsi="Arial"/>
          <w:sz w:val="17"/>
          <w:szCs w:val="17"/>
          <w:u w:val="single" w:color="auto"/>
          <w:color w:val="0000EE"/>
        </w:rPr>
        <w:t xml:space="preserve"> </w:t>
      </w:r>
      <w:hyperlink r:id="rId817">
        <w:r>
          <w:rPr>
            <w:rFonts w:ascii="Arial" w:cs="Arial" w:eastAsia="Arial" w:hAnsi="Arial"/>
            <w:sz w:val="17"/>
            <w:szCs w:val="17"/>
            <w:u w:val="single" w:color="auto"/>
            <w:color w:val="0000EE"/>
          </w:rPr>
          <w:t>between CureVac AG and Acuitas Therapeutics Inc., dated December 1, 2016 (incorporated by</w:t>
        </w:r>
      </w:hyperlink>
      <w:r>
        <w:rPr>
          <w:rFonts w:ascii="Arial" w:cs="Arial" w:eastAsia="Arial" w:hAnsi="Arial"/>
          <w:sz w:val="17"/>
          <w:szCs w:val="17"/>
          <w:u w:val="single" w:color="auto"/>
          <w:color w:val="0000EE"/>
        </w:rPr>
        <w:t xml:space="preserve"> </w:t>
      </w:r>
      <w:hyperlink r:id="rId817">
        <w:r>
          <w:rPr>
            <w:rFonts w:ascii="Arial" w:cs="Arial" w:eastAsia="Arial" w:hAnsi="Arial"/>
            <w:sz w:val="17"/>
            <w:szCs w:val="17"/>
            <w:u w:val="single" w:color="auto"/>
            <w:color w:val="0000EE"/>
          </w:rPr>
          <w:t>reference to Exhibit 10.12 to the Company’s Form F-1 filed on August 10, 2020).†</w:t>
        </w:r>
      </w:hyperlink>
    </w:p>
    <w:p>
      <w:pPr>
        <w:spacing w:after="0" w:line="44" w:lineRule="exact"/>
        <w:rPr>
          <w:rFonts w:ascii="Arial" w:cs="Arial" w:eastAsia="Arial" w:hAnsi="Arial"/>
          <w:sz w:val="17"/>
          <w:szCs w:val="17"/>
          <w:u w:val="single" w:color="auto"/>
          <w:color w:val="0000EE"/>
        </w:rPr>
      </w:pPr>
    </w:p>
    <w:p>
      <w:pPr>
        <w:ind w:left="2080" w:right="519" w:hanging="809"/>
        <w:spacing w:after="0" w:line="263"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818">
        <w:r>
          <w:rPr>
            <w:rFonts w:ascii="Arial" w:cs="Arial" w:eastAsia="Arial" w:hAnsi="Arial"/>
            <w:sz w:val="18"/>
            <w:szCs w:val="18"/>
            <w:u w:val="single" w:color="auto"/>
            <w:color w:val="0000EE"/>
          </w:rPr>
          <w:t>Development and Intellectual Property Agreement, between CureVac AG and Tesla Grohmann</w:t>
        </w:r>
      </w:hyperlink>
      <w:r>
        <w:rPr>
          <w:rFonts w:ascii="Arial" w:cs="Arial" w:eastAsia="Arial" w:hAnsi="Arial"/>
          <w:sz w:val="18"/>
          <w:szCs w:val="18"/>
          <w:u w:val="single" w:color="auto"/>
          <w:color w:val="0000EE"/>
        </w:rPr>
        <w:t xml:space="preserve"> </w:t>
      </w:r>
      <w:hyperlink r:id="rId818">
        <w:r>
          <w:rPr>
            <w:rFonts w:ascii="Arial" w:cs="Arial" w:eastAsia="Arial" w:hAnsi="Arial"/>
            <w:sz w:val="18"/>
            <w:szCs w:val="18"/>
            <w:u w:val="single" w:color="auto"/>
            <w:color w:val="0000EE"/>
          </w:rPr>
          <w:t>Automation GmbH, dated November 24, 2015 (incorporated by reference to Exhibit 10.13 to the</w:t>
        </w:r>
      </w:hyperlink>
      <w:r>
        <w:rPr>
          <w:rFonts w:ascii="Arial" w:cs="Arial" w:eastAsia="Arial" w:hAnsi="Arial"/>
          <w:sz w:val="18"/>
          <w:szCs w:val="18"/>
          <w:u w:val="single" w:color="auto"/>
          <w:color w:val="0000EE"/>
        </w:rPr>
        <w:t xml:space="preserve"> </w:t>
      </w:r>
      <w:hyperlink r:id="rId818">
        <w:r>
          <w:rPr>
            <w:rFonts w:ascii="Arial" w:cs="Arial" w:eastAsia="Arial" w:hAnsi="Arial"/>
            <w:sz w:val="18"/>
            <w:szCs w:val="18"/>
            <w:u w:val="single" w:color="auto"/>
            <w:color w:val="0000EE"/>
          </w:rPr>
          <w:t>Company’s Form F-1 filed on August 10, 2020).†</w:t>
        </w:r>
      </w:hyperlink>
    </w:p>
    <w:p>
      <w:pPr>
        <w:spacing w:after="0" w:line="62" w:lineRule="exact"/>
        <w:rPr>
          <w:rFonts w:ascii="Arial" w:cs="Arial" w:eastAsia="Arial" w:hAnsi="Arial"/>
          <w:sz w:val="18"/>
          <w:szCs w:val="18"/>
          <w:u w:val="single" w:color="auto"/>
          <w:color w:val="0000EE"/>
        </w:rPr>
      </w:pPr>
    </w:p>
    <w:p>
      <w:pPr>
        <w:ind w:left="2080" w:right="699" w:hanging="809"/>
        <w:spacing w:after="0" w:line="263"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819">
        <w:r>
          <w:rPr>
            <w:rFonts w:ascii="Arial" w:cs="Arial" w:eastAsia="Arial" w:hAnsi="Arial"/>
            <w:sz w:val="18"/>
            <w:szCs w:val="18"/>
            <w:u w:val="single" w:color="auto"/>
            <w:color w:val="0000EE"/>
          </w:rPr>
          <w:t>Development and Option Agreement, between CureVac AG and Arcturus Therapeutics Inc.,</w:t>
        </w:r>
      </w:hyperlink>
      <w:r>
        <w:rPr>
          <w:rFonts w:ascii="Arial" w:cs="Arial" w:eastAsia="Arial" w:hAnsi="Arial"/>
          <w:sz w:val="18"/>
          <w:szCs w:val="18"/>
          <w:u w:val="single" w:color="auto"/>
          <w:color w:val="0000EE"/>
        </w:rPr>
        <w:t xml:space="preserve"> </w:t>
      </w:r>
      <w:hyperlink r:id="rId819">
        <w:r>
          <w:rPr>
            <w:rFonts w:ascii="Arial" w:cs="Arial" w:eastAsia="Arial" w:hAnsi="Arial"/>
            <w:sz w:val="18"/>
            <w:szCs w:val="18"/>
            <w:u w:val="single" w:color="auto"/>
            <w:color w:val="0000EE"/>
          </w:rPr>
          <w:t>dated January 1, 2018 (incorporated by reference to Exhibit 10.14 to the Company’s Form F-1</w:t>
        </w:r>
      </w:hyperlink>
      <w:r>
        <w:rPr>
          <w:rFonts w:ascii="Arial" w:cs="Arial" w:eastAsia="Arial" w:hAnsi="Arial"/>
          <w:sz w:val="18"/>
          <w:szCs w:val="18"/>
          <w:u w:val="single" w:color="auto"/>
          <w:color w:val="0000EE"/>
        </w:rPr>
        <w:t xml:space="preserve"> </w:t>
      </w:r>
      <w:hyperlink r:id="rId819">
        <w:r>
          <w:rPr>
            <w:rFonts w:ascii="Arial" w:cs="Arial" w:eastAsia="Arial" w:hAnsi="Arial"/>
            <w:sz w:val="18"/>
            <w:szCs w:val="18"/>
            <w:u w:val="single" w:color="auto"/>
            <w:color w:val="0000EE"/>
          </w:rPr>
          <w:t>filed on August 10, 2020).†</w:t>
        </w:r>
      </w:hyperlink>
    </w:p>
    <w:p>
      <w:pPr>
        <w:spacing w:after="0" w:line="62" w:lineRule="exact"/>
        <w:rPr>
          <w:rFonts w:ascii="Arial" w:cs="Arial" w:eastAsia="Arial" w:hAnsi="Arial"/>
          <w:sz w:val="18"/>
          <w:szCs w:val="18"/>
          <w:u w:val="single" w:color="auto"/>
          <w:color w:val="0000EE"/>
        </w:rPr>
      </w:pPr>
    </w:p>
    <w:p>
      <w:pPr>
        <w:ind w:left="2080" w:right="1119" w:hanging="809"/>
        <w:spacing w:after="0" w:line="263"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820">
        <w:r>
          <w:rPr>
            <w:rFonts w:ascii="Arial" w:cs="Arial" w:eastAsia="Arial" w:hAnsi="Arial"/>
            <w:sz w:val="18"/>
            <w:szCs w:val="18"/>
            <w:u w:val="single" w:color="auto"/>
            <w:color w:val="0000EE"/>
          </w:rPr>
          <w:t>Restated Amendment to Development and Option Agreement, between CureVac AG and</w:t>
        </w:r>
      </w:hyperlink>
      <w:r>
        <w:rPr>
          <w:rFonts w:ascii="Arial" w:cs="Arial" w:eastAsia="Arial" w:hAnsi="Arial"/>
          <w:sz w:val="18"/>
          <w:szCs w:val="18"/>
          <w:u w:val="single" w:color="auto"/>
          <w:color w:val="0000EE"/>
        </w:rPr>
        <w:t xml:space="preserve"> </w:t>
      </w:r>
      <w:hyperlink r:id="rId820">
        <w:r>
          <w:rPr>
            <w:rFonts w:ascii="Arial" w:cs="Arial" w:eastAsia="Arial" w:hAnsi="Arial"/>
            <w:sz w:val="18"/>
            <w:szCs w:val="18"/>
            <w:u w:val="single" w:color="auto"/>
            <w:color w:val="0000EE"/>
          </w:rPr>
          <w:t>Arcturus Therapeutics Inc., dated September 28, 2018 (incorporated by reference to</w:t>
        </w:r>
      </w:hyperlink>
      <w:r>
        <w:rPr>
          <w:rFonts w:ascii="Arial" w:cs="Arial" w:eastAsia="Arial" w:hAnsi="Arial"/>
          <w:sz w:val="18"/>
          <w:szCs w:val="18"/>
          <w:u w:val="single" w:color="auto"/>
          <w:color w:val="0000EE"/>
        </w:rPr>
        <w:t xml:space="preserve"> </w:t>
      </w:r>
      <w:hyperlink r:id="rId820">
        <w:r>
          <w:rPr>
            <w:rFonts w:ascii="Arial" w:cs="Arial" w:eastAsia="Arial" w:hAnsi="Arial"/>
            <w:sz w:val="18"/>
            <w:szCs w:val="18"/>
            <w:u w:val="single" w:color="auto"/>
            <w:color w:val="0000EE"/>
          </w:rPr>
          <w:t>Exhibit 10.15 to the Company’s Form F-1 filed on August 10, 2020).†</w:t>
        </w:r>
      </w:hyperlink>
    </w:p>
    <w:p>
      <w:pPr>
        <w:spacing w:after="0" w:line="62" w:lineRule="exact"/>
        <w:rPr>
          <w:rFonts w:ascii="Arial" w:cs="Arial" w:eastAsia="Arial" w:hAnsi="Arial"/>
          <w:sz w:val="18"/>
          <w:szCs w:val="18"/>
          <w:u w:val="single" w:color="auto"/>
          <w:color w:val="0000EE"/>
        </w:rPr>
      </w:pPr>
    </w:p>
    <w:p>
      <w:pPr>
        <w:ind w:left="2080" w:right="639" w:hanging="809"/>
        <w:spacing w:after="0" w:line="263"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821">
        <w:r>
          <w:rPr>
            <w:rFonts w:ascii="Arial" w:cs="Arial" w:eastAsia="Arial" w:hAnsi="Arial"/>
            <w:sz w:val="18"/>
            <w:szCs w:val="18"/>
            <w:u w:val="single" w:color="auto"/>
            <w:color w:val="0000EE"/>
          </w:rPr>
          <w:t>Third Amendment to Development and Option Agreement, between CureVac AG and Arcturus</w:t>
        </w:r>
      </w:hyperlink>
      <w:r>
        <w:rPr>
          <w:rFonts w:ascii="Arial" w:cs="Arial" w:eastAsia="Arial" w:hAnsi="Arial"/>
          <w:sz w:val="18"/>
          <w:szCs w:val="18"/>
          <w:u w:val="single" w:color="auto"/>
          <w:color w:val="0000EE"/>
        </w:rPr>
        <w:t xml:space="preserve"> </w:t>
      </w:r>
      <w:hyperlink r:id="rId821">
        <w:r>
          <w:rPr>
            <w:rFonts w:ascii="Arial" w:cs="Arial" w:eastAsia="Arial" w:hAnsi="Arial"/>
            <w:sz w:val="18"/>
            <w:szCs w:val="18"/>
            <w:u w:val="single" w:color="auto"/>
            <w:color w:val="0000EE"/>
          </w:rPr>
          <w:t>Therapeutics Inc., dated July 24, 2019 (incorporated by reference to Exhibit 10.16 to the</w:t>
        </w:r>
      </w:hyperlink>
      <w:r>
        <w:rPr>
          <w:rFonts w:ascii="Arial" w:cs="Arial" w:eastAsia="Arial" w:hAnsi="Arial"/>
          <w:sz w:val="18"/>
          <w:szCs w:val="18"/>
          <w:u w:val="single" w:color="auto"/>
          <w:color w:val="0000EE"/>
        </w:rPr>
        <w:t xml:space="preserve"> </w:t>
      </w:r>
      <w:hyperlink r:id="rId821">
        <w:r>
          <w:rPr>
            <w:rFonts w:ascii="Arial" w:cs="Arial" w:eastAsia="Arial" w:hAnsi="Arial"/>
            <w:sz w:val="18"/>
            <w:szCs w:val="18"/>
            <w:u w:val="single" w:color="auto"/>
            <w:color w:val="0000EE"/>
          </w:rPr>
          <w:t>Company’s Form F-1 filed on August 10, 2020).†</w:t>
        </w:r>
      </w:hyperlink>
    </w:p>
    <w:p>
      <w:pPr>
        <w:spacing w:after="0" w:line="200" w:lineRule="exact"/>
        <w:rPr>
          <w:rFonts w:ascii="Arial" w:cs="Arial" w:eastAsia="Arial" w:hAnsi="Arial"/>
          <w:sz w:val="18"/>
          <w:szCs w:val="18"/>
          <w:u w:val="single" w:color="auto"/>
          <w:color w:val="0000EE"/>
        </w:rPr>
      </w:pPr>
    </w:p>
    <w:p>
      <w:pPr>
        <w:spacing w:after="0" w:line="213" w:lineRule="exact"/>
        <w:rPr>
          <w:rFonts w:ascii="Arial" w:cs="Arial" w:eastAsia="Arial" w:hAnsi="Arial"/>
          <w:sz w:val="18"/>
          <w:szCs w:val="18"/>
          <w:u w:val="single" w:color="auto"/>
          <w:color w:val="0000EE"/>
        </w:rPr>
      </w:pPr>
    </w:p>
    <w:p>
      <w:pPr>
        <w:ind w:left="5200"/>
        <w:spacing w:after="0"/>
        <w:rPr>
          <w:sz w:val="20"/>
          <w:szCs w:val="20"/>
          <w:color w:val="auto"/>
        </w:rPr>
      </w:pPr>
      <w:r>
        <w:rPr>
          <w:rFonts w:ascii="Arial" w:cs="Arial" w:eastAsia="Arial" w:hAnsi="Arial"/>
          <w:sz w:val="18"/>
          <w:szCs w:val="18"/>
          <w:color w:val="auto"/>
        </w:rPr>
        <w:t>II-3</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78" w:name="page379"/>
    <w:bookmarkEnd w:id="378"/>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80" w:right="899" w:hanging="809"/>
        <w:spacing w:after="0" w:line="263"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823">
        <w:r>
          <w:rPr>
            <w:rFonts w:ascii="Arial" w:cs="Arial" w:eastAsia="Arial" w:hAnsi="Arial"/>
            <w:sz w:val="18"/>
            <w:szCs w:val="18"/>
            <w:u w:val="single" w:color="auto"/>
            <w:color w:val="0000EE"/>
          </w:rPr>
          <w:t>Convertible loan, between Mr. Dietmar Hopp and CureVac AG, dated October 24, 2019</w:t>
        </w:r>
      </w:hyperlink>
      <w:r>
        <w:rPr>
          <w:rFonts w:ascii="Arial" w:cs="Arial" w:eastAsia="Arial" w:hAnsi="Arial"/>
          <w:sz w:val="18"/>
          <w:szCs w:val="18"/>
          <w:u w:val="single" w:color="auto"/>
          <w:color w:val="0000EE"/>
        </w:rPr>
        <w:t xml:space="preserve"> </w:t>
      </w:r>
      <w:hyperlink r:id="rId823">
        <w:r>
          <w:rPr>
            <w:rFonts w:ascii="Arial" w:cs="Arial" w:eastAsia="Arial" w:hAnsi="Arial"/>
            <w:sz w:val="18"/>
            <w:szCs w:val="18"/>
            <w:u w:val="single" w:color="auto"/>
            <w:color w:val="0000EE"/>
          </w:rPr>
          <w:t>(incorporated by reference to Exhibit 10.17 to the Company’s Form F-1 filed on August 10,</w:t>
        </w:r>
      </w:hyperlink>
      <w:r>
        <w:rPr>
          <w:rFonts w:ascii="Arial" w:cs="Arial" w:eastAsia="Arial" w:hAnsi="Arial"/>
          <w:sz w:val="18"/>
          <w:szCs w:val="18"/>
          <w:u w:val="single" w:color="auto"/>
          <w:color w:val="0000EE"/>
        </w:rPr>
        <w:t xml:space="preserve"> </w:t>
      </w:r>
      <w:hyperlink r:id="rId823">
        <w:r>
          <w:rPr>
            <w:rFonts w:ascii="Arial" w:cs="Arial" w:eastAsia="Arial" w:hAnsi="Arial"/>
            <w:sz w:val="18"/>
            <w:szCs w:val="18"/>
            <w:u w:val="single" w:color="auto"/>
            <w:color w:val="0000EE"/>
          </w:rPr>
          <w:t>2020).</w:t>
        </w:r>
      </w:hyperlink>
    </w:p>
    <w:p>
      <w:pPr>
        <w:spacing w:after="0" w:line="22" w:lineRule="exact"/>
        <w:rPr>
          <w:rFonts w:ascii="Arial" w:cs="Arial" w:eastAsia="Arial" w:hAnsi="Arial"/>
          <w:sz w:val="18"/>
          <w:szCs w:val="18"/>
          <w:u w:val="single" w:color="auto"/>
          <w:color w:val="0000EE"/>
        </w:rPr>
      </w:pPr>
    </w:p>
    <w:p>
      <w:pPr>
        <w:ind w:left="2080" w:right="419" w:hanging="809"/>
        <w:spacing w:after="0" w:line="263"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824">
        <w:r>
          <w:rPr>
            <w:rFonts w:ascii="Arial" w:cs="Arial" w:eastAsia="Arial" w:hAnsi="Arial"/>
            <w:sz w:val="18"/>
            <w:szCs w:val="18"/>
            <w:u w:val="single" w:color="auto"/>
            <w:color w:val="0000EE"/>
          </w:rPr>
          <w:t>Collaborative Research Agreement, between CureVac AG and Yale University, dated July 1, 2019</w:t>
        </w:r>
      </w:hyperlink>
      <w:r>
        <w:rPr>
          <w:rFonts w:ascii="Arial" w:cs="Arial" w:eastAsia="Arial" w:hAnsi="Arial"/>
          <w:sz w:val="18"/>
          <w:szCs w:val="18"/>
          <w:u w:val="single" w:color="auto"/>
          <w:color w:val="0000EE"/>
        </w:rPr>
        <w:t xml:space="preserve"> </w:t>
      </w:r>
      <w:hyperlink r:id="rId824">
        <w:r>
          <w:rPr>
            <w:rFonts w:ascii="Arial" w:cs="Arial" w:eastAsia="Arial" w:hAnsi="Arial"/>
            <w:sz w:val="18"/>
            <w:szCs w:val="18"/>
            <w:u w:val="single" w:color="auto"/>
            <w:color w:val="0000EE"/>
          </w:rPr>
          <w:t>(incorporated by reference to Exhibit 10.18 to the Company’s Form F-1 filed on August 10,</w:t>
        </w:r>
      </w:hyperlink>
      <w:r>
        <w:rPr>
          <w:rFonts w:ascii="Arial" w:cs="Arial" w:eastAsia="Arial" w:hAnsi="Arial"/>
          <w:sz w:val="18"/>
          <w:szCs w:val="18"/>
          <w:u w:val="single" w:color="auto"/>
          <w:color w:val="0000EE"/>
        </w:rPr>
        <w:t xml:space="preserve"> </w:t>
      </w:r>
      <w:hyperlink r:id="rId824">
        <w:r>
          <w:rPr>
            <w:rFonts w:ascii="Arial" w:cs="Arial" w:eastAsia="Arial" w:hAnsi="Arial"/>
            <w:sz w:val="18"/>
            <w:szCs w:val="18"/>
            <w:u w:val="single" w:color="auto"/>
            <w:color w:val="0000EE"/>
          </w:rPr>
          <w:t>2020).†</w:t>
        </w:r>
      </w:hyperlink>
    </w:p>
    <w:p>
      <w:pPr>
        <w:spacing w:after="0" w:line="49" w:lineRule="exact"/>
        <w:rPr>
          <w:rFonts w:ascii="Arial" w:cs="Arial" w:eastAsia="Arial" w:hAnsi="Arial"/>
          <w:sz w:val="18"/>
          <w:szCs w:val="18"/>
          <w:u w:val="single" w:color="auto"/>
          <w:color w:val="0000EE"/>
        </w:rPr>
      </w:pPr>
    </w:p>
    <w:p>
      <w:pPr>
        <w:jc w:val="both"/>
        <w:ind w:left="2080" w:right="459" w:hanging="809"/>
        <w:spacing w:after="0" w:line="263"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825">
        <w:r>
          <w:rPr>
            <w:rFonts w:ascii="Arial" w:cs="Arial" w:eastAsia="Arial" w:hAnsi="Arial"/>
            <w:sz w:val="18"/>
            <w:szCs w:val="18"/>
            <w:u w:val="single" w:color="auto"/>
            <w:color w:val="0000EE"/>
          </w:rPr>
          <w:t>Sponsored Research Agreement, between CureVac AG and The Schepens Eye Research Institute,</w:t>
        </w:r>
      </w:hyperlink>
      <w:r>
        <w:rPr>
          <w:rFonts w:ascii="Arial" w:cs="Arial" w:eastAsia="Arial" w:hAnsi="Arial"/>
          <w:sz w:val="18"/>
          <w:szCs w:val="18"/>
          <w:u w:val="single" w:color="auto"/>
          <w:color w:val="0000EE"/>
        </w:rPr>
        <w:t xml:space="preserve"> </w:t>
      </w:r>
      <w:hyperlink r:id="rId825">
        <w:r>
          <w:rPr>
            <w:rFonts w:ascii="Arial" w:cs="Arial" w:eastAsia="Arial" w:hAnsi="Arial"/>
            <w:sz w:val="18"/>
            <w:szCs w:val="18"/>
            <w:u w:val="single" w:color="auto"/>
            <w:color w:val="0000EE"/>
          </w:rPr>
          <w:t>Inc, dated March 15, 2019 (incorporated by reference to Exhibit 10.19 to the Company’s Form F-</w:t>
        </w:r>
      </w:hyperlink>
      <w:hyperlink r:id="rId825">
        <w:r>
          <w:rPr>
            <w:rFonts w:ascii="Arial" w:cs="Arial" w:eastAsia="Arial" w:hAnsi="Arial"/>
            <w:sz w:val="18"/>
            <w:szCs w:val="18"/>
            <w:u w:val="single" w:color="auto"/>
            <w:color w:val="0000EE"/>
          </w:rPr>
          <w:t>1 filed on August 10, 2020).†</w:t>
        </w:r>
      </w:hyperlink>
    </w:p>
    <w:p>
      <w:pPr>
        <w:spacing w:after="0" w:line="49" w:lineRule="exact"/>
        <w:rPr>
          <w:rFonts w:ascii="Arial" w:cs="Arial" w:eastAsia="Arial" w:hAnsi="Arial"/>
          <w:sz w:val="18"/>
          <w:szCs w:val="18"/>
          <w:u w:val="single" w:color="auto"/>
          <w:color w:val="0000EE"/>
        </w:rPr>
      </w:pPr>
    </w:p>
    <w:p>
      <w:pPr>
        <w:jc w:val="both"/>
        <w:ind w:left="2080" w:right="659" w:hanging="809"/>
        <w:spacing w:after="0" w:line="263"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10.20</w:t>
      </w:r>
      <w:r>
        <w:rPr>
          <w:sz w:val="20"/>
          <w:szCs w:val="20"/>
          <w:color w:val="auto"/>
        </w:rPr>
        <w:tab/>
      </w:r>
      <w:hyperlink r:id="rId826">
        <w:r>
          <w:rPr>
            <w:rFonts w:ascii="Arial" w:cs="Arial" w:eastAsia="Arial" w:hAnsi="Arial"/>
            <w:sz w:val="18"/>
            <w:szCs w:val="18"/>
            <w:u w:val="single" w:color="auto"/>
            <w:color w:val="0000EE"/>
          </w:rPr>
          <w:t>First Amendment to Sponsored Research Agreement, between CureVac AG and The Schepens</w:t>
        </w:r>
      </w:hyperlink>
      <w:r>
        <w:rPr>
          <w:rFonts w:ascii="Arial" w:cs="Arial" w:eastAsia="Arial" w:hAnsi="Arial"/>
          <w:sz w:val="18"/>
          <w:szCs w:val="18"/>
          <w:u w:val="single" w:color="auto"/>
          <w:color w:val="0000EE"/>
        </w:rPr>
        <w:t xml:space="preserve"> </w:t>
      </w:r>
      <w:hyperlink r:id="rId826">
        <w:r>
          <w:rPr>
            <w:rFonts w:ascii="Arial" w:cs="Arial" w:eastAsia="Arial" w:hAnsi="Arial"/>
            <w:sz w:val="18"/>
            <w:szCs w:val="18"/>
            <w:u w:val="single" w:color="auto"/>
            <w:color w:val="0000EE"/>
          </w:rPr>
          <w:t>Eye Research Institute, Inc, dated May 19, 2019 (incorporated by reference to Exhibit 10.20 to</w:t>
        </w:r>
      </w:hyperlink>
      <w:r>
        <w:rPr>
          <w:rFonts w:ascii="Arial" w:cs="Arial" w:eastAsia="Arial" w:hAnsi="Arial"/>
          <w:sz w:val="18"/>
          <w:szCs w:val="18"/>
          <w:u w:val="single" w:color="auto"/>
          <w:color w:val="0000EE"/>
        </w:rPr>
        <w:t xml:space="preserve"> </w:t>
      </w:r>
      <w:hyperlink r:id="rId826">
        <w:r>
          <w:rPr>
            <w:rFonts w:ascii="Arial" w:cs="Arial" w:eastAsia="Arial" w:hAnsi="Arial"/>
            <w:sz w:val="18"/>
            <w:szCs w:val="18"/>
            <w:u w:val="single" w:color="auto"/>
            <w:color w:val="0000EE"/>
          </w:rPr>
          <w:t>the Company’s Form F-1 filed on August 10, 2020).†</w:t>
        </w:r>
      </w:hyperlink>
    </w:p>
    <w:p>
      <w:pPr>
        <w:spacing w:after="0" w:line="49" w:lineRule="exact"/>
        <w:rPr>
          <w:rFonts w:ascii="Arial" w:cs="Arial" w:eastAsia="Arial" w:hAnsi="Arial"/>
          <w:sz w:val="18"/>
          <w:szCs w:val="18"/>
          <w:u w:val="single" w:color="auto"/>
          <w:color w:val="0000EE"/>
        </w:rPr>
      </w:pPr>
    </w:p>
    <w:p>
      <w:pPr>
        <w:ind w:left="2080" w:right="1119" w:hanging="809"/>
        <w:spacing w:after="0" w:line="286" w:lineRule="auto"/>
        <w:tabs>
          <w:tab w:leader="none" w:pos="2060" w:val="left"/>
        </w:tabs>
        <w:rPr>
          <w:rFonts w:ascii="Arial" w:cs="Arial" w:eastAsia="Arial" w:hAnsi="Arial"/>
          <w:sz w:val="17"/>
          <w:szCs w:val="17"/>
          <w:u w:val="single" w:color="auto"/>
          <w:color w:val="0000EE"/>
        </w:rPr>
      </w:pPr>
      <w:r>
        <w:rPr>
          <w:rFonts w:ascii="Arial" w:cs="Arial" w:eastAsia="Arial" w:hAnsi="Arial"/>
          <w:sz w:val="18"/>
          <w:szCs w:val="18"/>
          <w:color w:val="auto"/>
        </w:rPr>
        <w:t>10.21</w:t>
      </w:r>
      <w:r>
        <w:rPr>
          <w:sz w:val="20"/>
          <w:szCs w:val="20"/>
          <w:color w:val="auto"/>
        </w:rPr>
        <w:tab/>
      </w:r>
      <w:hyperlink r:id="rId827">
        <w:r>
          <w:rPr>
            <w:rFonts w:ascii="Arial" w:cs="Arial" w:eastAsia="Arial" w:hAnsi="Arial"/>
            <w:sz w:val="17"/>
            <w:szCs w:val="17"/>
            <w:u w:val="single" w:color="auto"/>
            <w:color w:val="0000EE"/>
          </w:rPr>
          <w:t>Rental contract for commercial premises, between CureVac Real Estate GmbH and</w:t>
        </w:r>
      </w:hyperlink>
      <w:r>
        <w:rPr>
          <w:rFonts w:ascii="Arial" w:cs="Arial" w:eastAsia="Arial" w:hAnsi="Arial"/>
          <w:sz w:val="17"/>
          <w:szCs w:val="17"/>
          <w:u w:val="single" w:color="auto"/>
          <w:color w:val="0000EE"/>
        </w:rPr>
        <w:t xml:space="preserve"> </w:t>
      </w:r>
      <w:hyperlink r:id="rId827">
        <w:r>
          <w:rPr>
            <w:rFonts w:ascii="Arial" w:cs="Arial" w:eastAsia="Arial" w:hAnsi="Arial"/>
            <w:sz w:val="17"/>
            <w:szCs w:val="17"/>
            <w:u w:val="single" w:color="auto"/>
            <w:color w:val="0000EE"/>
          </w:rPr>
          <w:t>Technologieparks Tübingen-Reutlingen GmbH, dated January 31, 2018 (incorporated by</w:t>
        </w:r>
      </w:hyperlink>
      <w:r>
        <w:rPr>
          <w:rFonts w:ascii="Arial" w:cs="Arial" w:eastAsia="Arial" w:hAnsi="Arial"/>
          <w:sz w:val="17"/>
          <w:szCs w:val="17"/>
          <w:u w:val="single" w:color="auto"/>
          <w:color w:val="0000EE"/>
        </w:rPr>
        <w:t xml:space="preserve"> </w:t>
      </w:r>
      <w:hyperlink r:id="rId827">
        <w:r>
          <w:rPr>
            <w:rFonts w:ascii="Arial" w:cs="Arial" w:eastAsia="Arial" w:hAnsi="Arial"/>
            <w:sz w:val="17"/>
            <w:szCs w:val="17"/>
            <w:u w:val="single" w:color="auto"/>
            <w:color w:val="0000EE"/>
          </w:rPr>
          <w:t>reference to Exhibit 10.21 to the Company’s Form F-1 filed on August 10, 2020).</w:t>
        </w:r>
      </w:hyperlink>
    </w:p>
    <w:p>
      <w:pPr>
        <w:spacing w:after="0" w:line="30" w:lineRule="exact"/>
        <w:rPr>
          <w:rFonts w:ascii="Arial" w:cs="Arial" w:eastAsia="Arial" w:hAnsi="Arial"/>
          <w:sz w:val="17"/>
          <w:szCs w:val="17"/>
          <w:u w:val="single" w:color="auto"/>
          <w:color w:val="0000EE"/>
        </w:rPr>
      </w:pPr>
    </w:p>
    <w:p>
      <w:pPr>
        <w:ind w:left="2080" w:right="539" w:hanging="809"/>
        <w:spacing w:after="0" w:line="263"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828">
        <w:r>
          <w:rPr>
            <w:rFonts w:ascii="Arial" w:cs="Arial" w:eastAsia="Arial" w:hAnsi="Arial"/>
            <w:sz w:val="18"/>
            <w:szCs w:val="18"/>
            <w:u w:val="single" w:color="auto"/>
            <w:color w:val="0000EE"/>
          </w:rPr>
          <w:t>Rental Contract between CureVac Real Estate GmbH and Fränkel Immobilien-Service GmbH,</w:t>
        </w:r>
      </w:hyperlink>
      <w:r>
        <w:rPr>
          <w:rFonts w:ascii="Arial" w:cs="Arial" w:eastAsia="Arial" w:hAnsi="Arial"/>
          <w:sz w:val="18"/>
          <w:szCs w:val="18"/>
          <w:u w:val="single" w:color="auto"/>
          <w:color w:val="0000EE"/>
        </w:rPr>
        <w:t xml:space="preserve"> </w:t>
      </w:r>
      <w:hyperlink r:id="rId828">
        <w:r>
          <w:rPr>
            <w:rFonts w:ascii="Arial" w:cs="Arial" w:eastAsia="Arial" w:hAnsi="Arial"/>
            <w:sz w:val="18"/>
            <w:szCs w:val="18"/>
            <w:u w:val="single" w:color="auto"/>
            <w:color w:val="0000EE"/>
          </w:rPr>
          <w:t>dated June 6, 2018 (incorporated by reference to Exhibit 10.22 to the Company’s Form F-1 filed</w:t>
        </w:r>
      </w:hyperlink>
      <w:r>
        <w:rPr>
          <w:rFonts w:ascii="Arial" w:cs="Arial" w:eastAsia="Arial" w:hAnsi="Arial"/>
          <w:sz w:val="18"/>
          <w:szCs w:val="18"/>
          <w:u w:val="single" w:color="auto"/>
          <w:color w:val="0000EE"/>
        </w:rPr>
        <w:t xml:space="preserve"> </w:t>
      </w:r>
      <w:hyperlink r:id="rId828">
        <w:r>
          <w:rPr>
            <w:rFonts w:ascii="Arial" w:cs="Arial" w:eastAsia="Arial" w:hAnsi="Arial"/>
            <w:sz w:val="18"/>
            <w:szCs w:val="18"/>
            <w:u w:val="single" w:color="auto"/>
            <w:color w:val="0000EE"/>
          </w:rPr>
          <w:t>on August 10, 2020).</w:t>
        </w:r>
      </w:hyperlink>
    </w:p>
    <w:p>
      <w:pPr>
        <w:spacing w:after="0" w:line="49" w:lineRule="exact"/>
        <w:rPr>
          <w:rFonts w:ascii="Arial" w:cs="Arial" w:eastAsia="Arial" w:hAnsi="Arial"/>
          <w:sz w:val="18"/>
          <w:szCs w:val="18"/>
          <w:u w:val="single" w:color="auto"/>
          <w:color w:val="0000EE"/>
        </w:rPr>
      </w:pPr>
    </w:p>
    <w:p>
      <w:pPr>
        <w:jc w:val="both"/>
        <w:ind w:left="2080" w:right="419" w:hanging="809"/>
        <w:spacing w:after="0" w:line="263"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10.23</w:t>
      </w:r>
      <w:r>
        <w:rPr>
          <w:sz w:val="20"/>
          <w:szCs w:val="20"/>
          <w:color w:val="auto"/>
        </w:rPr>
        <w:tab/>
      </w:r>
      <w:hyperlink r:id="rId829">
        <w:r>
          <w:rPr>
            <w:rFonts w:ascii="Arial" w:cs="Arial" w:eastAsia="Arial" w:hAnsi="Arial"/>
            <w:sz w:val="18"/>
            <w:szCs w:val="18"/>
            <w:u w:val="single" w:color="auto"/>
            <w:color w:val="0000EE"/>
          </w:rPr>
          <w:t>Supplement to the rental contract, between CureVac Real Estate GmbH and Fränkel Immobilien-</w:t>
        </w:r>
      </w:hyperlink>
      <w:hyperlink r:id="rId829">
        <w:r>
          <w:rPr>
            <w:rFonts w:ascii="Arial" w:cs="Arial" w:eastAsia="Arial" w:hAnsi="Arial"/>
            <w:sz w:val="18"/>
            <w:szCs w:val="18"/>
            <w:u w:val="single" w:color="auto"/>
            <w:color w:val="0000EE"/>
          </w:rPr>
          <w:t>Service GmbH, dated July 23, 2018 (incorporated by reference to Exhibit 10.23 to the Company’s</w:t>
        </w:r>
      </w:hyperlink>
      <w:r>
        <w:rPr>
          <w:rFonts w:ascii="Arial" w:cs="Arial" w:eastAsia="Arial" w:hAnsi="Arial"/>
          <w:sz w:val="18"/>
          <w:szCs w:val="18"/>
          <w:u w:val="single" w:color="auto"/>
          <w:color w:val="0000EE"/>
        </w:rPr>
        <w:t xml:space="preserve"> </w:t>
      </w:r>
      <w:hyperlink r:id="rId829">
        <w:r>
          <w:rPr>
            <w:rFonts w:ascii="Arial" w:cs="Arial" w:eastAsia="Arial" w:hAnsi="Arial"/>
            <w:sz w:val="18"/>
            <w:szCs w:val="18"/>
            <w:u w:val="single" w:color="auto"/>
            <w:color w:val="0000EE"/>
          </w:rPr>
          <w:t>Form F-1 filed on August 10, 2020).</w:t>
        </w:r>
      </w:hyperlink>
    </w:p>
    <w:p>
      <w:pPr>
        <w:spacing w:after="0" w:line="49" w:lineRule="exact"/>
        <w:rPr>
          <w:rFonts w:ascii="Arial" w:cs="Arial" w:eastAsia="Arial" w:hAnsi="Arial"/>
          <w:sz w:val="18"/>
          <w:szCs w:val="18"/>
          <w:u w:val="single" w:color="auto"/>
          <w:color w:val="0000EE"/>
        </w:rPr>
      </w:pPr>
    </w:p>
    <w:p>
      <w:pPr>
        <w:ind w:left="2080" w:right="439" w:hanging="809"/>
        <w:spacing w:after="0" w:line="263"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10.24</w:t>
      </w:r>
      <w:r>
        <w:rPr>
          <w:sz w:val="20"/>
          <w:szCs w:val="20"/>
          <w:color w:val="auto"/>
        </w:rPr>
        <w:tab/>
      </w:r>
      <w:hyperlink r:id="rId830">
        <w:r>
          <w:rPr>
            <w:rFonts w:ascii="Arial" w:cs="Arial" w:eastAsia="Arial" w:hAnsi="Arial"/>
            <w:sz w:val="18"/>
            <w:szCs w:val="18"/>
            <w:u w:val="single" w:color="auto"/>
            <w:color w:val="0000EE"/>
          </w:rPr>
          <w:t>Second Supplement to the rental contract, between CureVac Real Estate GmbH and Fränkel</w:t>
        </w:r>
      </w:hyperlink>
      <w:r>
        <w:rPr>
          <w:rFonts w:ascii="Arial" w:cs="Arial" w:eastAsia="Arial" w:hAnsi="Arial"/>
          <w:sz w:val="18"/>
          <w:szCs w:val="18"/>
          <w:u w:val="single" w:color="auto"/>
          <w:color w:val="0000EE"/>
        </w:rPr>
        <w:t xml:space="preserve"> </w:t>
      </w:r>
      <w:hyperlink r:id="rId830">
        <w:r>
          <w:rPr>
            <w:rFonts w:ascii="Arial" w:cs="Arial" w:eastAsia="Arial" w:hAnsi="Arial"/>
            <w:sz w:val="18"/>
            <w:szCs w:val="18"/>
            <w:u w:val="single" w:color="auto"/>
            <w:color w:val="0000EE"/>
          </w:rPr>
          <w:t>Immobilien-Service GmbH, dated August 20, 2018 (incorporated by reference to Exhibit 10.24 to</w:t>
        </w:r>
      </w:hyperlink>
      <w:r>
        <w:rPr>
          <w:rFonts w:ascii="Arial" w:cs="Arial" w:eastAsia="Arial" w:hAnsi="Arial"/>
          <w:sz w:val="18"/>
          <w:szCs w:val="18"/>
          <w:u w:val="single" w:color="auto"/>
          <w:color w:val="0000EE"/>
        </w:rPr>
        <w:t xml:space="preserve"> </w:t>
      </w:r>
      <w:hyperlink r:id="rId830">
        <w:r>
          <w:rPr>
            <w:rFonts w:ascii="Arial" w:cs="Arial" w:eastAsia="Arial" w:hAnsi="Arial"/>
            <w:sz w:val="18"/>
            <w:szCs w:val="18"/>
            <w:u w:val="single" w:color="auto"/>
            <w:color w:val="0000EE"/>
          </w:rPr>
          <w:t>the Company’s Form F-1 filed on August 10, 2020).</w:t>
        </w:r>
      </w:hyperlink>
    </w:p>
    <w:p>
      <w:pPr>
        <w:spacing w:after="0" w:line="49" w:lineRule="exact"/>
        <w:rPr>
          <w:rFonts w:ascii="Arial" w:cs="Arial" w:eastAsia="Arial" w:hAnsi="Arial"/>
          <w:sz w:val="18"/>
          <w:szCs w:val="18"/>
          <w:u w:val="single" w:color="auto"/>
          <w:color w:val="0000EE"/>
        </w:rPr>
      </w:pPr>
    </w:p>
    <w:p>
      <w:pPr>
        <w:ind w:left="2080" w:right="799" w:hanging="809"/>
        <w:spacing w:after="0" w:line="286" w:lineRule="auto"/>
        <w:tabs>
          <w:tab w:leader="none" w:pos="2060" w:val="left"/>
        </w:tabs>
        <w:rPr>
          <w:rFonts w:ascii="Arial" w:cs="Arial" w:eastAsia="Arial" w:hAnsi="Arial"/>
          <w:sz w:val="17"/>
          <w:szCs w:val="17"/>
          <w:u w:val="single" w:color="auto"/>
          <w:color w:val="0000EE"/>
        </w:rPr>
      </w:pPr>
      <w:r>
        <w:rPr>
          <w:rFonts w:ascii="Arial" w:cs="Arial" w:eastAsia="Arial" w:hAnsi="Arial"/>
          <w:sz w:val="18"/>
          <w:szCs w:val="18"/>
          <w:color w:val="auto"/>
        </w:rPr>
        <w:t>10.25</w:t>
      </w:r>
      <w:r>
        <w:rPr>
          <w:sz w:val="20"/>
          <w:szCs w:val="20"/>
          <w:color w:val="auto"/>
        </w:rPr>
        <w:tab/>
      </w:r>
      <w:hyperlink r:id="rId831">
        <w:r>
          <w:rPr>
            <w:rFonts w:ascii="Arial" w:cs="Arial" w:eastAsia="Arial" w:hAnsi="Arial"/>
            <w:sz w:val="17"/>
            <w:szCs w:val="17"/>
            <w:u w:val="single" w:color="auto"/>
            <w:color w:val="0000EE"/>
          </w:rPr>
          <w:t>Third Supplement to the rental contract, between CureVac Real Estate GmbH and HSB</w:t>
        </w:r>
      </w:hyperlink>
      <w:r>
        <w:rPr>
          <w:rFonts w:ascii="Arial" w:cs="Arial" w:eastAsia="Arial" w:hAnsi="Arial"/>
          <w:sz w:val="17"/>
          <w:szCs w:val="17"/>
          <w:u w:val="single" w:color="auto"/>
          <w:color w:val="0000EE"/>
        </w:rPr>
        <w:t xml:space="preserve"> </w:t>
      </w:r>
      <w:hyperlink r:id="rId831">
        <w:r>
          <w:rPr>
            <w:rFonts w:ascii="Arial" w:cs="Arial" w:eastAsia="Arial" w:hAnsi="Arial"/>
            <w:sz w:val="17"/>
            <w:szCs w:val="17"/>
            <w:u w:val="single" w:color="auto"/>
            <w:color w:val="0000EE"/>
          </w:rPr>
          <w:t>Vermietungs-und Verpachtungs-GmbH &amp; Co. KG, dated November 5, 2018 (incorporated by</w:t>
        </w:r>
      </w:hyperlink>
      <w:r>
        <w:rPr>
          <w:rFonts w:ascii="Arial" w:cs="Arial" w:eastAsia="Arial" w:hAnsi="Arial"/>
          <w:sz w:val="17"/>
          <w:szCs w:val="17"/>
          <w:u w:val="single" w:color="auto"/>
          <w:color w:val="0000EE"/>
        </w:rPr>
        <w:t xml:space="preserve"> </w:t>
      </w:r>
      <w:hyperlink r:id="rId831">
        <w:r>
          <w:rPr>
            <w:rFonts w:ascii="Arial" w:cs="Arial" w:eastAsia="Arial" w:hAnsi="Arial"/>
            <w:sz w:val="17"/>
            <w:szCs w:val="17"/>
            <w:u w:val="single" w:color="auto"/>
            <w:color w:val="0000EE"/>
          </w:rPr>
          <w:t>reference to Exhibit 10.25 to the Company’s Form F-1 filed on August 10, 2020).</w:t>
        </w:r>
      </w:hyperlink>
    </w:p>
    <w:p>
      <w:pPr>
        <w:spacing w:after="0" w:line="30" w:lineRule="exact"/>
        <w:rPr>
          <w:rFonts w:ascii="Arial" w:cs="Arial" w:eastAsia="Arial" w:hAnsi="Arial"/>
          <w:sz w:val="17"/>
          <w:szCs w:val="17"/>
          <w:u w:val="single" w:color="auto"/>
          <w:color w:val="0000EE"/>
        </w:rPr>
      </w:pPr>
    </w:p>
    <w:p>
      <w:pPr>
        <w:ind w:left="2080" w:right="899" w:hanging="809"/>
        <w:spacing w:after="0" w:line="286" w:lineRule="auto"/>
        <w:tabs>
          <w:tab w:leader="none" w:pos="2060" w:val="left"/>
        </w:tabs>
        <w:rPr>
          <w:rFonts w:ascii="Arial" w:cs="Arial" w:eastAsia="Arial" w:hAnsi="Arial"/>
          <w:sz w:val="17"/>
          <w:szCs w:val="17"/>
          <w:u w:val="single" w:color="auto"/>
          <w:color w:val="0000EE"/>
        </w:rPr>
      </w:pPr>
      <w:r>
        <w:rPr>
          <w:rFonts w:ascii="Arial" w:cs="Arial" w:eastAsia="Arial" w:hAnsi="Arial"/>
          <w:sz w:val="18"/>
          <w:szCs w:val="18"/>
          <w:color w:val="auto"/>
        </w:rPr>
        <w:t>10.26</w:t>
      </w:r>
      <w:r>
        <w:rPr>
          <w:sz w:val="20"/>
          <w:szCs w:val="20"/>
          <w:color w:val="auto"/>
        </w:rPr>
        <w:tab/>
      </w:r>
      <w:hyperlink r:id="rId832">
        <w:r>
          <w:rPr>
            <w:rFonts w:ascii="Arial" w:cs="Arial" w:eastAsia="Arial" w:hAnsi="Arial"/>
            <w:sz w:val="17"/>
            <w:szCs w:val="17"/>
            <w:u w:val="single" w:color="auto"/>
            <w:color w:val="0000EE"/>
          </w:rPr>
          <w:t>Fourth Supplement to the rental contract, between CureVac Real Estate GmbH and HSB</w:t>
        </w:r>
      </w:hyperlink>
      <w:r>
        <w:rPr>
          <w:rFonts w:ascii="Arial" w:cs="Arial" w:eastAsia="Arial" w:hAnsi="Arial"/>
          <w:sz w:val="17"/>
          <w:szCs w:val="17"/>
          <w:u w:val="single" w:color="auto"/>
          <w:color w:val="0000EE"/>
        </w:rPr>
        <w:t xml:space="preserve"> </w:t>
      </w:r>
      <w:hyperlink r:id="rId832">
        <w:r>
          <w:rPr>
            <w:rFonts w:ascii="Arial" w:cs="Arial" w:eastAsia="Arial" w:hAnsi="Arial"/>
            <w:sz w:val="17"/>
            <w:szCs w:val="17"/>
            <w:u w:val="single" w:color="auto"/>
            <w:color w:val="0000EE"/>
          </w:rPr>
          <w:t>Vermietungs-und Verpachtungs-GmbH &amp; Co. KG, dated October 22, 2019 (incorporated by</w:t>
        </w:r>
      </w:hyperlink>
      <w:r>
        <w:rPr>
          <w:rFonts w:ascii="Arial" w:cs="Arial" w:eastAsia="Arial" w:hAnsi="Arial"/>
          <w:sz w:val="17"/>
          <w:szCs w:val="17"/>
          <w:u w:val="single" w:color="auto"/>
          <w:color w:val="0000EE"/>
        </w:rPr>
        <w:t xml:space="preserve"> </w:t>
      </w:r>
      <w:hyperlink r:id="rId832">
        <w:r>
          <w:rPr>
            <w:rFonts w:ascii="Arial" w:cs="Arial" w:eastAsia="Arial" w:hAnsi="Arial"/>
            <w:sz w:val="17"/>
            <w:szCs w:val="17"/>
            <w:u w:val="single" w:color="auto"/>
            <w:color w:val="0000EE"/>
          </w:rPr>
          <w:t>reference to Exhibit 10.26 to the Company’s Form F-1 filed on August 10, 2020).</w:t>
        </w:r>
      </w:hyperlink>
    </w:p>
    <w:p>
      <w:pPr>
        <w:spacing w:after="0" w:line="44" w:lineRule="exact"/>
        <w:rPr>
          <w:rFonts w:ascii="Arial" w:cs="Arial" w:eastAsia="Arial" w:hAnsi="Arial"/>
          <w:sz w:val="17"/>
          <w:szCs w:val="17"/>
          <w:u w:val="single" w:color="auto"/>
          <w:color w:val="0000EE"/>
        </w:rPr>
      </w:pPr>
    </w:p>
    <w:p>
      <w:pPr>
        <w:ind w:left="2080" w:right="479" w:hanging="809"/>
        <w:spacing w:after="0" w:line="263"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10.27</w:t>
      </w:r>
      <w:r>
        <w:rPr>
          <w:sz w:val="20"/>
          <w:szCs w:val="20"/>
          <w:color w:val="auto"/>
        </w:rPr>
        <w:tab/>
      </w:r>
      <w:hyperlink r:id="rId833">
        <w:r>
          <w:rPr>
            <w:rFonts w:ascii="Arial" w:cs="Arial" w:eastAsia="Arial" w:hAnsi="Arial"/>
            <w:sz w:val="18"/>
            <w:szCs w:val="18"/>
            <w:u w:val="single" w:color="auto"/>
            <w:color w:val="0000EE"/>
          </w:rPr>
          <w:t>Form of indemnification agreement between CureVac N.V. and members of the Supervisory</w:t>
        </w:r>
      </w:hyperlink>
      <w:r>
        <w:rPr>
          <w:rFonts w:ascii="Arial" w:cs="Arial" w:eastAsia="Arial" w:hAnsi="Arial"/>
          <w:sz w:val="18"/>
          <w:szCs w:val="18"/>
          <w:u w:val="single" w:color="auto"/>
          <w:color w:val="0000EE"/>
        </w:rPr>
        <w:t xml:space="preserve"> </w:t>
      </w:r>
      <w:hyperlink r:id="rId833">
        <w:r>
          <w:rPr>
            <w:rFonts w:ascii="Arial" w:cs="Arial" w:eastAsia="Arial" w:hAnsi="Arial"/>
            <w:sz w:val="18"/>
            <w:szCs w:val="18"/>
            <w:u w:val="single" w:color="auto"/>
            <w:color w:val="0000EE"/>
          </w:rPr>
          <w:t>Board or Management Board (incorporated by reference to Exhibit 10.27 to the Company’s Form</w:t>
        </w:r>
      </w:hyperlink>
      <w:r>
        <w:rPr>
          <w:rFonts w:ascii="Arial" w:cs="Arial" w:eastAsia="Arial" w:hAnsi="Arial"/>
          <w:sz w:val="18"/>
          <w:szCs w:val="18"/>
          <w:u w:val="single" w:color="auto"/>
          <w:color w:val="0000EE"/>
        </w:rPr>
        <w:t xml:space="preserve"> </w:t>
      </w:r>
      <w:hyperlink r:id="rId833">
        <w:r>
          <w:rPr>
            <w:rFonts w:ascii="Arial" w:cs="Arial" w:eastAsia="Arial" w:hAnsi="Arial"/>
            <w:sz w:val="18"/>
            <w:szCs w:val="18"/>
            <w:u w:val="single" w:color="auto"/>
            <w:color w:val="0000EE"/>
          </w:rPr>
          <w:t>F-1 filed on August 10, 2020).</w:t>
        </w:r>
      </w:hyperlink>
    </w:p>
    <w:p>
      <w:pPr>
        <w:spacing w:after="0" w:line="62" w:lineRule="exact"/>
        <w:rPr>
          <w:rFonts w:ascii="Arial" w:cs="Arial" w:eastAsia="Arial" w:hAnsi="Arial"/>
          <w:sz w:val="18"/>
          <w:szCs w:val="18"/>
          <w:u w:val="single" w:color="auto"/>
          <w:color w:val="0000EE"/>
        </w:rPr>
      </w:pPr>
    </w:p>
    <w:p>
      <w:pPr>
        <w:ind w:left="2080" w:right="959" w:hanging="809"/>
        <w:spacing w:after="0" w:line="277"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10.28</w:t>
      </w:r>
      <w:r>
        <w:rPr>
          <w:sz w:val="20"/>
          <w:szCs w:val="20"/>
          <w:color w:val="auto"/>
        </w:rPr>
        <w:tab/>
      </w:r>
      <w:hyperlink r:id="rId834">
        <w:r>
          <w:rPr>
            <w:rFonts w:ascii="Arial" w:cs="Arial" w:eastAsia="Arial" w:hAnsi="Arial"/>
            <w:sz w:val="18"/>
            <w:szCs w:val="18"/>
            <w:u w:val="single" w:color="auto"/>
            <w:color w:val="0000EE"/>
          </w:rPr>
          <w:t>CureVac N.V. Long-Term Incentive Plan (incorporated by reference to Exhibit 10.28 to the</w:t>
        </w:r>
      </w:hyperlink>
      <w:r>
        <w:rPr>
          <w:rFonts w:ascii="Arial" w:cs="Arial" w:eastAsia="Arial" w:hAnsi="Arial"/>
          <w:sz w:val="18"/>
          <w:szCs w:val="18"/>
          <w:u w:val="single" w:color="auto"/>
          <w:color w:val="0000EE"/>
        </w:rPr>
        <w:t xml:space="preserve"> </w:t>
      </w:r>
      <w:hyperlink r:id="rId834">
        <w:r>
          <w:rPr>
            <w:rFonts w:ascii="Arial" w:cs="Arial" w:eastAsia="Arial" w:hAnsi="Arial"/>
            <w:sz w:val="18"/>
            <w:szCs w:val="18"/>
            <w:u w:val="single" w:color="auto"/>
            <w:color w:val="0000EE"/>
          </w:rPr>
          <w:t>Company’s Form F-1 filed on August 10, 2020).</w:t>
        </w:r>
      </w:hyperlink>
    </w:p>
    <w:p>
      <w:pPr>
        <w:spacing w:after="0" w:line="49" w:lineRule="exact"/>
        <w:rPr>
          <w:sz w:val="20"/>
          <w:szCs w:val="20"/>
          <w:color w:val="auto"/>
        </w:rPr>
      </w:pPr>
    </w:p>
    <w:p>
      <w:pPr>
        <w:ind w:left="2080" w:right="1059" w:hanging="809"/>
        <w:spacing w:after="0" w:line="277"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10.29</w:t>
      </w:r>
      <w:r>
        <w:rPr>
          <w:sz w:val="20"/>
          <w:szCs w:val="20"/>
          <w:color w:val="auto"/>
        </w:rPr>
        <w:tab/>
      </w:r>
      <w:hyperlink r:id="rId835">
        <w:r>
          <w:rPr>
            <w:rFonts w:ascii="Arial" w:cs="Arial" w:eastAsia="Arial" w:hAnsi="Arial"/>
            <w:sz w:val="18"/>
            <w:szCs w:val="18"/>
            <w:u w:val="single" w:color="auto"/>
            <w:color w:val="0000EE"/>
          </w:rPr>
          <w:t>Curevac Virtual Share Plan (incorporated by reference to Exhibit 10.29 to the Company’s</w:t>
        </w:r>
      </w:hyperlink>
      <w:r>
        <w:rPr>
          <w:rFonts w:ascii="Arial" w:cs="Arial" w:eastAsia="Arial" w:hAnsi="Arial"/>
          <w:sz w:val="18"/>
          <w:szCs w:val="18"/>
          <w:u w:val="single" w:color="auto"/>
          <w:color w:val="0000EE"/>
        </w:rPr>
        <w:t xml:space="preserve"> </w:t>
      </w:r>
      <w:hyperlink r:id="rId835">
        <w:r>
          <w:rPr>
            <w:rFonts w:ascii="Arial" w:cs="Arial" w:eastAsia="Arial" w:hAnsi="Arial"/>
            <w:sz w:val="18"/>
            <w:szCs w:val="18"/>
            <w:u w:val="single" w:color="auto"/>
            <w:color w:val="0000EE"/>
          </w:rPr>
          <w:t>Form F-1 filed on August 10, 2020).</w:t>
        </w:r>
      </w:hyperlink>
    </w:p>
    <w:p>
      <w:pPr>
        <w:spacing w:after="0" w:line="49" w:lineRule="exact"/>
        <w:rPr>
          <w:sz w:val="20"/>
          <w:szCs w:val="20"/>
          <w:color w:val="auto"/>
        </w:rPr>
      </w:pPr>
    </w:p>
    <w:p>
      <w:pPr>
        <w:jc w:val="both"/>
        <w:ind w:left="2080" w:right="799" w:hanging="809"/>
        <w:spacing w:after="0" w:line="263"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10.30</w:t>
      </w:r>
      <w:r>
        <w:rPr>
          <w:sz w:val="20"/>
          <w:szCs w:val="20"/>
          <w:color w:val="auto"/>
        </w:rPr>
        <w:tab/>
      </w:r>
      <w:hyperlink r:id="rId836">
        <w:r>
          <w:rPr>
            <w:rFonts w:ascii="Arial" w:cs="Arial" w:eastAsia="Arial" w:hAnsi="Arial"/>
            <w:sz w:val="18"/>
            <w:szCs w:val="18"/>
            <w:u w:val="single" w:color="auto"/>
            <w:color w:val="0000EE"/>
          </w:rPr>
          <w:t>Termination agreement between CureVac AG, CureVac Real Estate GmbH and Eli Lilly and</w:t>
        </w:r>
      </w:hyperlink>
      <w:r>
        <w:rPr>
          <w:rFonts w:ascii="Arial" w:cs="Arial" w:eastAsia="Arial" w:hAnsi="Arial"/>
          <w:sz w:val="18"/>
          <w:szCs w:val="18"/>
          <w:u w:val="single" w:color="auto"/>
          <w:color w:val="0000EE"/>
        </w:rPr>
        <w:t xml:space="preserve"> </w:t>
      </w:r>
      <w:hyperlink r:id="rId836">
        <w:r>
          <w:rPr>
            <w:rFonts w:ascii="Arial" w:cs="Arial" w:eastAsia="Arial" w:hAnsi="Arial"/>
            <w:sz w:val="18"/>
            <w:szCs w:val="18"/>
            <w:u w:val="single" w:color="auto"/>
            <w:color w:val="0000EE"/>
          </w:rPr>
          <w:t>Company, dated June 26, 2020 (incorporated by reference to Exhibit 10.30 to the Company’s</w:t>
        </w:r>
      </w:hyperlink>
      <w:r>
        <w:rPr>
          <w:rFonts w:ascii="Arial" w:cs="Arial" w:eastAsia="Arial" w:hAnsi="Arial"/>
          <w:sz w:val="18"/>
          <w:szCs w:val="18"/>
          <w:u w:val="single" w:color="auto"/>
          <w:color w:val="0000EE"/>
        </w:rPr>
        <w:t xml:space="preserve"> </w:t>
      </w:r>
      <w:hyperlink r:id="rId836">
        <w:r>
          <w:rPr>
            <w:rFonts w:ascii="Arial" w:cs="Arial" w:eastAsia="Arial" w:hAnsi="Arial"/>
            <w:sz w:val="18"/>
            <w:szCs w:val="18"/>
            <w:u w:val="single" w:color="auto"/>
            <w:color w:val="0000EE"/>
          </w:rPr>
          <w:t>Form F-1 filed on August 10, 2020).†</w:t>
        </w:r>
      </w:hyperlink>
    </w:p>
    <w:p>
      <w:pPr>
        <w:spacing w:after="0" w:line="62" w:lineRule="exact"/>
        <w:rPr>
          <w:rFonts w:ascii="Arial" w:cs="Arial" w:eastAsia="Arial" w:hAnsi="Arial"/>
          <w:sz w:val="18"/>
          <w:szCs w:val="18"/>
          <w:u w:val="single" w:color="auto"/>
          <w:color w:val="0000EE"/>
        </w:rPr>
      </w:pPr>
    </w:p>
    <w:p>
      <w:pPr>
        <w:ind w:left="2080" w:right="459" w:hanging="809"/>
        <w:spacing w:after="0" w:line="263"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10.31</w:t>
      </w:r>
      <w:r>
        <w:rPr>
          <w:sz w:val="20"/>
          <w:szCs w:val="20"/>
          <w:color w:val="auto"/>
        </w:rPr>
        <w:tab/>
      </w:r>
      <w:hyperlink r:id="rId837">
        <w:r>
          <w:rPr>
            <w:rFonts w:ascii="Arial" w:cs="Arial" w:eastAsia="Arial" w:hAnsi="Arial"/>
            <w:sz w:val="18"/>
            <w:szCs w:val="18"/>
            <w:u w:val="single" w:color="auto"/>
            <w:color w:val="0000EE"/>
          </w:rPr>
          <w:t>Amendment to the convertible loan agreement, between Mr. Dietmar Hopp and CureVac AG,</w:t>
        </w:r>
      </w:hyperlink>
      <w:r>
        <w:rPr>
          <w:rFonts w:ascii="Arial" w:cs="Arial" w:eastAsia="Arial" w:hAnsi="Arial"/>
          <w:sz w:val="18"/>
          <w:szCs w:val="18"/>
          <w:u w:val="single" w:color="auto"/>
          <w:color w:val="0000EE"/>
        </w:rPr>
        <w:t xml:space="preserve"> </w:t>
      </w:r>
      <w:hyperlink r:id="rId837">
        <w:r>
          <w:rPr>
            <w:rFonts w:ascii="Arial" w:cs="Arial" w:eastAsia="Arial" w:hAnsi="Arial"/>
            <w:sz w:val="18"/>
            <w:szCs w:val="18"/>
            <w:u w:val="single" w:color="auto"/>
            <w:color w:val="0000EE"/>
          </w:rPr>
          <w:t>dated June 25, 2020 (incorporated by reference to Exhibit 10.31 to the Company’s Form F-1 filed</w:t>
        </w:r>
      </w:hyperlink>
      <w:r>
        <w:rPr>
          <w:rFonts w:ascii="Arial" w:cs="Arial" w:eastAsia="Arial" w:hAnsi="Arial"/>
          <w:sz w:val="18"/>
          <w:szCs w:val="18"/>
          <w:u w:val="single" w:color="auto"/>
          <w:color w:val="0000EE"/>
        </w:rPr>
        <w:t xml:space="preserve"> </w:t>
      </w:r>
      <w:hyperlink r:id="rId837">
        <w:r>
          <w:rPr>
            <w:rFonts w:ascii="Arial" w:cs="Arial" w:eastAsia="Arial" w:hAnsi="Arial"/>
            <w:sz w:val="18"/>
            <w:szCs w:val="18"/>
            <w:u w:val="single" w:color="auto"/>
            <w:color w:val="0000EE"/>
          </w:rPr>
          <w:t>on August 10, 2020).</w:t>
        </w:r>
      </w:hyperlink>
    </w:p>
    <w:p>
      <w:pPr>
        <w:spacing w:after="0" w:line="62" w:lineRule="exact"/>
        <w:rPr>
          <w:rFonts w:ascii="Arial" w:cs="Arial" w:eastAsia="Arial" w:hAnsi="Arial"/>
          <w:sz w:val="18"/>
          <w:szCs w:val="18"/>
          <w:u w:val="single" w:color="auto"/>
          <w:color w:val="0000EE"/>
        </w:rPr>
      </w:pPr>
    </w:p>
    <w:p>
      <w:pPr>
        <w:ind w:left="2080" w:right="619" w:hanging="809"/>
        <w:spacing w:after="0" w:line="263"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10.32</w:t>
      </w:r>
      <w:r>
        <w:rPr>
          <w:sz w:val="20"/>
          <w:szCs w:val="20"/>
          <w:color w:val="auto"/>
        </w:rPr>
        <w:tab/>
      </w:r>
      <w:hyperlink r:id="rId838">
        <w:r>
          <w:rPr>
            <w:rFonts w:ascii="Arial" w:cs="Arial" w:eastAsia="Arial" w:hAnsi="Arial"/>
            <w:sz w:val="18"/>
            <w:szCs w:val="18"/>
            <w:u w:val="single" w:color="auto"/>
            <w:color w:val="0000EE"/>
          </w:rPr>
          <w:t>First Amendment to Collaboration and License Agreement by and between CureVac AG and</w:t>
        </w:r>
      </w:hyperlink>
      <w:r>
        <w:rPr>
          <w:rFonts w:ascii="Arial" w:cs="Arial" w:eastAsia="Arial" w:hAnsi="Arial"/>
          <w:sz w:val="18"/>
          <w:szCs w:val="18"/>
          <w:u w:val="single" w:color="auto"/>
          <w:color w:val="0000EE"/>
        </w:rPr>
        <w:t xml:space="preserve"> </w:t>
      </w:r>
      <w:hyperlink r:id="rId838">
        <w:r>
          <w:rPr>
            <w:rFonts w:ascii="Arial" w:cs="Arial" w:eastAsia="Arial" w:hAnsi="Arial"/>
            <w:sz w:val="18"/>
            <w:szCs w:val="18"/>
            <w:u w:val="single" w:color="auto"/>
            <w:color w:val="0000EE"/>
          </w:rPr>
          <w:t>Genmab B.V., dated July 2, 2020 (incorporated by reference to Exhibit 10.32 to the Company’s</w:t>
        </w:r>
      </w:hyperlink>
      <w:r>
        <w:rPr>
          <w:rFonts w:ascii="Arial" w:cs="Arial" w:eastAsia="Arial" w:hAnsi="Arial"/>
          <w:sz w:val="18"/>
          <w:szCs w:val="18"/>
          <w:u w:val="single" w:color="auto"/>
          <w:color w:val="0000EE"/>
        </w:rPr>
        <w:t xml:space="preserve"> </w:t>
      </w:r>
      <w:hyperlink r:id="rId838">
        <w:r>
          <w:rPr>
            <w:rFonts w:ascii="Arial" w:cs="Arial" w:eastAsia="Arial" w:hAnsi="Arial"/>
            <w:sz w:val="18"/>
            <w:szCs w:val="18"/>
            <w:u w:val="single" w:color="auto"/>
            <w:color w:val="0000EE"/>
          </w:rPr>
          <w:t>Form F-1 filed on August 10, 2020).†</w:t>
        </w:r>
      </w:hyperlink>
    </w:p>
    <w:p>
      <w:pPr>
        <w:spacing w:after="0" w:line="200" w:lineRule="exact"/>
        <w:rPr>
          <w:rFonts w:ascii="Arial" w:cs="Arial" w:eastAsia="Arial" w:hAnsi="Arial"/>
          <w:sz w:val="18"/>
          <w:szCs w:val="18"/>
          <w:u w:val="single" w:color="auto"/>
          <w:color w:val="0000EE"/>
        </w:rPr>
      </w:pPr>
    </w:p>
    <w:p>
      <w:pPr>
        <w:spacing w:after="0" w:line="213" w:lineRule="exact"/>
        <w:rPr>
          <w:rFonts w:ascii="Arial" w:cs="Arial" w:eastAsia="Arial" w:hAnsi="Arial"/>
          <w:sz w:val="18"/>
          <w:szCs w:val="18"/>
          <w:u w:val="single" w:color="auto"/>
          <w:color w:val="0000EE"/>
        </w:rPr>
      </w:pPr>
    </w:p>
    <w:p>
      <w:pPr>
        <w:ind w:left="5200"/>
        <w:spacing w:after="0"/>
        <w:rPr>
          <w:sz w:val="20"/>
          <w:szCs w:val="20"/>
          <w:color w:val="auto"/>
        </w:rPr>
      </w:pPr>
      <w:r>
        <w:rPr>
          <w:rFonts w:ascii="Arial" w:cs="Arial" w:eastAsia="Arial" w:hAnsi="Arial"/>
          <w:sz w:val="18"/>
          <w:szCs w:val="18"/>
          <w:color w:val="auto"/>
        </w:rPr>
        <w:t>II-4</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79" w:name="page380"/>
    <w:bookmarkEnd w:id="379"/>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80" w:right="479" w:hanging="809"/>
        <w:spacing w:after="0" w:line="263"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10.33</w:t>
      </w:r>
      <w:r>
        <w:rPr>
          <w:sz w:val="20"/>
          <w:szCs w:val="20"/>
          <w:color w:val="auto"/>
        </w:rPr>
        <w:tab/>
      </w:r>
      <w:hyperlink r:id="rId840">
        <w:r>
          <w:rPr>
            <w:rFonts w:ascii="Arial" w:cs="Arial" w:eastAsia="Arial" w:hAnsi="Arial"/>
            <w:sz w:val="18"/>
            <w:szCs w:val="18"/>
            <w:u w:val="single" w:color="auto"/>
            <w:color w:val="0000EE"/>
          </w:rPr>
          <w:t>Collaboration and License Agreement by and between Curevac AG and Glaxosmithkline</w:t>
        </w:r>
      </w:hyperlink>
      <w:r>
        <w:rPr>
          <w:rFonts w:ascii="Arial" w:cs="Arial" w:eastAsia="Arial" w:hAnsi="Arial"/>
          <w:sz w:val="18"/>
          <w:szCs w:val="18"/>
          <w:u w:val="single" w:color="auto"/>
          <w:color w:val="0000EE"/>
        </w:rPr>
        <w:t xml:space="preserve"> </w:t>
      </w:r>
      <w:hyperlink r:id="rId840">
        <w:r>
          <w:rPr>
            <w:rFonts w:ascii="Arial" w:cs="Arial" w:eastAsia="Arial" w:hAnsi="Arial"/>
            <w:sz w:val="18"/>
            <w:szCs w:val="18"/>
            <w:u w:val="single" w:color="auto"/>
            <w:color w:val="0000EE"/>
          </w:rPr>
          <w:t>Biological SA, dated July 15, 2020 (incorporated by reference to Exhibit 10.33 to the Company’s</w:t>
        </w:r>
      </w:hyperlink>
      <w:r>
        <w:rPr>
          <w:rFonts w:ascii="Arial" w:cs="Arial" w:eastAsia="Arial" w:hAnsi="Arial"/>
          <w:sz w:val="18"/>
          <w:szCs w:val="18"/>
          <w:u w:val="single" w:color="auto"/>
          <w:color w:val="0000EE"/>
        </w:rPr>
        <w:t xml:space="preserve"> </w:t>
      </w:r>
      <w:hyperlink r:id="rId840">
        <w:r>
          <w:rPr>
            <w:rFonts w:ascii="Arial" w:cs="Arial" w:eastAsia="Arial" w:hAnsi="Arial"/>
            <w:sz w:val="18"/>
            <w:szCs w:val="18"/>
            <w:u w:val="single" w:color="auto"/>
            <w:color w:val="0000EE"/>
          </w:rPr>
          <w:t>Form F-1 filed on August 10, 2020).†</w:t>
        </w:r>
      </w:hyperlink>
    </w:p>
    <w:p>
      <w:pPr>
        <w:spacing w:after="0" w:line="22" w:lineRule="exact"/>
        <w:rPr>
          <w:rFonts w:ascii="Arial" w:cs="Arial" w:eastAsia="Arial" w:hAnsi="Arial"/>
          <w:sz w:val="18"/>
          <w:szCs w:val="18"/>
          <w:u w:val="single" w:color="auto"/>
          <w:color w:val="0000EE"/>
        </w:rPr>
      </w:pPr>
    </w:p>
    <w:p>
      <w:pPr>
        <w:ind w:left="2080" w:right="539" w:hanging="809"/>
        <w:spacing w:after="0" w:line="263"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10.34</w:t>
      </w:r>
      <w:r>
        <w:rPr>
          <w:sz w:val="20"/>
          <w:szCs w:val="20"/>
          <w:color w:val="auto"/>
        </w:rPr>
        <w:tab/>
      </w:r>
      <w:hyperlink r:id="rId841">
        <w:r>
          <w:rPr>
            <w:rFonts w:ascii="Arial" w:cs="Arial" w:eastAsia="Arial" w:hAnsi="Arial"/>
            <w:sz w:val="18"/>
            <w:szCs w:val="18"/>
            <w:u w:val="single" w:color="auto"/>
            <w:color w:val="0000EE"/>
          </w:rPr>
          <w:t>Amendment Two to the Development and Option Agreement, between CureVac AG and Acuitas</w:t>
        </w:r>
      </w:hyperlink>
      <w:r>
        <w:rPr>
          <w:rFonts w:ascii="Arial" w:cs="Arial" w:eastAsia="Arial" w:hAnsi="Arial"/>
          <w:sz w:val="18"/>
          <w:szCs w:val="18"/>
          <w:u w:val="single" w:color="auto"/>
          <w:color w:val="0000EE"/>
        </w:rPr>
        <w:t xml:space="preserve"> </w:t>
      </w:r>
      <w:hyperlink r:id="rId841">
        <w:r>
          <w:rPr>
            <w:rFonts w:ascii="Arial" w:cs="Arial" w:eastAsia="Arial" w:hAnsi="Arial"/>
            <w:sz w:val="18"/>
            <w:szCs w:val="18"/>
            <w:u w:val="single" w:color="auto"/>
            <w:color w:val="0000EE"/>
          </w:rPr>
          <w:t>Therapeutics Inc., dated July 10, 2020 (incorporated by reference to Exhibit 10.34 to the</w:t>
        </w:r>
      </w:hyperlink>
      <w:r>
        <w:rPr>
          <w:rFonts w:ascii="Arial" w:cs="Arial" w:eastAsia="Arial" w:hAnsi="Arial"/>
          <w:sz w:val="18"/>
          <w:szCs w:val="18"/>
          <w:u w:val="single" w:color="auto"/>
          <w:color w:val="0000EE"/>
        </w:rPr>
        <w:t xml:space="preserve"> </w:t>
      </w:r>
      <w:hyperlink r:id="rId841">
        <w:r>
          <w:rPr>
            <w:rFonts w:ascii="Arial" w:cs="Arial" w:eastAsia="Arial" w:hAnsi="Arial"/>
            <w:sz w:val="18"/>
            <w:szCs w:val="18"/>
            <w:u w:val="single" w:color="auto"/>
            <w:color w:val="0000EE"/>
          </w:rPr>
          <w:t>Company’s Form F-1 filed on August 10, 2020).†</w:t>
        </w:r>
      </w:hyperlink>
    </w:p>
    <w:p>
      <w:pPr>
        <w:spacing w:after="0" w:line="22" w:lineRule="exact"/>
        <w:rPr>
          <w:rFonts w:ascii="Arial" w:cs="Arial" w:eastAsia="Arial" w:hAnsi="Arial"/>
          <w:sz w:val="18"/>
          <w:szCs w:val="18"/>
          <w:u w:val="single" w:color="auto"/>
          <w:color w:val="0000EE"/>
        </w:rPr>
      </w:pPr>
    </w:p>
    <w:p>
      <w:pPr>
        <w:ind w:left="2080" w:right="459" w:hanging="809"/>
        <w:spacing w:after="0" w:line="263"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10.35</w:t>
      </w:r>
      <w:r>
        <w:rPr>
          <w:sz w:val="20"/>
          <w:szCs w:val="20"/>
          <w:color w:val="auto"/>
        </w:rPr>
        <w:tab/>
      </w:r>
      <w:hyperlink r:id="rId842">
        <w:r>
          <w:rPr>
            <w:rFonts w:ascii="Arial" w:cs="Arial" w:eastAsia="Arial" w:hAnsi="Arial"/>
            <w:sz w:val="18"/>
            <w:szCs w:val="18"/>
            <w:u w:val="single" w:color="auto"/>
            <w:color w:val="0000EE"/>
          </w:rPr>
          <w:t>Finance Fee Letter between the European Investment Bank and CureVac Real Estate GmbH,</w:t>
        </w:r>
      </w:hyperlink>
      <w:r>
        <w:rPr>
          <w:rFonts w:ascii="Arial" w:cs="Arial" w:eastAsia="Arial" w:hAnsi="Arial"/>
          <w:sz w:val="18"/>
          <w:szCs w:val="18"/>
          <w:u w:val="single" w:color="auto"/>
          <w:color w:val="0000EE"/>
        </w:rPr>
        <w:t xml:space="preserve"> </w:t>
      </w:r>
      <w:hyperlink r:id="rId842">
        <w:r>
          <w:rPr>
            <w:rFonts w:ascii="Arial" w:cs="Arial" w:eastAsia="Arial" w:hAnsi="Arial"/>
            <w:sz w:val="18"/>
            <w:szCs w:val="18"/>
            <w:u w:val="single" w:color="auto"/>
            <w:color w:val="0000EE"/>
          </w:rPr>
          <w:t>dated June 27, 2020 (incorporated by reference to Exhibit 10.35 to the Company’s Form F-1 filed</w:t>
        </w:r>
      </w:hyperlink>
      <w:r>
        <w:rPr>
          <w:rFonts w:ascii="Arial" w:cs="Arial" w:eastAsia="Arial" w:hAnsi="Arial"/>
          <w:sz w:val="18"/>
          <w:szCs w:val="18"/>
          <w:u w:val="single" w:color="auto"/>
          <w:color w:val="0000EE"/>
        </w:rPr>
        <w:t xml:space="preserve"> </w:t>
      </w:r>
      <w:hyperlink r:id="rId842">
        <w:r>
          <w:rPr>
            <w:rFonts w:ascii="Arial" w:cs="Arial" w:eastAsia="Arial" w:hAnsi="Arial"/>
            <w:sz w:val="18"/>
            <w:szCs w:val="18"/>
            <w:u w:val="single" w:color="auto"/>
            <w:color w:val="0000EE"/>
          </w:rPr>
          <w:t>on August 10, 2020).†</w:t>
        </w:r>
      </w:hyperlink>
    </w:p>
    <w:p>
      <w:pPr>
        <w:spacing w:after="0" w:line="22" w:lineRule="exact"/>
        <w:rPr>
          <w:rFonts w:ascii="Arial" w:cs="Arial" w:eastAsia="Arial" w:hAnsi="Arial"/>
          <w:sz w:val="18"/>
          <w:szCs w:val="18"/>
          <w:u w:val="single" w:color="auto"/>
          <w:color w:val="0000EE"/>
        </w:rPr>
      </w:pPr>
    </w:p>
    <w:p>
      <w:pPr>
        <w:ind w:left="2080" w:right="459" w:hanging="809"/>
        <w:spacing w:after="0" w:line="263"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10.36</w:t>
      </w:r>
      <w:r>
        <w:rPr>
          <w:sz w:val="20"/>
          <w:szCs w:val="20"/>
          <w:color w:val="auto"/>
        </w:rPr>
        <w:tab/>
      </w:r>
      <w:hyperlink r:id="rId843">
        <w:r>
          <w:rPr>
            <w:rFonts w:ascii="Arial" w:cs="Arial" w:eastAsia="Arial" w:hAnsi="Arial"/>
            <w:sz w:val="18"/>
            <w:szCs w:val="18"/>
            <w:u w:val="single" w:color="auto"/>
            <w:color w:val="0000EE"/>
          </w:rPr>
          <w:t>Finance Agreement between the European Investment Bank and CureVac Real Estate GmbH,</w:t>
        </w:r>
      </w:hyperlink>
      <w:r>
        <w:rPr>
          <w:rFonts w:ascii="Arial" w:cs="Arial" w:eastAsia="Arial" w:hAnsi="Arial"/>
          <w:sz w:val="18"/>
          <w:szCs w:val="18"/>
          <w:u w:val="single" w:color="auto"/>
          <w:color w:val="0000EE"/>
        </w:rPr>
        <w:t xml:space="preserve"> </w:t>
      </w:r>
      <w:hyperlink r:id="rId843">
        <w:r>
          <w:rPr>
            <w:rFonts w:ascii="Arial" w:cs="Arial" w:eastAsia="Arial" w:hAnsi="Arial"/>
            <w:sz w:val="18"/>
            <w:szCs w:val="18"/>
            <w:u w:val="single" w:color="auto"/>
            <w:color w:val="0000EE"/>
          </w:rPr>
          <w:t>dated June 27, 2020 (incorporated by reference to Exhibit 10.36 to the Company’s Form F-1 filed</w:t>
        </w:r>
      </w:hyperlink>
      <w:r>
        <w:rPr>
          <w:rFonts w:ascii="Arial" w:cs="Arial" w:eastAsia="Arial" w:hAnsi="Arial"/>
          <w:sz w:val="18"/>
          <w:szCs w:val="18"/>
          <w:u w:val="single" w:color="auto"/>
          <w:color w:val="0000EE"/>
        </w:rPr>
        <w:t xml:space="preserve"> </w:t>
      </w:r>
      <w:hyperlink r:id="rId843">
        <w:r>
          <w:rPr>
            <w:rFonts w:ascii="Arial" w:cs="Arial" w:eastAsia="Arial" w:hAnsi="Arial"/>
            <w:sz w:val="18"/>
            <w:szCs w:val="18"/>
            <w:u w:val="single" w:color="auto"/>
            <w:color w:val="0000EE"/>
          </w:rPr>
          <w:t>on August 10, 2020).†</w:t>
        </w:r>
      </w:hyperlink>
    </w:p>
    <w:p>
      <w:pPr>
        <w:spacing w:after="0" w:line="22" w:lineRule="exact"/>
        <w:rPr>
          <w:rFonts w:ascii="Arial" w:cs="Arial" w:eastAsia="Arial" w:hAnsi="Arial"/>
          <w:sz w:val="18"/>
          <w:szCs w:val="18"/>
          <w:u w:val="single" w:color="auto"/>
          <w:color w:val="0000EE"/>
        </w:rPr>
      </w:pPr>
    </w:p>
    <w:p>
      <w:pPr>
        <w:ind w:left="1260"/>
        <w:spacing w:after="0"/>
        <w:tabs>
          <w:tab w:leader="none" w:pos="2060" w:val="left"/>
        </w:tabs>
        <w:rPr>
          <w:rFonts w:ascii="Arial" w:cs="Arial" w:eastAsia="Arial" w:hAnsi="Arial"/>
          <w:sz w:val="16"/>
          <w:szCs w:val="16"/>
          <w:u w:val="single" w:color="auto"/>
          <w:color w:val="0000EE"/>
        </w:rPr>
      </w:pPr>
      <w:r>
        <w:rPr>
          <w:rFonts w:ascii="Arial" w:cs="Arial" w:eastAsia="Arial" w:hAnsi="Arial"/>
          <w:sz w:val="18"/>
          <w:szCs w:val="18"/>
          <w:color w:val="auto"/>
        </w:rPr>
        <w:t>10.37</w:t>
      </w:r>
      <w:r>
        <w:rPr>
          <w:sz w:val="20"/>
          <w:szCs w:val="20"/>
          <w:color w:val="auto"/>
        </w:rPr>
        <w:tab/>
      </w:r>
      <w:hyperlink r:id="rId844">
        <w:r>
          <w:rPr>
            <w:rFonts w:ascii="Arial" w:cs="Arial" w:eastAsia="Arial" w:hAnsi="Arial"/>
            <w:sz w:val="16"/>
            <w:szCs w:val="16"/>
            <w:u w:val="single" w:color="auto"/>
            <w:color w:val="0000EE"/>
          </w:rPr>
          <w:t>Guarantee Agreement between the European Investment Bank and CureVac AG, dated June 27,</w:t>
        </w:r>
      </w:hyperlink>
    </w:p>
    <w:p>
      <w:pPr>
        <w:spacing w:after="0" w:line="23" w:lineRule="exact"/>
        <w:rPr>
          <w:rFonts w:ascii="Arial" w:cs="Arial" w:eastAsia="Arial" w:hAnsi="Arial"/>
          <w:sz w:val="18"/>
          <w:szCs w:val="18"/>
          <w:u w:val="single" w:color="auto"/>
          <w:color w:val="0000EE"/>
        </w:rPr>
      </w:pPr>
    </w:p>
    <w:p>
      <w:pPr>
        <w:ind w:left="2080"/>
        <w:spacing w:after="0"/>
        <w:rPr>
          <w:rFonts w:ascii="Arial" w:cs="Arial" w:eastAsia="Arial" w:hAnsi="Arial"/>
          <w:sz w:val="17"/>
          <w:szCs w:val="17"/>
          <w:u w:val="single" w:color="auto"/>
          <w:color w:val="0000EE"/>
        </w:rPr>
      </w:pPr>
      <w:hyperlink r:id="rId844">
        <w:r>
          <w:rPr>
            <w:rFonts w:ascii="Arial" w:cs="Arial" w:eastAsia="Arial" w:hAnsi="Arial"/>
            <w:sz w:val="17"/>
            <w:szCs w:val="17"/>
            <w:u w:val="single" w:color="auto"/>
            <w:color w:val="0000EE"/>
          </w:rPr>
          <w:t>2020 (incorporated by reference to Exhibit 10.37 to the Company’s Form F-1 filed on August 10,</w:t>
        </w:r>
      </w:hyperlink>
    </w:p>
    <w:p>
      <w:pPr>
        <w:spacing w:after="0" w:line="21" w:lineRule="exact"/>
        <w:rPr>
          <w:rFonts w:ascii="Arial" w:cs="Arial" w:eastAsia="Arial" w:hAnsi="Arial"/>
          <w:sz w:val="18"/>
          <w:szCs w:val="18"/>
          <w:u w:val="single" w:color="auto"/>
          <w:color w:val="0000EE"/>
        </w:rPr>
      </w:pPr>
    </w:p>
    <w:p>
      <w:pPr>
        <w:ind w:left="2080"/>
        <w:spacing w:after="0"/>
        <w:rPr>
          <w:rFonts w:ascii="Arial" w:cs="Arial" w:eastAsia="Arial" w:hAnsi="Arial"/>
          <w:sz w:val="18"/>
          <w:szCs w:val="18"/>
          <w:u w:val="single" w:color="auto"/>
          <w:color w:val="0000EE"/>
        </w:rPr>
      </w:pPr>
      <w:hyperlink r:id="rId844">
        <w:r>
          <w:rPr>
            <w:rFonts w:ascii="Arial" w:cs="Arial" w:eastAsia="Arial" w:hAnsi="Arial"/>
            <w:sz w:val="18"/>
            <w:szCs w:val="18"/>
            <w:u w:val="single" w:color="auto"/>
            <w:color w:val="0000EE"/>
          </w:rPr>
          <w:t>2020).†</w:t>
        </w:r>
      </w:hyperlink>
    </w:p>
    <w:p>
      <w:pPr>
        <w:spacing w:after="0" w:line="49" w:lineRule="exact"/>
        <w:rPr>
          <w:rFonts w:ascii="Arial" w:cs="Arial" w:eastAsia="Arial" w:hAnsi="Arial"/>
          <w:sz w:val="18"/>
          <w:szCs w:val="18"/>
          <w:u w:val="single" w:color="auto"/>
          <w:color w:val="0000EE"/>
        </w:rPr>
      </w:pPr>
    </w:p>
    <w:p>
      <w:pPr>
        <w:ind w:left="2080" w:right="479" w:hanging="809"/>
        <w:spacing w:after="0" w:line="257"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10.38</w:t>
      </w:r>
      <w:r>
        <w:rPr>
          <w:sz w:val="20"/>
          <w:szCs w:val="20"/>
          <w:color w:val="auto"/>
        </w:rPr>
        <w:tab/>
      </w:r>
      <w:hyperlink r:id="rId845">
        <w:r>
          <w:rPr>
            <w:rFonts w:ascii="Arial" w:cs="Arial" w:eastAsia="Arial" w:hAnsi="Arial"/>
            <w:sz w:val="18"/>
            <w:szCs w:val="18"/>
            <w:u w:val="single" w:color="auto"/>
            <w:color w:val="0000EE"/>
          </w:rPr>
          <w:t>Letter Agreement regarding the alignment between the Global Access Commitments Agreement,</w:t>
        </w:r>
      </w:hyperlink>
      <w:r>
        <w:rPr>
          <w:rFonts w:ascii="Arial" w:cs="Arial" w:eastAsia="Arial" w:hAnsi="Arial"/>
          <w:sz w:val="18"/>
          <w:szCs w:val="18"/>
          <w:u w:val="single" w:color="auto"/>
          <w:color w:val="0000EE"/>
        </w:rPr>
        <w:t xml:space="preserve"> </w:t>
      </w:r>
      <w:hyperlink r:id="rId845">
        <w:r>
          <w:rPr>
            <w:rFonts w:ascii="Arial" w:cs="Arial" w:eastAsia="Arial" w:hAnsi="Arial"/>
            <w:sz w:val="18"/>
            <w:szCs w:val="18"/>
            <w:u w:val="single" w:color="auto"/>
            <w:color w:val="0000EE"/>
          </w:rPr>
          <w:t>between CureVac AG and the Bill &amp; Melinda Gates Foundation and the Collaboration and</w:t>
        </w:r>
      </w:hyperlink>
      <w:r>
        <w:rPr>
          <w:rFonts w:ascii="Arial" w:cs="Arial" w:eastAsia="Arial" w:hAnsi="Arial"/>
          <w:sz w:val="18"/>
          <w:szCs w:val="18"/>
          <w:u w:val="single" w:color="auto"/>
          <w:color w:val="0000EE"/>
        </w:rPr>
        <w:t xml:space="preserve"> </w:t>
      </w:r>
      <w:hyperlink r:id="rId845">
        <w:r>
          <w:rPr>
            <w:rFonts w:ascii="Arial" w:cs="Arial" w:eastAsia="Arial" w:hAnsi="Arial"/>
            <w:sz w:val="18"/>
            <w:szCs w:val="18"/>
            <w:u w:val="single" w:color="auto"/>
            <w:color w:val="0000EE"/>
          </w:rPr>
          <w:t>License Agreement between CureVac AG and Glaxosmithkline Biologicals SA, dated July 15,</w:t>
        </w:r>
      </w:hyperlink>
      <w:r>
        <w:rPr>
          <w:rFonts w:ascii="Arial" w:cs="Arial" w:eastAsia="Arial" w:hAnsi="Arial"/>
          <w:sz w:val="18"/>
          <w:szCs w:val="18"/>
          <w:u w:val="single" w:color="auto"/>
          <w:color w:val="0000EE"/>
        </w:rPr>
        <w:t xml:space="preserve"> </w:t>
      </w:r>
      <w:hyperlink r:id="rId845">
        <w:r>
          <w:rPr>
            <w:rFonts w:ascii="Arial" w:cs="Arial" w:eastAsia="Arial" w:hAnsi="Arial"/>
            <w:sz w:val="18"/>
            <w:szCs w:val="18"/>
            <w:u w:val="single" w:color="auto"/>
            <w:color w:val="0000EE"/>
          </w:rPr>
          <w:t>2020 (incorporated by reference to Exhibit 10.38 to the Company’s Form F-1 filed on August 10,</w:t>
        </w:r>
      </w:hyperlink>
      <w:r>
        <w:rPr>
          <w:rFonts w:ascii="Arial" w:cs="Arial" w:eastAsia="Arial" w:hAnsi="Arial"/>
          <w:sz w:val="18"/>
          <w:szCs w:val="18"/>
          <w:u w:val="single" w:color="auto"/>
          <w:color w:val="0000EE"/>
        </w:rPr>
        <w:t xml:space="preserve"> </w:t>
      </w:r>
      <w:hyperlink r:id="rId845">
        <w:r>
          <w:rPr>
            <w:rFonts w:ascii="Arial" w:cs="Arial" w:eastAsia="Arial" w:hAnsi="Arial"/>
            <w:sz w:val="18"/>
            <w:szCs w:val="18"/>
            <w:u w:val="single" w:color="auto"/>
            <w:color w:val="0000EE"/>
          </w:rPr>
          <w:t>2020).†</w:t>
        </w:r>
      </w:hyperlink>
    </w:p>
    <w:p>
      <w:pPr>
        <w:spacing w:after="0" w:line="26" w:lineRule="exact"/>
        <w:rPr>
          <w:rFonts w:ascii="Arial" w:cs="Arial" w:eastAsia="Arial" w:hAnsi="Arial"/>
          <w:sz w:val="18"/>
          <w:szCs w:val="18"/>
          <w:u w:val="single" w:color="auto"/>
          <w:color w:val="0000EE"/>
        </w:rPr>
      </w:pPr>
    </w:p>
    <w:p>
      <w:pPr>
        <w:ind w:left="2080" w:right="459" w:hanging="809"/>
        <w:spacing w:after="0" w:line="286" w:lineRule="auto"/>
        <w:tabs>
          <w:tab w:leader="none" w:pos="2060" w:val="left"/>
        </w:tabs>
        <w:rPr>
          <w:rFonts w:ascii="Arial" w:cs="Arial" w:eastAsia="Arial" w:hAnsi="Arial"/>
          <w:sz w:val="17"/>
          <w:szCs w:val="17"/>
          <w:u w:val="single" w:color="auto"/>
          <w:color w:val="0000EE"/>
        </w:rPr>
      </w:pPr>
      <w:r>
        <w:rPr>
          <w:rFonts w:ascii="Arial" w:cs="Arial" w:eastAsia="Arial" w:hAnsi="Arial"/>
          <w:sz w:val="18"/>
          <w:szCs w:val="18"/>
          <w:color w:val="auto"/>
        </w:rPr>
        <w:t>10.39</w:t>
      </w:r>
      <w:r>
        <w:rPr>
          <w:sz w:val="20"/>
          <w:szCs w:val="20"/>
          <w:color w:val="auto"/>
        </w:rPr>
        <w:tab/>
      </w:r>
      <w:hyperlink r:id="rId846">
        <w:r>
          <w:rPr>
            <w:rFonts w:ascii="Arial" w:cs="Arial" w:eastAsia="Arial" w:hAnsi="Arial"/>
            <w:sz w:val="17"/>
            <w:szCs w:val="17"/>
            <w:u w:val="single" w:color="auto"/>
            <w:color w:val="0000EE"/>
          </w:rPr>
          <w:t>First Amendment and Joinder to Global Access Commitments Agreement, between CureVac AG,</w:t>
        </w:r>
      </w:hyperlink>
      <w:r>
        <w:rPr>
          <w:rFonts w:ascii="Arial" w:cs="Arial" w:eastAsia="Arial" w:hAnsi="Arial"/>
          <w:sz w:val="17"/>
          <w:szCs w:val="17"/>
          <w:u w:val="single" w:color="auto"/>
          <w:color w:val="0000EE"/>
        </w:rPr>
        <w:t xml:space="preserve"> </w:t>
      </w:r>
      <w:hyperlink r:id="rId846">
        <w:r>
          <w:rPr>
            <w:rFonts w:ascii="Arial" w:cs="Arial" w:eastAsia="Arial" w:hAnsi="Arial"/>
            <w:sz w:val="17"/>
            <w:szCs w:val="17"/>
            <w:u w:val="single" w:color="auto"/>
            <w:color w:val="0000EE"/>
          </w:rPr>
          <w:t>CureVac B.V. and the Bill &amp; Melinda Gates Foundation, dated July 15, 2020 (incorporated by</w:t>
        </w:r>
      </w:hyperlink>
      <w:r>
        <w:rPr>
          <w:rFonts w:ascii="Arial" w:cs="Arial" w:eastAsia="Arial" w:hAnsi="Arial"/>
          <w:sz w:val="17"/>
          <w:szCs w:val="17"/>
          <w:u w:val="single" w:color="auto"/>
          <w:color w:val="0000EE"/>
        </w:rPr>
        <w:t xml:space="preserve"> </w:t>
      </w:r>
      <w:hyperlink r:id="rId846">
        <w:r>
          <w:rPr>
            <w:rFonts w:ascii="Arial" w:cs="Arial" w:eastAsia="Arial" w:hAnsi="Arial"/>
            <w:sz w:val="17"/>
            <w:szCs w:val="17"/>
            <w:u w:val="single" w:color="auto"/>
            <w:color w:val="0000EE"/>
          </w:rPr>
          <w:t>reference to Exhibit 10.39 to the Company’s Form F-1 filed on August 10, 2020).</w:t>
        </w:r>
      </w:hyperlink>
    </w:p>
    <w:p>
      <w:pPr>
        <w:spacing w:after="0" w:line="3" w:lineRule="exact"/>
        <w:rPr>
          <w:rFonts w:ascii="Arial" w:cs="Arial" w:eastAsia="Arial" w:hAnsi="Arial"/>
          <w:sz w:val="17"/>
          <w:szCs w:val="17"/>
          <w:u w:val="single" w:color="auto"/>
          <w:color w:val="0000EE"/>
        </w:rPr>
      </w:pPr>
    </w:p>
    <w:p>
      <w:pPr>
        <w:ind w:left="2080" w:right="759" w:hanging="809"/>
        <w:spacing w:after="0" w:line="263"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10.40</w:t>
      </w:r>
      <w:r>
        <w:rPr>
          <w:sz w:val="20"/>
          <w:szCs w:val="20"/>
          <w:color w:val="auto"/>
        </w:rPr>
        <w:tab/>
      </w:r>
      <w:hyperlink r:id="rId847">
        <w:r>
          <w:rPr>
            <w:rFonts w:ascii="Arial" w:cs="Arial" w:eastAsia="Arial" w:hAnsi="Arial"/>
            <w:sz w:val="18"/>
            <w:szCs w:val="18"/>
            <w:u w:val="single" w:color="auto"/>
            <w:color w:val="0000EE"/>
          </w:rPr>
          <w:t>Second Amendment to Global Access Commitments Agreement, between the Bill &amp; Melinda</w:t>
        </w:r>
      </w:hyperlink>
      <w:r>
        <w:rPr>
          <w:rFonts w:ascii="Arial" w:cs="Arial" w:eastAsia="Arial" w:hAnsi="Arial"/>
          <w:sz w:val="18"/>
          <w:szCs w:val="18"/>
          <w:u w:val="single" w:color="auto"/>
          <w:color w:val="0000EE"/>
        </w:rPr>
        <w:t xml:space="preserve"> </w:t>
      </w:r>
      <w:hyperlink r:id="rId847">
        <w:r>
          <w:rPr>
            <w:rFonts w:ascii="Arial" w:cs="Arial" w:eastAsia="Arial" w:hAnsi="Arial"/>
            <w:sz w:val="18"/>
            <w:szCs w:val="18"/>
            <w:u w:val="single" w:color="auto"/>
            <w:color w:val="0000EE"/>
          </w:rPr>
          <w:t>Gates Foundation and CureVac AG, dated July 15, 2020 (incorporated by reference to</w:t>
        </w:r>
      </w:hyperlink>
      <w:r>
        <w:rPr>
          <w:rFonts w:ascii="Arial" w:cs="Arial" w:eastAsia="Arial" w:hAnsi="Arial"/>
          <w:sz w:val="18"/>
          <w:szCs w:val="18"/>
          <w:u w:val="single" w:color="auto"/>
          <w:color w:val="0000EE"/>
        </w:rPr>
        <w:t xml:space="preserve"> </w:t>
      </w:r>
      <w:hyperlink r:id="rId847">
        <w:r>
          <w:rPr>
            <w:rFonts w:ascii="Arial" w:cs="Arial" w:eastAsia="Arial" w:hAnsi="Arial"/>
            <w:sz w:val="18"/>
            <w:szCs w:val="18"/>
            <w:u w:val="single" w:color="auto"/>
            <w:color w:val="0000EE"/>
          </w:rPr>
          <w:t>Exhibit 10.40 to the Company’s Form F-1 filed on August 10, 2020).†</w:t>
        </w:r>
      </w:hyperlink>
    </w:p>
    <w:p>
      <w:pPr>
        <w:spacing w:after="0" w:line="22" w:lineRule="exact"/>
        <w:rPr>
          <w:rFonts w:ascii="Arial" w:cs="Arial" w:eastAsia="Arial" w:hAnsi="Arial"/>
          <w:sz w:val="18"/>
          <w:szCs w:val="18"/>
          <w:u w:val="single" w:color="auto"/>
          <w:color w:val="0000EE"/>
        </w:rPr>
      </w:pPr>
    </w:p>
    <w:p>
      <w:pPr>
        <w:ind w:left="2080" w:right="599" w:hanging="809"/>
        <w:spacing w:after="0" w:line="277"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10.41</w:t>
      </w:r>
      <w:r>
        <w:rPr>
          <w:sz w:val="20"/>
          <w:szCs w:val="20"/>
          <w:color w:val="auto"/>
        </w:rPr>
        <w:tab/>
      </w:r>
      <w:hyperlink r:id="rId848">
        <w:r>
          <w:rPr>
            <w:rFonts w:ascii="Arial" w:cs="Arial" w:eastAsia="Arial" w:hAnsi="Arial"/>
            <w:sz w:val="18"/>
            <w:szCs w:val="18"/>
            <w:u w:val="single" w:color="auto"/>
            <w:color w:val="0000EE"/>
          </w:rPr>
          <w:t>Form of Long Term Incentive Plan of CureVac N.V (incorporated by reference to Exhibit 10.41</w:t>
        </w:r>
      </w:hyperlink>
      <w:r>
        <w:rPr>
          <w:rFonts w:ascii="Arial" w:cs="Arial" w:eastAsia="Arial" w:hAnsi="Arial"/>
          <w:sz w:val="18"/>
          <w:szCs w:val="18"/>
          <w:u w:val="single" w:color="auto"/>
          <w:color w:val="0000EE"/>
        </w:rPr>
        <w:t xml:space="preserve"> </w:t>
      </w:r>
      <w:hyperlink r:id="rId848">
        <w:r>
          <w:rPr>
            <w:rFonts w:ascii="Arial" w:cs="Arial" w:eastAsia="Arial" w:hAnsi="Arial"/>
            <w:sz w:val="18"/>
            <w:szCs w:val="18"/>
            <w:u w:val="single" w:color="auto"/>
            <w:color w:val="0000EE"/>
          </w:rPr>
          <w:t>to the Company’s Form F-1 filed on August 10, 2020).</w:t>
        </w:r>
      </w:hyperlink>
    </w:p>
    <w:p>
      <w:pPr>
        <w:spacing w:after="0" w:line="8" w:lineRule="exact"/>
        <w:rPr>
          <w:sz w:val="20"/>
          <w:szCs w:val="20"/>
          <w:color w:val="auto"/>
        </w:rPr>
      </w:pPr>
    </w:p>
    <w:p>
      <w:pPr>
        <w:ind w:left="2080" w:right="599" w:hanging="809"/>
        <w:spacing w:after="0" w:line="277"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10.42</w:t>
      </w:r>
      <w:r>
        <w:rPr>
          <w:sz w:val="20"/>
          <w:szCs w:val="20"/>
          <w:color w:val="auto"/>
        </w:rPr>
        <w:tab/>
      </w:r>
      <w:hyperlink w:anchor="page446">
        <w:r>
          <w:rPr>
            <w:rFonts w:ascii="Arial" w:cs="Arial" w:eastAsia="Arial" w:hAnsi="Arial"/>
            <w:sz w:val="18"/>
            <w:szCs w:val="18"/>
            <w:u w:val="single" w:color="auto"/>
            <w:color w:val="0000EE"/>
          </w:rPr>
          <w:t>1st Amendment to the Development and License Agreement, effective as of November 9, 2017,</w:t>
        </w:r>
      </w:hyperlink>
      <w:r>
        <w:rPr>
          <w:rFonts w:ascii="Arial" w:cs="Arial" w:eastAsia="Arial" w:hAnsi="Arial"/>
          <w:sz w:val="18"/>
          <w:szCs w:val="18"/>
          <w:u w:val="single" w:color="auto"/>
          <w:color w:val="0000EE"/>
        </w:rPr>
        <w:t xml:space="preserve"> </w:t>
      </w:r>
      <w:hyperlink w:anchor="page446">
        <w:r>
          <w:rPr>
            <w:rFonts w:ascii="Arial" w:cs="Arial" w:eastAsia="Arial" w:hAnsi="Arial"/>
            <w:sz w:val="18"/>
            <w:szCs w:val="18"/>
            <w:u w:val="single" w:color="auto"/>
            <w:color w:val="0000EE"/>
          </w:rPr>
          <w:t>between CureVac AG and CRISPR Therapeutics, AG.</w:t>
        </w:r>
      </w:hyperlink>
    </w:p>
    <w:p>
      <w:pPr>
        <w:spacing w:after="0" w:line="8" w:lineRule="exact"/>
        <w:rPr>
          <w:sz w:val="20"/>
          <w:szCs w:val="20"/>
          <w:color w:val="auto"/>
        </w:rPr>
      </w:pPr>
    </w:p>
    <w:p>
      <w:pPr>
        <w:ind w:left="2080" w:right="859" w:hanging="809"/>
        <w:spacing w:after="0" w:line="277"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10.43</w:t>
      </w:r>
      <w:r>
        <w:rPr>
          <w:sz w:val="20"/>
          <w:szCs w:val="20"/>
          <w:color w:val="auto"/>
        </w:rPr>
        <w:tab/>
      </w:r>
      <w:hyperlink w:anchor="page450">
        <w:r>
          <w:rPr>
            <w:rFonts w:ascii="Arial" w:cs="Arial" w:eastAsia="Arial" w:hAnsi="Arial"/>
            <w:sz w:val="18"/>
            <w:szCs w:val="18"/>
            <w:u w:val="single" w:color="auto"/>
            <w:color w:val="0000EE"/>
          </w:rPr>
          <w:t>Amendment 4 to Definitive Agreement 1 between the Bill &amp; Melinda Gates Foundation and</w:t>
        </w:r>
      </w:hyperlink>
      <w:r>
        <w:rPr>
          <w:rFonts w:ascii="Arial" w:cs="Arial" w:eastAsia="Arial" w:hAnsi="Arial"/>
          <w:sz w:val="18"/>
          <w:szCs w:val="18"/>
          <w:u w:val="single" w:color="auto"/>
          <w:color w:val="0000EE"/>
        </w:rPr>
        <w:t xml:space="preserve"> </w:t>
      </w:r>
      <w:hyperlink w:anchor="page450">
        <w:r>
          <w:rPr>
            <w:rFonts w:ascii="Arial" w:cs="Arial" w:eastAsia="Arial" w:hAnsi="Arial"/>
            <w:sz w:val="18"/>
            <w:szCs w:val="18"/>
            <w:u w:val="single" w:color="auto"/>
            <w:color w:val="0000EE"/>
          </w:rPr>
          <w:t>CureVac AG, effective November 3, 2020.</w:t>
        </w:r>
      </w:hyperlink>
    </w:p>
    <w:p>
      <w:pPr>
        <w:spacing w:after="0" w:line="8" w:lineRule="exact"/>
        <w:rPr>
          <w:sz w:val="20"/>
          <w:szCs w:val="20"/>
          <w:color w:val="auto"/>
        </w:rPr>
      </w:pPr>
    </w:p>
    <w:p>
      <w:pPr>
        <w:jc w:val="both"/>
        <w:ind w:left="2080" w:right="459" w:hanging="809"/>
        <w:spacing w:after="0" w:line="277"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10.44</w:t>
      </w:r>
      <w:r>
        <w:rPr>
          <w:sz w:val="20"/>
          <w:szCs w:val="20"/>
          <w:color w:val="auto"/>
        </w:rPr>
        <w:tab/>
      </w:r>
      <w:hyperlink w:anchor="page453">
        <w:r>
          <w:rPr>
            <w:rFonts w:ascii="Arial" w:cs="Arial" w:eastAsia="Arial" w:hAnsi="Arial"/>
            <w:sz w:val="18"/>
            <w:szCs w:val="18"/>
            <w:u w:val="single" w:color="auto"/>
            <w:color w:val="0000EE"/>
          </w:rPr>
          <w:t>Addendum to Investment and Shareholders’ Agreement among several shareholders and CureVac</w:t>
        </w:r>
      </w:hyperlink>
      <w:r>
        <w:rPr>
          <w:rFonts w:ascii="Arial" w:cs="Arial" w:eastAsia="Arial" w:hAnsi="Arial"/>
          <w:sz w:val="18"/>
          <w:szCs w:val="18"/>
          <w:u w:val="single" w:color="auto"/>
          <w:color w:val="0000EE"/>
        </w:rPr>
        <w:t xml:space="preserve"> </w:t>
      </w:r>
      <w:hyperlink w:anchor="page453">
        <w:r>
          <w:rPr>
            <w:rFonts w:ascii="Arial" w:cs="Arial" w:eastAsia="Arial" w:hAnsi="Arial"/>
            <w:sz w:val="18"/>
            <w:szCs w:val="18"/>
            <w:u w:val="single" w:color="auto"/>
            <w:color w:val="0000EE"/>
          </w:rPr>
          <w:t>N.V., dated June 16, 2020.</w:t>
        </w:r>
      </w:hyperlink>
    </w:p>
    <w:p>
      <w:pPr>
        <w:spacing w:after="0" w:line="8" w:lineRule="exact"/>
        <w:rPr>
          <w:sz w:val="20"/>
          <w:szCs w:val="20"/>
          <w:color w:val="auto"/>
        </w:rPr>
      </w:pPr>
    </w:p>
    <w:p>
      <w:pPr>
        <w:jc w:val="both"/>
        <w:ind w:left="2080" w:right="439" w:hanging="809"/>
        <w:spacing w:after="0" w:line="263"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10.45</w:t>
      </w:r>
      <w:r>
        <w:rPr>
          <w:sz w:val="20"/>
          <w:szCs w:val="20"/>
          <w:color w:val="auto"/>
        </w:rPr>
        <w:tab/>
      </w:r>
      <w:hyperlink r:id="rId849">
        <w:r>
          <w:rPr>
            <w:rFonts w:ascii="Arial" w:cs="Arial" w:eastAsia="Arial" w:hAnsi="Arial"/>
            <w:sz w:val="18"/>
            <w:szCs w:val="18"/>
            <w:u w:val="single" w:color="auto"/>
            <w:color w:val="0000EE"/>
          </w:rPr>
          <w:t>Advance Purchase Agreement by and between CureVac AG and the European Commission, dated</w:t>
        </w:r>
      </w:hyperlink>
      <w:r>
        <w:rPr>
          <w:rFonts w:ascii="Arial" w:cs="Arial" w:eastAsia="Arial" w:hAnsi="Arial"/>
          <w:sz w:val="18"/>
          <w:szCs w:val="18"/>
          <w:u w:val="single" w:color="auto"/>
          <w:color w:val="0000EE"/>
        </w:rPr>
        <w:t xml:space="preserve"> </w:t>
      </w:r>
      <w:hyperlink r:id="rId849">
        <w:r>
          <w:rPr>
            <w:rFonts w:ascii="Arial" w:cs="Arial" w:eastAsia="Arial" w:hAnsi="Arial"/>
            <w:sz w:val="18"/>
            <w:szCs w:val="18"/>
            <w:u w:val="single" w:color="auto"/>
            <w:color w:val="0000EE"/>
          </w:rPr>
          <w:t>November 30, 2020 (incorporated by reference to Exhibit 99.1 to the Company’s Form 6-K filed</w:t>
        </w:r>
      </w:hyperlink>
      <w:r>
        <w:rPr>
          <w:rFonts w:ascii="Arial" w:cs="Arial" w:eastAsia="Arial" w:hAnsi="Arial"/>
          <w:sz w:val="18"/>
          <w:szCs w:val="18"/>
          <w:u w:val="single" w:color="auto"/>
          <w:color w:val="0000EE"/>
        </w:rPr>
        <w:t xml:space="preserve"> </w:t>
      </w:r>
      <w:hyperlink r:id="rId849">
        <w:r>
          <w:rPr>
            <w:rFonts w:ascii="Arial" w:cs="Arial" w:eastAsia="Arial" w:hAnsi="Arial"/>
            <w:sz w:val="18"/>
            <w:szCs w:val="18"/>
            <w:u w:val="single" w:color="auto"/>
            <w:color w:val="0000EE"/>
          </w:rPr>
          <w:t>on January 19, 2021).</w:t>
        </w:r>
      </w:hyperlink>
    </w:p>
    <w:p>
      <w:pPr>
        <w:spacing w:after="0" w:line="22" w:lineRule="exact"/>
        <w:rPr>
          <w:rFonts w:ascii="Arial" w:cs="Arial" w:eastAsia="Arial" w:hAnsi="Arial"/>
          <w:sz w:val="18"/>
          <w:szCs w:val="18"/>
          <w:u w:val="single" w:color="auto"/>
          <w:color w:val="0000EE"/>
        </w:rPr>
      </w:pPr>
    </w:p>
    <w:p>
      <w:pPr>
        <w:jc w:val="both"/>
        <w:ind w:left="2080" w:right="439" w:hanging="809"/>
        <w:spacing w:after="0" w:line="277"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10.46</w:t>
      </w:r>
      <w:r>
        <w:rPr>
          <w:sz w:val="20"/>
          <w:szCs w:val="20"/>
          <w:color w:val="auto"/>
        </w:rPr>
        <w:tab/>
      </w:r>
      <w:hyperlink w:anchor="page459">
        <w:r>
          <w:rPr>
            <w:rFonts w:ascii="Arial" w:cs="Arial" w:eastAsia="Arial" w:hAnsi="Arial"/>
            <w:sz w:val="18"/>
            <w:szCs w:val="18"/>
            <w:u w:val="single" w:color="auto"/>
            <w:color w:val="0000EE"/>
          </w:rPr>
          <w:t>Second Amendment to Collaboration and License Agreement between Genmab B.V. and CureVac</w:t>
        </w:r>
      </w:hyperlink>
      <w:r>
        <w:rPr>
          <w:rFonts w:ascii="Arial" w:cs="Arial" w:eastAsia="Arial" w:hAnsi="Arial"/>
          <w:sz w:val="18"/>
          <w:szCs w:val="18"/>
          <w:u w:val="single" w:color="auto"/>
          <w:color w:val="0000EE"/>
        </w:rPr>
        <w:t xml:space="preserve"> </w:t>
      </w:r>
      <w:hyperlink w:anchor="page459">
        <w:r>
          <w:rPr>
            <w:rFonts w:ascii="Arial" w:cs="Arial" w:eastAsia="Arial" w:hAnsi="Arial"/>
            <w:sz w:val="18"/>
            <w:szCs w:val="18"/>
            <w:u w:val="single" w:color="auto"/>
            <w:color w:val="0000EE"/>
          </w:rPr>
          <w:t>AG, dated December 19, 2019.†</w:t>
        </w:r>
      </w:hyperlink>
    </w:p>
    <w:p>
      <w:pPr>
        <w:spacing w:after="0" w:line="8" w:lineRule="exact"/>
        <w:rPr>
          <w:sz w:val="20"/>
          <w:szCs w:val="20"/>
          <w:color w:val="auto"/>
        </w:rPr>
      </w:pPr>
    </w:p>
    <w:p>
      <w:pPr>
        <w:ind w:left="1260"/>
        <w:spacing w:after="0"/>
        <w:tabs>
          <w:tab w:leader="none" w:pos="2060" w:val="left"/>
        </w:tabs>
        <w:rPr>
          <w:rFonts w:ascii="Arial" w:cs="Arial" w:eastAsia="Arial" w:hAnsi="Arial"/>
          <w:sz w:val="17"/>
          <w:szCs w:val="17"/>
          <w:u w:val="single" w:color="auto"/>
          <w:color w:val="0000EE"/>
        </w:rPr>
      </w:pPr>
      <w:r>
        <w:rPr>
          <w:rFonts w:ascii="Arial" w:cs="Arial" w:eastAsia="Arial" w:hAnsi="Arial"/>
          <w:sz w:val="18"/>
          <w:szCs w:val="18"/>
          <w:color w:val="auto"/>
        </w:rPr>
        <w:t>10.47</w:t>
      </w:r>
      <w:r>
        <w:rPr>
          <w:sz w:val="20"/>
          <w:szCs w:val="20"/>
          <w:color w:val="auto"/>
        </w:rPr>
        <w:tab/>
      </w:r>
      <w:hyperlink w:anchor="page462">
        <w:r>
          <w:rPr>
            <w:rFonts w:ascii="Arial" w:cs="Arial" w:eastAsia="Arial" w:hAnsi="Arial"/>
            <w:sz w:val="17"/>
            <w:szCs w:val="17"/>
            <w:u w:val="single" w:color="auto"/>
            <w:color w:val="0000EE"/>
          </w:rPr>
          <w:t>Amendment Three to Development and Option Agreement between Acuitas Therapeutics Inc.</w:t>
        </w:r>
      </w:hyperlink>
    </w:p>
    <w:p>
      <w:pPr>
        <w:spacing w:after="0" w:line="23" w:lineRule="exact"/>
        <w:rPr>
          <w:sz w:val="20"/>
          <w:szCs w:val="20"/>
          <w:color w:val="auto"/>
        </w:rPr>
      </w:pPr>
    </w:p>
    <w:p>
      <w:pPr>
        <w:ind w:left="2080"/>
        <w:spacing w:after="0"/>
        <w:rPr>
          <w:rFonts w:ascii="Arial" w:cs="Arial" w:eastAsia="Arial" w:hAnsi="Arial"/>
          <w:sz w:val="18"/>
          <w:szCs w:val="18"/>
          <w:u w:val="single" w:color="auto"/>
          <w:color w:val="0000EE"/>
        </w:rPr>
      </w:pPr>
      <w:hyperlink w:anchor="page462">
        <w:r>
          <w:rPr>
            <w:rFonts w:ascii="Arial" w:cs="Arial" w:eastAsia="Arial" w:hAnsi="Arial"/>
            <w:sz w:val="18"/>
            <w:szCs w:val="18"/>
            <w:u w:val="single" w:color="auto"/>
            <w:color w:val="0000EE"/>
          </w:rPr>
          <w:t>and CureVac AG, dated December 24, 2020.†</w:t>
        </w:r>
      </w:hyperlink>
    </w:p>
    <w:p>
      <w:pPr>
        <w:spacing w:after="0" w:line="49" w:lineRule="exact"/>
        <w:rPr>
          <w:sz w:val="20"/>
          <w:szCs w:val="20"/>
          <w:color w:val="auto"/>
        </w:rPr>
      </w:pPr>
    </w:p>
    <w:p>
      <w:pPr>
        <w:ind w:left="2080" w:right="1079" w:hanging="809"/>
        <w:spacing w:after="0" w:line="298" w:lineRule="auto"/>
        <w:tabs>
          <w:tab w:leader="none" w:pos="2060" w:val="left"/>
        </w:tabs>
        <w:rPr>
          <w:rFonts w:ascii="Arial" w:cs="Arial" w:eastAsia="Arial" w:hAnsi="Arial"/>
          <w:sz w:val="17"/>
          <w:szCs w:val="17"/>
          <w:u w:val="single" w:color="auto"/>
          <w:color w:val="0000EE"/>
        </w:rPr>
      </w:pPr>
      <w:r>
        <w:rPr>
          <w:rFonts w:ascii="Arial" w:cs="Arial" w:eastAsia="Arial" w:hAnsi="Arial"/>
          <w:sz w:val="18"/>
          <w:szCs w:val="18"/>
          <w:color w:val="auto"/>
        </w:rPr>
        <w:t>10.48</w:t>
      </w:r>
      <w:r>
        <w:rPr>
          <w:sz w:val="20"/>
          <w:szCs w:val="20"/>
          <w:color w:val="auto"/>
        </w:rPr>
        <w:tab/>
      </w:r>
      <w:hyperlink w:anchor="page473">
        <w:r>
          <w:rPr>
            <w:rFonts w:ascii="Arial" w:cs="Arial" w:eastAsia="Arial" w:hAnsi="Arial"/>
            <w:sz w:val="17"/>
            <w:szCs w:val="17"/>
            <w:u w:val="single" w:color="auto"/>
            <w:color w:val="0000EE"/>
          </w:rPr>
          <w:t>Amendment Number One to the Framework Partnering Agreement between Coalition for</w:t>
        </w:r>
      </w:hyperlink>
      <w:r>
        <w:rPr>
          <w:rFonts w:ascii="Arial" w:cs="Arial" w:eastAsia="Arial" w:hAnsi="Arial"/>
          <w:sz w:val="17"/>
          <w:szCs w:val="17"/>
          <w:u w:val="single" w:color="auto"/>
          <w:color w:val="0000EE"/>
        </w:rPr>
        <w:t xml:space="preserve"> </w:t>
      </w:r>
      <w:hyperlink w:anchor="page473">
        <w:r>
          <w:rPr>
            <w:rFonts w:ascii="Arial" w:cs="Arial" w:eastAsia="Arial" w:hAnsi="Arial"/>
            <w:sz w:val="17"/>
            <w:szCs w:val="17"/>
            <w:u w:val="single" w:color="auto"/>
            <w:color w:val="0000EE"/>
          </w:rPr>
          <w:t>Epidemic Preparedness Innovations and CureVac AG, dated December 11, 2020.</w:t>
        </w:r>
      </w:hyperlink>
    </w:p>
    <w:p>
      <w:pPr>
        <w:spacing w:after="0" w:line="1" w:lineRule="exact"/>
        <w:rPr>
          <w:sz w:val="20"/>
          <w:szCs w:val="20"/>
          <w:color w:val="auto"/>
        </w:rPr>
      </w:pPr>
    </w:p>
    <w:p>
      <w:pPr>
        <w:ind w:left="2080" w:right="619" w:hanging="809"/>
        <w:spacing w:after="0" w:line="277"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21.1</w:t>
      </w:r>
      <w:r>
        <w:rPr>
          <w:sz w:val="20"/>
          <w:szCs w:val="20"/>
          <w:color w:val="auto"/>
        </w:rPr>
        <w:tab/>
      </w:r>
      <w:hyperlink r:id="rId850">
        <w:r>
          <w:rPr>
            <w:rFonts w:ascii="Arial" w:cs="Arial" w:eastAsia="Arial" w:hAnsi="Arial"/>
            <w:sz w:val="18"/>
            <w:szCs w:val="18"/>
            <w:u w:val="single" w:color="auto"/>
            <w:color w:val="0000EE"/>
          </w:rPr>
          <w:t>List of subsidiaries (incorporated by reference to Exhibit 21.1 to the Company’s Form F-1 filed</w:t>
        </w:r>
      </w:hyperlink>
      <w:r>
        <w:rPr>
          <w:rFonts w:ascii="Arial" w:cs="Arial" w:eastAsia="Arial" w:hAnsi="Arial"/>
          <w:sz w:val="18"/>
          <w:szCs w:val="18"/>
          <w:u w:val="single" w:color="auto"/>
          <w:color w:val="0000EE"/>
        </w:rPr>
        <w:t xml:space="preserve"> </w:t>
      </w:r>
      <w:hyperlink r:id="rId850">
        <w:r>
          <w:rPr>
            <w:rFonts w:ascii="Arial" w:cs="Arial" w:eastAsia="Arial" w:hAnsi="Arial"/>
            <w:sz w:val="18"/>
            <w:szCs w:val="18"/>
            <w:u w:val="single" w:color="auto"/>
            <w:color w:val="0000EE"/>
          </w:rPr>
          <w:t>on August 10, 2020).</w:t>
        </w:r>
      </w:hyperlink>
    </w:p>
    <w:p>
      <w:pPr>
        <w:spacing w:after="0" w:line="22" w:lineRule="exact"/>
        <w:rPr>
          <w:sz w:val="20"/>
          <w:szCs w:val="20"/>
          <w:color w:val="auto"/>
        </w:rPr>
      </w:pPr>
    </w:p>
    <w:p>
      <w:pPr>
        <w:ind w:left="1260"/>
        <w:spacing w:after="0"/>
        <w:tabs>
          <w:tab w:leader="none" w:pos="2060" w:val="left"/>
        </w:tabs>
        <w:rPr>
          <w:rFonts w:ascii="Arial" w:cs="Arial" w:eastAsia="Arial" w:hAnsi="Arial"/>
          <w:sz w:val="17"/>
          <w:szCs w:val="17"/>
          <w:u w:val="single" w:color="auto"/>
          <w:color w:val="0000EE"/>
        </w:rPr>
      </w:pPr>
      <w:r>
        <w:rPr>
          <w:rFonts w:ascii="Arial" w:cs="Arial" w:eastAsia="Arial" w:hAnsi="Arial"/>
          <w:sz w:val="18"/>
          <w:szCs w:val="18"/>
          <w:color w:val="auto"/>
        </w:rPr>
        <w:t>23.1</w:t>
      </w:r>
      <w:r>
        <w:rPr>
          <w:sz w:val="20"/>
          <w:szCs w:val="20"/>
          <w:color w:val="auto"/>
        </w:rPr>
        <w:tab/>
      </w:r>
      <w:hyperlink w:anchor="page478">
        <w:r>
          <w:rPr>
            <w:rFonts w:ascii="Arial" w:cs="Arial" w:eastAsia="Arial" w:hAnsi="Arial"/>
            <w:sz w:val="17"/>
            <w:szCs w:val="17"/>
            <w:u w:val="single" w:color="auto"/>
            <w:color w:val="0000EE"/>
          </w:rPr>
          <w:t>Consent of Ernst &amp; Young GmbH Wirtschaftsprüfungsgesellschaft.</w:t>
        </w:r>
      </w:hyperlink>
    </w:p>
    <w:p>
      <w:pPr>
        <w:spacing w:after="0" w:line="90" w:lineRule="exact"/>
        <w:rPr>
          <w:sz w:val="20"/>
          <w:szCs w:val="20"/>
          <w:color w:val="auto"/>
        </w:rPr>
      </w:pPr>
    </w:p>
    <w:p>
      <w:pPr>
        <w:ind w:left="1260"/>
        <w:spacing w:after="0"/>
        <w:tabs>
          <w:tab w:leader="none" w:pos="2060" w:val="left"/>
        </w:tabs>
        <w:rPr>
          <w:rFonts w:ascii="Arial" w:cs="Arial" w:eastAsia="Arial" w:hAnsi="Arial"/>
          <w:sz w:val="17"/>
          <w:szCs w:val="17"/>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7"/>
          <w:szCs w:val="17"/>
          <w:color w:val="auto"/>
        </w:rPr>
        <w:t xml:space="preserve">Consent of NautaDutilh N.V. (included in </w:t>
      </w:r>
      <w:hyperlink w:anchor="page431">
        <w:r>
          <w:rPr>
            <w:rFonts w:ascii="Arial" w:cs="Arial" w:eastAsia="Arial" w:hAnsi="Arial"/>
            <w:sz w:val="17"/>
            <w:szCs w:val="17"/>
            <w:u w:val="single" w:color="auto"/>
            <w:color w:val="0000EE"/>
          </w:rPr>
          <w:t>Exhibits 5.1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w:anchor="page439">
        <w:r>
          <w:rPr>
            <w:rFonts w:ascii="Arial" w:cs="Arial" w:eastAsia="Arial" w:hAnsi="Arial"/>
            <w:sz w:val="17"/>
            <w:szCs w:val="17"/>
            <w:u w:val="single" w:color="auto"/>
            <w:color w:val="0000EE"/>
          </w:rPr>
          <w:t>8.1).</w:t>
        </w:r>
      </w:hyperlink>
    </w:p>
    <w:p>
      <w:pPr>
        <w:spacing w:after="0" w:line="200" w:lineRule="exact"/>
        <w:rPr>
          <w:sz w:val="20"/>
          <w:szCs w:val="20"/>
          <w:color w:val="auto"/>
        </w:rPr>
      </w:pPr>
    </w:p>
    <w:p>
      <w:pPr>
        <w:spacing w:after="0" w:line="22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80" w:name="page381"/>
    <w:bookmarkEnd w:id="380"/>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tabs>
          <w:tab w:leader="none" w:pos="2060" w:val="left"/>
        </w:tabs>
        <w:rPr>
          <w:rFonts w:ascii="Arial" w:cs="Arial" w:eastAsia="Arial" w:hAnsi="Arial"/>
          <w:sz w:val="17"/>
          <w:szCs w:val="17"/>
          <w:u w:val="single" w:color="auto"/>
          <w:color w:val="0000EE"/>
        </w:rPr>
      </w:pPr>
      <w:r>
        <w:rPr>
          <w:rFonts w:ascii="Arial" w:cs="Arial" w:eastAsia="Arial" w:hAnsi="Arial"/>
          <w:sz w:val="18"/>
          <w:szCs w:val="18"/>
          <w:color w:val="auto"/>
        </w:rPr>
        <w:t>23.3</w:t>
      </w:r>
      <w:r>
        <w:rPr>
          <w:sz w:val="20"/>
          <w:szCs w:val="20"/>
          <w:color w:val="auto"/>
        </w:rPr>
        <w:tab/>
      </w:r>
      <w:hyperlink w:anchor="page442">
        <w:r>
          <w:rPr>
            <w:rFonts w:ascii="Arial" w:cs="Arial" w:eastAsia="Arial" w:hAnsi="Arial"/>
            <w:sz w:val="17"/>
            <w:szCs w:val="17"/>
            <w:u w:val="single" w:color="auto"/>
            <w:color w:val="0000EE"/>
          </w:rPr>
          <w:t>Consent of FALK GmbH &amp; Co KG (included in Exhibit 8.2).</w:t>
        </w:r>
      </w:hyperlink>
    </w:p>
    <w:p>
      <w:pPr>
        <w:spacing w:after="0" w:line="77" w:lineRule="exact"/>
        <w:rPr>
          <w:sz w:val="20"/>
          <w:szCs w:val="20"/>
          <w:color w:val="auto"/>
        </w:rPr>
      </w:pPr>
    </w:p>
    <w:p>
      <w:pPr>
        <w:ind w:left="1260"/>
        <w:spacing w:after="0"/>
        <w:tabs>
          <w:tab w:leader="none" w:pos="2060" w:val="left"/>
        </w:tabs>
        <w:rPr>
          <w:rFonts w:ascii="Arial" w:cs="Arial" w:eastAsia="Arial" w:hAnsi="Arial"/>
          <w:sz w:val="17"/>
          <w:szCs w:val="17"/>
          <w:u w:val="single" w:color="auto"/>
          <w:color w:val="0000EE"/>
        </w:rPr>
      </w:pPr>
      <w:r>
        <w:rPr>
          <w:rFonts w:ascii="Arial" w:cs="Arial" w:eastAsia="Arial" w:hAnsi="Arial"/>
          <w:sz w:val="18"/>
          <w:szCs w:val="18"/>
          <w:color w:val="auto"/>
        </w:rPr>
        <w:t>23.4</w:t>
      </w:r>
      <w:r>
        <w:rPr>
          <w:sz w:val="20"/>
          <w:szCs w:val="20"/>
          <w:color w:val="auto"/>
        </w:rPr>
        <w:tab/>
      </w:r>
      <w:hyperlink w:anchor="page445">
        <w:r>
          <w:rPr>
            <w:rFonts w:ascii="Arial" w:cs="Arial" w:eastAsia="Arial" w:hAnsi="Arial"/>
            <w:sz w:val="17"/>
            <w:szCs w:val="17"/>
            <w:u w:val="single" w:color="auto"/>
            <w:color w:val="0000EE"/>
          </w:rPr>
          <w:t>Consent of Davis Polk &amp; Wardwell LLP (included in Exhibit 8.3).</w:t>
        </w:r>
      </w:hyperlink>
    </w:p>
    <w:p>
      <w:pPr>
        <w:spacing w:after="0" w:line="90" w:lineRule="exact"/>
        <w:rPr>
          <w:sz w:val="20"/>
          <w:szCs w:val="20"/>
          <w:color w:val="auto"/>
        </w:rPr>
      </w:pPr>
    </w:p>
    <w:p>
      <w:pPr>
        <w:ind w:left="1260"/>
        <w:spacing w:after="0"/>
        <w:tabs>
          <w:tab w:leader="none" w:pos="2060" w:val="left"/>
        </w:tabs>
        <w:rPr>
          <w:rFonts w:ascii="Arial" w:cs="Arial" w:eastAsia="Arial" w:hAnsi="Arial"/>
          <w:sz w:val="16"/>
          <w:szCs w:val="16"/>
          <w:u w:val="single" w:color="auto"/>
          <w:color w:val="0000EE"/>
        </w:rPr>
      </w:pPr>
      <w:r>
        <w:rPr>
          <w:rFonts w:ascii="Arial" w:cs="Arial" w:eastAsia="Arial" w:hAnsi="Arial"/>
          <w:sz w:val="18"/>
          <w:szCs w:val="18"/>
          <w:color w:val="auto"/>
        </w:rPr>
        <w:t>24.1</w:t>
      </w:r>
      <w:r>
        <w:rPr>
          <w:sz w:val="20"/>
          <w:szCs w:val="20"/>
          <w:color w:val="auto"/>
        </w:rPr>
        <w:tab/>
      </w:r>
      <w:hyperlink r:id="rId852">
        <w:r>
          <w:rPr>
            <w:rFonts w:ascii="Arial" w:cs="Arial" w:eastAsia="Arial" w:hAnsi="Arial"/>
            <w:sz w:val="16"/>
            <w:szCs w:val="16"/>
            <w:u w:val="single" w:color="auto"/>
            <w:color w:val="0000EE"/>
          </w:rPr>
          <w:t>Powers of attorney.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168910</wp:posOffset>
            </wp:positionV>
            <wp:extent cx="164592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5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94" w:lineRule="exact"/>
        <w:rPr>
          <w:sz w:val="20"/>
          <w:szCs w:val="20"/>
          <w:color w:val="auto"/>
        </w:rPr>
      </w:pPr>
    </w:p>
    <w:p>
      <w:pPr>
        <w:ind w:left="1900" w:right="919" w:hanging="640"/>
        <w:spacing w:after="0" w:line="277" w:lineRule="auto"/>
        <w:tabs>
          <w:tab w:leader="none" w:pos="19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Certain information has been excluded from the exhibit because it both (i) is not material and (ii) would likely cause competitive harm to the Registrant if publicly disclosed.</w:t>
      </w:r>
    </w:p>
    <w:p>
      <w:pPr>
        <w:spacing w:after="0" w:line="170" w:lineRule="exact"/>
        <w:rPr>
          <w:sz w:val="20"/>
          <w:szCs w:val="20"/>
          <w:color w:val="auto"/>
        </w:rPr>
      </w:pPr>
    </w:p>
    <w:p>
      <w:pPr>
        <w:ind w:left="1900" w:right="5659" w:hanging="640"/>
        <w:spacing w:after="0" w:line="449" w:lineRule="auto"/>
        <w:tabs>
          <w:tab w:leader="none" w:pos="19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18" w:lineRule="exact"/>
        <w:rPr>
          <w:sz w:val="20"/>
          <w:szCs w:val="20"/>
          <w:color w:val="auto"/>
        </w:rPr>
      </w:pPr>
    </w:p>
    <w:p>
      <w:pPr>
        <w:ind w:left="1260"/>
        <w:spacing w:after="0"/>
        <w:tabs>
          <w:tab w:leader="none" w:pos="19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Undertakings</w:t>
      </w:r>
    </w:p>
    <w:p>
      <w:pPr>
        <w:spacing w:after="0" w:line="14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undersigned hereby undertakes:</w:t>
      </w:r>
    </w:p>
    <w:p>
      <w:pPr>
        <w:spacing w:after="0" w:line="158" w:lineRule="exact"/>
        <w:rPr>
          <w:sz w:val="20"/>
          <w:szCs w:val="20"/>
          <w:color w:val="auto"/>
        </w:rPr>
      </w:pPr>
    </w:p>
    <w:p>
      <w:pPr>
        <w:ind w:left="2560" w:right="859" w:hanging="652"/>
        <w:spacing w:after="0" w:line="263" w:lineRule="auto"/>
        <w:tabs>
          <w:tab w:leader="none" w:pos="25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To provide to the underwriter at the closing specified in the underwriting agreements, certificates in such denominations and registered in such names as required by the underwriter to permit prompt delivery to each purchaser.</w:t>
      </w:r>
    </w:p>
    <w:p>
      <w:pPr>
        <w:spacing w:after="0" w:line="116" w:lineRule="exact"/>
        <w:rPr>
          <w:rFonts w:ascii="Arial" w:cs="Arial" w:eastAsia="Arial" w:hAnsi="Arial"/>
          <w:sz w:val="18"/>
          <w:szCs w:val="18"/>
          <w:color w:val="auto"/>
        </w:rPr>
      </w:pPr>
    </w:p>
    <w:p>
      <w:pPr>
        <w:ind w:left="2560" w:right="439" w:hanging="652"/>
        <w:spacing w:after="0" w:line="252" w:lineRule="auto"/>
        <w:tabs>
          <w:tab w:leader="none" w:pos="25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117" w:lineRule="exact"/>
        <w:rPr>
          <w:rFonts w:ascii="Arial" w:cs="Arial" w:eastAsia="Arial" w:hAnsi="Arial"/>
          <w:sz w:val="18"/>
          <w:szCs w:val="18"/>
          <w:color w:val="auto"/>
        </w:rPr>
      </w:pPr>
    </w:p>
    <w:p>
      <w:pPr>
        <w:ind w:left="2560" w:hanging="652"/>
        <w:spacing w:after="0"/>
        <w:tabs>
          <w:tab w:leader="none" w:pos="25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57" w:lineRule="exact"/>
        <w:rPr>
          <w:rFonts w:ascii="Arial" w:cs="Arial" w:eastAsia="Arial" w:hAnsi="Arial"/>
          <w:sz w:val="18"/>
          <w:szCs w:val="18"/>
          <w:color w:val="auto"/>
        </w:rPr>
      </w:pPr>
    </w:p>
    <w:p>
      <w:pPr>
        <w:ind w:left="3200" w:right="539" w:hanging="644"/>
        <w:spacing w:after="0" w:line="255" w:lineRule="auto"/>
        <w:tabs>
          <w:tab w:leader="none" w:pos="320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24" w:lineRule="exact"/>
        <w:rPr>
          <w:rFonts w:ascii="Arial" w:cs="Arial" w:eastAsia="Arial" w:hAnsi="Arial"/>
          <w:sz w:val="18"/>
          <w:szCs w:val="18"/>
          <w:color w:val="auto"/>
        </w:rPr>
      </w:pPr>
    </w:p>
    <w:p>
      <w:pPr>
        <w:ind w:left="3200" w:right="419" w:hanging="644"/>
        <w:spacing w:after="0" w:line="257" w:lineRule="auto"/>
        <w:tabs>
          <w:tab w:leader="none" w:pos="320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81" w:name="page382"/>
    <w:bookmarkEnd w:id="381"/>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left="1260" w:right="599" w:firstLine="648"/>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the city of Tübingen on January 25, 2021.</w:t>
      </w:r>
    </w:p>
    <w:p>
      <w:pPr>
        <w:spacing w:after="0" w:line="18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CureVac N.V.</w:t>
      </w:r>
    </w:p>
    <w:p>
      <w:pPr>
        <w:spacing w:after="0" w:line="229" w:lineRule="exact"/>
        <w:rPr>
          <w:sz w:val="20"/>
          <w:szCs w:val="20"/>
          <w:color w:val="auto"/>
        </w:rPr>
      </w:pPr>
    </w:p>
    <w:p>
      <w:pPr>
        <w:ind w:left="5140"/>
        <w:spacing w:after="0"/>
        <w:tabs>
          <w:tab w:leader="none" w:pos="5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Franz-Werner Haas, LLD, LLM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48895</wp:posOffset>
            </wp:positionV>
            <wp:extent cx="233172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55">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124" w:lineRule="exact"/>
        <w:rPr>
          <w:sz w:val="20"/>
          <w:szCs w:val="20"/>
          <w:color w:val="auto"/>
        </w:rPr>
      </w:pPr>
    </w:p>
    <w:p>
      <w:pPr>
        <w:ind w:left="5800"/>
        <w:spacing w:after="0"/>
        <w:tabs>
          <w:tab w:leader="none" w:pos="6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Franz-Werner Haas, LLD, LLM</w:t>
      </w:r>
    </w:p>
    <w:p>
      <w:pPr>
        <w:spacing w:after="0" w:line="23" w:lineRule="exact"/>
        <w:rPr>
          <w:sz w:val="20"/>
          <w:szCs w:val="20"/>
          <w:color w:val="auto"/>
        </w:rPr>
      </w:pPr>
    </w:p>
    <w:p>
      <w:pPr>
        <w:ind w:left="5800"/>
        <w:spacing w:after="0"/>
        <w:tabs>
          <w:tab w:leader="none" w:pos="642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5140"/>
        <w:spacing w:after="0"/>
        <w:tabs>
          <w:tab w:leader="none" w:pos="5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Pierre Kemula, B.Sc.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48895</wp:posOffset>
            </wp:positionV>
            <wp:extent cx="233172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56">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24" w:lineRule="exact"/>
        <w:rPr>
          <w:sz w:val="20"/>
          <w:szCs w:val="20"/>
          <w:color w:val="auto"/>
        </w:rPr>
      </w:pPr>
    </w:p>
    <w:p>
      <w:pPr>
        <w:ind w:left="5800"/>
        <w:spacing w:after="0"/>
        <w:tabs>
          <w:tab w:leader="none" w:pos="6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Pierre Kemula, B.Sc.</w:t>
      </w:r>
    </w:p>
    <w:p>
      <w:pPr>
        <w:spacing w:after="0" w:line="23" w:lineRule="exact"/>
        <w:rPr>
          <w:sz w:val="20"/>
          <w:szCs w:val="20"/>
          <w:color w:val="auto"/>
        </w:rPr>
      </w:pPr>
    </w:p>
    <w:p>
      <w:pPr>
        <w:ind w:left="5800"/>
        <w:spacing w:after="0"/>
        <w:tabs>
          <w:tab w:leader="none" w:pos="6420" w:val="left"/>
        </w:tabs>
        <w:rPr>
          <w:sz w:val="20"/>
          <w:szCs w:val="20"/>
          <w:color w:val="auto"/>
        </w:rPr>
      </w:pPr>
      <w:r>
        <w:rPr>
          <w:rFonts w:ascii="Arial" w:cs="Arial" w:eastAsia="Arial" w:hAnsi="Arial"/>
          <w:sz w:val="18"/>
          <w:szCs w:val="18"/>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82" w:name="page383"/>
    <w:bookmarkEnd w:id="382"/>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SIGNATURE OF AUTHORIZED U.S. REPRESENTATIVE OF REGISTRANT</w:t>
      </w:r>
    </w:p>
    <w:p>
      <w:pPr>
        <w:spacing w:after="0" w:line="162" w:lineRule="exact"/>
        <w:rPr>
          <w:sz w:val="20"/>
          <w:szCs w:val="20"/>
          <w:color w:val="auto"/>
        </w:rPr>
      </w:pPr>
    </w:p>
    <w:p>
      <w:pPr>
        <w:ind w:left="1260" w:right="599"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undersigned, the duly authorized representative in the United States of CureVac N.V. has signed this registration statement on January 25, 2021.</w:t>
      </w:r>
    </w:p>
    <w:p>
      <w:pPr>
        <w:spacing w:after="0" w:line="18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CureVac Inc.</w:t>
      </w:r>
    </w:p>
    <w:p>
      <w:pPr>
        <w:spacing w:after="0" w:line="162" w:lineRule="exact"/>
        <w:rPr>
          <w:sz w:val="20"/>
          <w:szCs w:val="20"/>
          <w:color w:val="auto"/>
        </w:rPr>
      </w:pPr>
    </w:p>
    <w:p>
      <w:pPr>
        <w:ind w:left="5140"/>
        <w:spacing w:after="0"/>
        <w:tabs>
          <w:tab w:leader="none" w:pos="5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Franz-Werner Haas, LLD, LLM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40640</wp:posOffset>
            </wp:positionV>
            <wp:extent cx="233172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58">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24" w:lineRule="exact"/>
        <w:rPr>
          <w:sz w:val="20"/>
          <w:szCs w:val="20"/>
          <w:color w:val="auto"/>
        </w:rPr>
      </w:pPr>
    </w:p>
    <w:p>
      <w:pPr>
        <w:ind w:left="5800"/>
        <w:spacing w:after="0"/>
        <w:tabs>
          <w:tab w:leader="none" w:pos="6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Franz-Werner Haas, LLD, LLM</w:t>
      </w:r>
    </w:p>
    <w:p>
      <w:pPr>
        <w:spacing w:after="0" w:line="23" w:lineRule="exact"/>
        <w:rPr>
          <w:sz w:val="20"/>
          <w:szCs w:val="20"/>
          <w:color w:val="auto"/>
        </w:rPr>
      </w:pPr>
    </w:p>
    <w:p>
      <w:pPr>
        <w:ind w:left="5800"/>
        <w:spacing w:after="0"/>
        <w:tabs>
          <w:tab w:leader="none" w:pos="6420" w:val="left"/>
        </w:tabs>
        <w:rPr>
          <w:sz w:val="20"/>
          <w:szCs w:val="20"/>
          <w:color w:val="auto"/>
        </w:rPr>
      </w:pPr>
      <w:r>
        <w:rPr>
          <w:rFonts w:ascii="Arial" w:cs="Arial" w:eastAsia="Arial" w:hAnsi="Arial"/>
          <w:sz w:val="18"/>
          <w:szCs w:val="18"/>
          <w:color w:val="auto"/>
        </w:rPr>
        <w:t>Title:</w:t>
        <w:tab/>
        <w:t>Member of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83" w:name="page384"/>
    <w:bookmarkEnd w:id="383"/>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419" w:firstLine="648"/>
        <w:spacing w:after="0" w:line="269"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Mr. Franz-Werner Haas and Mr. Pierre Kemula and each of them, individually, as his true and lawful attorneys-in-fact and agents, with full power of substitution and resubstitution, for him and in his name, place and stead in any and all capacities, in connection with this registration statement, including to sign in the name and on behalf of the undersigned, this registration statement and any and all amendments thereto, including post-effective amendments and registrations filed pursuant to Rule 462 under the U.S. Securities Act of 1933, and to file the same, with all exhibits thereto, and other documents in connection therewith, with the U.S. Securities and Exchange Commission, granting unto such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his substitute, may lawfully do or cause to be done by virtue hereof.</w:t>
      </w:r>
    </w:p>
    <w:p>
      <w:pPr>
        <w:spacing w:after="0" w:line="111" w:lineRule="exact"/>
        <w:rPr>
          <w:sz w:val="20"/>
          <w:szCs w:val="20"/>
          <w:color w:val="auto"/>
        </w:rPr>
      </w:pPr>
    </w:p>
    <w:p>
      <w:pPr>
        <w:ind w:left="1260" w:right="559"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on January 25, 2021 in the capacities indicated:</w:t>
      </w:r>
    </w:p>
    <w:p>
      <w:pPr>
        <w:spacing w:after="0" w:line="108" w:lineRule="exact"/>
        <w:rPr>
          <w:sz w:val="20"/>
          <w:szCs w:val="20"/>
          <w:color w:val="auto"/>
        </w:rPr>
      </w:pPr>
    </w:p>
    <w:p>
      <w:pPr>
        <w:ind w:left="3580"/>
        <w:spacing w:after="0"/>
        <w:tabs>
          <w:tab w:leader="none" w:pos="780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32385</wp:posOffset>
            </wp:positionV>
            <wp:extent cx="521208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6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Franz-Werner Haas, LLD, LLM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315468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61">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9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Franz-Werner Haas, LLD, LLM</w:t>
      </w:r>
    </w:p>
    <w:p>
      <w:pPr>
        <w:spacing w:after="0" w:line="200" w:lineRule="exact"/>
        <w:rPr>
          <w:sz w:val="20"/>
          <w:szCs w:val="20"/>
          <w:color w:val="auto"/>
        </w:rPr>
      </w:pPr>
    </w:p>
    <w:p>
      <w:pPr>
        <w:spacing w:after="0" w:line="29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Pierre Kemula, B.Sc.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315468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62">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9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Pierre Kemula, B.Sc.</w:t>
      </w:r>
    </w:p>
    <w:p>
      <w:pPr>
        <w:spacing w:after="0" w:line="200" w:lineRule="exact"/>
        <w:rPr>
          <w:sz w:val="20"/>
          <w:szCs w:val="20"/>
          <w:color w:val="auto"/>
        </w:rPr>
      </w:pPr>
    </w:p>
    <w:p>
      <w:pPr>
        <w:spacing w:after="0" w:line="29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 Florian von der Mülbe,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56515</wp:posOffset>
            </wp:positionV>
            <wp:extent cx="315468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63">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0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Florian von der Mülbe, Ph.D., MBA</w:t>
      </w:r>
    </w:p>
    <w:p>
      <w:pPr>
        <w:spacing w:after="0" w:line="200" w:lineRule="exact"/>
        <w:rPr>
          <w:sz w:val="20"/>
          <w:szCs w:val="20"/>
          <w:color w:val="auto"/>
        </w:rPr>
      </w:pPr>
    </w:p>
    <w:p>
      <w:pPr>
        <w:spacing w:after="0" w:line="29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Mariola Fotin-Mleczek,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315468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64">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9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Mariola Fotin-Mleczek, Ph.D</w:t>
      </w:r>
    </w:p>
    <w:p>
      <w:pPr>
        <w:spacing w:after="0" w:line="200" w:lineRule="exact"/>
        <w:rPr>
          <w:sz w:val="20"/>
          <w:szCs w:val="20"/>
          <w:color w:val="auto"/>
        </w:rPr>
      </w:pPr>
    </w:p>
    <w:p>
      <w:pPr>
        <w:spacing w:after="0" w:line="29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Igor Splawski, Ph.D., MSc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315468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65">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9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Igor Splawski, Ph.D., MSc</w:t>
      </w:r>
    </w:p>
    <w:p>
      <w:pPr>
        <w:spacing w:after="0" w:line="200" w:lineRule="exact"/>
        <w:rPr>
          <w:sz w:val="20"/>
          <w:szCs w:val="20"/>
          <w:color w:val="auto"/>
        </w:rPr>
      </w:pPr>
    </w:p>
    <w:p>
      <w:pPr>
        <w:spacing w:after="0" w:line="29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Antony Blanc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315468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66">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9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Antony Blanc</w:t>
      </w:r>
    </w:p>
    <w:p>
      <w:pPr>
        <w:spacing w:after="0" w:line="200" w:lineRule="exact"/>
        <w:rPr>
          <w:sz w:val="20"/>
          <w:szCs w:val="20"/>
          <w:color w:val="auto"/>
        </w:rPr>
      </w:pPr>
    </w:p>
    <w:p>
      <w:pPr>
        <w:spacing w:after="0" w:line="29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 Baron Jean Stéphenne, MSc,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56515</wp:posOffset>
            </wp:positionV>
            <wp:extent cx="315468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67">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0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Baron Jean Stéphenne, MSc, MBA</w:t>
      </w:r>
    </w:p>
    <w:p>
      <w:pPr>
        <w:spacing w:after="0" w:line="200" w:lineRule="exact"/>
        <w:rPr>
          <w:sz w:val="20"/>
          <w:szCs w:val="20"/>
          <w:color w:val="auto"/>
        </w:rPr>
      </w:pPr>
    </w:p>
    <w:p>
      <w:pPr>
        <w:spacing w:after="0" w:line="29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Ralf Clemens,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315468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68">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9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Ralf Clemens, MD, Ph.D.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Chief Production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Chief Technology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Chief Scientific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Chief Business Officer and Chief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Commercial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color w:val="auto"/>
        </w:rPr>
        <w:t>Chairman and Supervisory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Supervisory Director</w:t>
      </w:r>
    </w:p>
    <w:p>
      <w:pPr>
        <w:spacing w:after="0" w:line="375" w:lineRule="exact"/>
        <w:rPr>
          <w:sz w:val="20"/>
          <w:szCs w:val="20"/>
          <w:color w:val="auto"/>
        </w:rPr>
      </w:pPr>
    </w:p>
    <w:p>
      <w:pPr>
        <w:sectPr>
          <w:pgSz w:w="11900" w:h="16838" w:orient="portrait"/>
          <w:cols w:equalWidth="0" w:num="2">
            <w:col w:w="5720" w:space="720"/>
            <w:col w:w="3439"/>
          </w:cols>
          <w:pgMar w:left="580" w:top="131" w:right="1440" w:bottom="1440" w:gutter="0" w:footer="0" w:header="0"/>
          <w:type w:val="continuous"/>
        </w:sectPr>
      </w:pPr>
    </w:p>
    <w:p>
      <w:pPr>
        <w:spacing w:after="0" w:line="24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84" w:name="page385"/>
    <w:bookmarkEnd w:id="384"/>
    <w:p>
      <w:pPr>
        <w:spacing w:after="0"/>
        <w:rPr>
          <w:rFonts w:ascii="Arial" w:cs="Arial" w:eastAsia="Arial" w:hAnsi="Arial"/>
          <w:sz w:val="14"/>
          <w:szCs w:val="14"/>
          <w:color w:val="003366"/>
        </w:rPr>
      </w:pPr>
      <w:hyperlink w:anchor="page3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580"/>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32385</wp:posOffset>
            </wp:positionV>
            <wp:extent cx="3154680"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70">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Mathias Hotum,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315468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71">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9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Mathias Hotum, Ph.D.</w:t>
      </w:r>
    </w:p>
    <w:p>
      <w:pPr>
        <w:spacing w:after="0" w:line="200" w:lineRule="exact"/>
        <w:rPr>
          <w:sz w:val="20"/>
          <w:szCs w:val="20"/>
          <w:color w:val="auto"/>
        </w:rPr>
      </w:pPr>
    </w:p>
    <w:p>
      <w:pPr>
        <w:spacing w:after="0" w:line="29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Hans Christoph Tanner,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315468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72">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9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Hans Christoph Tanner, Ph.D.</w:t>
      </w:r>
    </w:p>
    <w:p>
      <w:pPr>
        <w:spacing w:after="0" w:line="200" w:lineRule="exact"/>
        <w:rPr>
          <w:sz w:val="20"/>
          <w:szCs w:val="20"/>
          <w:color w:val="auto"/>
        </w:rPr>
      </w:pPr>
    </w:p>
    <w:p>
      <w:pPr>
        <w:spacing w:after="0" w:line="29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Friedrich von Bohlen und Halbach,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315468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73">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9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Friedrich von Bohlen und Halbach, Ph.D.</w:t>
      </w:r>
    </w:p>
    <w:p>
      <w:pPr>
        <w:spacing w:after="0" w:line="200" w:lineRule="exact"/>
        <w:rPr>
          <w:sz w:val="20"/>
          <w:szCs w:val="20"/>
          <w:color w:val="auto"/>
        </w:rPr>
      </w:pPr>
    </w:p>
    <w:p>
      <w:pPr>
        <w:spacing w:after="0" w:line="29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Timothy M. Wright,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315468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74">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9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Timothy M. Wright, MD</w:t>
      </w:r>
    </w:p>
    <w:p>
      <w:pPr>
        <w:spacing w:after="0" w:line="200" w:lineRule="exact"/>
        <w:rPr>
          <w:sz w:val="20"/>
          <w:szCs w:val="20"/>
          <w:color w:val="auto"/>
        </w:rPr>
      </w:pPr>
    </w:p>
    <w:p>
      <w:pPr>
        <w:spacing w:after="0" w:line="29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Craig A. Tooman,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315468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75">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9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Craig A. Tooman, MBA</w:t>
      </w:r>
    </w:p>
    <w:p>
      <w:pPr>
        <w:spacing w:after="0" w:line="200" w:lineRule="exact"/>
        <w:rPr>
          <w:sz w:val="20"/>
          <w:szCs w:val="20"/>
          <w:color w:val="auto"/>
        </w:rPr>
      </w:pPr>
    </w:p>
    <w:p>
      <w:pPr>
        <w:spacing w:after="0" w:line="29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Viola Bronsema,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315468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76">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9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Viola Bronsema, Ph.D.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ind w:right="200"/>
        <w:spacing w:after="0"/>
        <w:rPr>
          <w:sz w:val="20"/>
          <w:szCs w:val="20"/>
          <w:color w:val="auto"/>
        </w:rPr>
      </w:pPr>
      <w:r>
        <w:rPr>
          <w:rFonts w:ascii="Arial" w:cs="Arial" w:eastAsia="Arial" w:hAnsi="Arial"/>
          <w:sz w:val="18"/>
          <w:szCs w:val="18"/>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192024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78">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Supervisory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Supervisory Director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39"/>
        <w:spacing w:after="0" w:line="277" w:lineRule="auto"/>
        <w:rPr>
          <w:sz w:val="20"/>
          <w:szCs w:val="20"/>
          <w:color w:val="auto"/>
        </w:rPr>
      </w:pPr>
      <w:r>
        <w:rPr>
          <w:rFonts w:ascii="Arial" w:cs="Arial" w:eastAsia="Arial" w:hAnsi="Arial"/>
          <w:sz w:val="18"/>
          <w:szCs w:val="18"/>
          <w:color w:val="auto"/>
        </w:rPr>
        <w:t>Vice Chairman and Supervisory Director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Supervisory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Supervisory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Supervisory Director</w:t>
      </w:r>
    </w:p>
    <w:p>
      <w:pPr>
        <w:sectPr>
          <w:pgSz w:w="11900" w:h="16838" w:orient="portrait"/>
          <w:cols w:equalWidth="0" w:num="2">
            <w:col w:w="5720" w:space="720"/>
            <w:col w:w="3439"/>
          </w:cols>
          <w:pgMar w:left="580" w:top="131" w:right="1440" w:bottom="1440" w:gutter="0" w:footer="0" w:header="0"/>
        </w:sectPr>
      </w:pPr>
    </w:p>
    <w:bookmarkStart w:id="385" w:name="page386"/>
    <w:bookmarkEnd w:id="385"/>
    <w:p>
      <w:pPr>
        <w:jc w:val="right"/>
        <w:spacing w:after="0"/>
        <w:rPr>
          <w:sz w:val="20"/>
          <w:szCs w:val="20"/>
          <w:color w:val="auto"/>
        </w:rPr>
      </w:pPr>
      <w:r>
        <w:rPr>
          <w:rFonts w:ascii="Arial" w:cs="Arial" w:eastAsia="Arial" w:hAnsi="Arial"/>
          <w:sz w:val="22"/>
          <w:szCs w:val="22"/>
          <w:b w:val="1"/>
          <w:bCs w:val="1"/>
          <w:color w:val="auto"/>
        </w:rPr>
        <w:t>Exhibit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7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CureVac N.V.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Dutch company)</w:t>
      </w:r>
    </w:p>
    <w:p>
      <w:pPr>
        <w:spacing w:after="0" w:line="221" w:lineRule="exact"/>
        <w:rPr>
          <w:sz w:val="20"/>
          <w:szCs w:val="20"/>
          <w:color w:val="auto"/>
        </w:rPr>
      </w:pPr>
    </w:p>
    <w:p>
      <w:pPr>
        <w:ind w:left="4980" w:hanging="112"/>
        <w:spacing w:after="0"/>
        <w:tabs>
          <w:tab w:leader="none" w:pos="4980" w:val="left"/>
        </w:tabs>
        <w:numPr>
          <w:ilvl w:val="0"/>
          <w:numId w:val="238"/>
        </w:numPr>
        <w:rPr>
          <w:rFonts w:ascii="Arial" w:cs="Arial" w:eastAsia="Arial" w:hAnsi="Arial"/>
          <w:sz w:val="18"/>
          <w:szCs w:val="18"/>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 Common Shares</w:t>
      </w:r>
    </w:p>
    <w:p>
      <w:pPr>
        <w:spacing w:after="0" w:line="229" w:lineRule="exact"/>
        <w:rPr>
          <w:rFonts w:ascii="Arial" w:cs="Arial" w:eastAsia="Arial" w:hAnsi="Arial"/>
          <w:sz w:val="18"/>
          <w:szCs w:val="18"/>
          <w:color w:val="auto"/>
        </w:rPr>
      </w:pPr>
    </w:p>
    <w:p>
      <w:pPr>
        <w:ind w:left="4360"/>
        <w:spacing w:after="0"/>
        <w:rPr>
          <w:rFonts w:ascii="Arial" w:cs="Arial" w:eastAsia="Arial" w:hAnsi="Arial"/>
          <w:sz w:val="18"/>
          <w:szCs w:val="18"/>
          <w:color w:val="auto"/>
        </w:rPr>
      </w:pPr>
      <w:r>
        <w:rPr>
          <w:rFonts w:ascii="Arial" w:cs="Arial" w:eastAsia="Arial" w:hAnsi="Arial"/>
          <w:sz w:val="18"/>
          <w:szCs w:val="18"/>
          <w:u w:val="single" w:color="auto"/>
          <w:color w:val="auto"/>
        </w:rPr>
        <w:t>UNDERWRITING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Dated: [ </w:t>
      </w:r>
      <w:r>
        <w:rPr>
          <w:rFonts w:ascii="Arial" w:cs="Arial" w:eastAsia="Arial" w:hAnsi="Arial"/>
          <w:sz w:val="18"/>
          <w:szCs w:val="18"/>
          <w:b w:val="1"/>
          <w:bCs w:val="1"/>
          <w:color w:val="auto"/>
        </w:rPr>
        <w:t>•</w:t>
      </w:r>
      <w:r>
        <w:rPr>
          <w:rFonts w:ascii="Arial" w:cs="Arial" w:eastAsia="Arial" w:hAnsi="Arial"/>
          <w:sz w:val="18"/>
          <w:szCs w:val="18"/>
          <w:color w:val="auto"/>
        </w:rPr>
        <w:t xml:space="preserve"> ],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86" w:name="page387"/>
    <w:bookmarkEnd w:id="386"/>
    <w:p>
      <w:pPr>
        <w:jc w:val="center"/>
        <w:spacing w:after="0"/>
        <w:rPr>
          <w:sz w:val="20"/>
          <w:szCs w:val="20"/>
          <w:color w:val="auto"/>
        </w:rPr>
      </w:pPr>
      <w:r>
        <w:rPr>
          <w:rFonts w:ascii="Arial" w:cs="Arial" w:eastAsia="Arial" w:hAnsi="Arial"/>
          <w:sz w:val="18"/>
          <w:szCs w:val="18"/>
          <w:color w:val="auto"/>
        </w:rPr>
        <w:t>CureVac N.V.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Dutch company)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 Common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 ],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CureVac N.V., a Dutch public company with limited liability (</w:t>
      </w:r>
      <w:r>
        <w:rPr>
          <w:rFonts w:ascii="Arial" w:cs="Arial" w:eastAsia="Arial" w:hAnsi="Arial"/>
          <w:sz w:val="18"/>
          <w:szCs w:val="18"/>
          <w:i w:val="1"/>
          <w:iCs w:val="1"/>
          <w:color w:val="auto"/>
        </w:rPr>
        <w:t>naamloze vennootschap</w:t>
      </w:r>
      <w:r>
        <w:rPr>
          <w:rFonts w:ascii="Arial" w:cs="Arial" w:eastAsia="Arial" w:hAnsi="Arial"/>
          <w:sz w:val="18"/>
          <w:szCs w:val="18"/>
          <w:color w:val="auto"/>
        </w:rPr>
        <w:t>) (the “Company”) confirms its agreement with BofA Securities, Inc. (“BofAS”), and Jefferies LLC (“Jefferies”) and each of the other Underwriters named in Schedule A hereto (collectively, the “Underwriters,” which term shall also include any underwriter substituted as hereinafter provided in Section 10 hereof), for whom BofAS and Jefferies are acting as representatives (in such capacity, the “Representatives”), with respect to (i) the sale by the Company and the purchase by the Underwriters, acting severally and not jointly, of the respective numbers of Common Shares, par value €0.12 per share, of the Company (“Common Shares”) set forth in Schedules A and B hereto and (ii) the grant by the Company to the Underwriters, acting severally and not jointly, of the option described in Section 2(b) hereof to purchase all or any part of [ • ] additional Common Shares. The aforesaid [ • ] Common Shares (the “Initial Securities”) to be purchased by the Underwriters and all or any part of the [ • ] Common Shares subject to the option described in Section 2(b) hereof (the “Option Securities”) are herein called, collectively, the “Securities.”</w:t>
      </w:r>
    </w:p>
    <w:p>
      <w:pPr>
        <w:spacing w:after="0" w:line="1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understands that the Underwriters propose to make a public offering of the Securities as soon as the Representatives deem advisable after this Agreement has been executed and delivered.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has filed with the Securities and Exchange Commission (the “Commission”) a registration statement on Form F-1 (No. 333-[ • ]), including the related preliminary prospectus or prospectuses, covering the registration of the sale of the Securities under the Securities Act of 1933, as amended (the “1933 Act”). Promptly after execution and delivery of this Agreement, the Company will prepare and file a prospectus in accordance with the provisions of Rule 430A (“Rule 430A”) of the rules and regulations of the Commission under the 1933 Act (the “1933 Act Regulations”) and Rule 424(b) (“Rule 424(b)”) of the 1933 Act Regulations. The information included in such prospectus that was omitted from such registration statement at the time it became effective but that is deemed to be part of such registration statement at the time it became effective pursuant to Rule 430A(b) is herein called the “Rule 430A Information.” Such registration statement, including the amendments thereto, the exhibits thereto and any schedules thereto, at the time it became effective, and including the Rule 430A Information, is herein called the “Registration Statement.” Any registration statement filed pursuant to Rule 462(b) of the 1933 Act Regulations is herein called the “Rule 462(b) Registration Statement” and, after such filing, the term “Registration Statement” shall include the Rule 462(b) Registration Statement. Each prospectus used prior to the effectiveness of the Registration Statement, and each prospectus that omitted the Rule 430A Information that was used after such effectiveness and prior to the execution and delivery of this Agreement, is herein called a “preliminary prospectus.” The final prospectus, in the form first furnished to the Underwriters for use in connection with the offering of the Securities, is herein called the “Prospectus.”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or any successor system (“EDGAR”).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7132320"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7" w:name="page388"/>
    <w:bookmarkEnd w:id="387"/>
    <w:p>
      <w:pPr>
        <w:spacing w:after="0"/>
        <w:rPr>
          <w:sz w:val="20"/>
          <w:szCs w:val="20"/>
          <w:color w:val="auto"/>
        </w:rPr>
      </w:pPr>
      <w:r>
        <w:rPr>
          <w:rFonts w:ascii="Arial" w:cs="Arial" w:eastAsia="Arial" w:hAnsi="Arial"/>
          <w:sz w:val="18"/>
          <w:szCs w:val="18"/>
          <w:color w:val="auto"/>
        </w:rPr>
        <w:t>As used in this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“Applicable Time” means [ • ] P.M., New York City time, on January [ • ], 2021 or such other time as agreed by the Company and the Representatives.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“General Disclosure Package” means any Issuer General Use Free Writing Prospectuses issued at or prior to the Applicable Time, the most recent preliminary prospectus that is distributed to investors prior to the Applicable Time and the information included on Schedule B-1 hereto, all considered together.</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“Issuer Free Writing Prospectus” means any “issuer free writing prospectus,” as defined in Rule 433 of the 1933 Act Regulations (“Rule 433”), including without limitation any “free writing prospectus” (as defined in Rule 405 of the 1933 Act Regulations (“Rule 405”)) relating to the Securities that is (i) required to be filed with the Commission by the Company, (ii) a “road show that is a written communication” within the meaning of Rule 433(d)(8)(i), whether or not required to be filed with the Commission, or (iii) exempt from filing with the Commission pursuant to Rule 433(d)(5)(i) because it contains a description of the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“Issuer General Use Free Writing Prospectus” means any Issuer Free Writing Prospectus that is intended for general distribution to prospective investors (other than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electronic road show,” as defined in Rule 433 (the “Bona Fide Electronic Road Show”)), as evidenced by its being specified in Schedule B-2 hereto.</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“Issuer Limited Use Free Writing Prospectus” means any Issuer Free Writing Prospectus that is not an Issuer General Use Free Writing Prospectus.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“Testing-the-Waters Communication” means any oral or written communication with potential investors undertaken in reliance on Section 5(d) of the 1933 Act.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“Written Testing-the-Waters Communication” means any Testing-the-Waters Communication that is a written communication within the meaning of Rule 405 under the 1933 Act.</w:t>
      </w:r>
    </w:p>
    <w:p>
      <w:pPr>
        <w:spacing w:after="0" w:line="38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88" w:name="page389"/>
    <w:bookmarkEnd w:id="388"/>
    <w:p>
      <w:pPr>
        <w:ind w:left="640"/>
        <w:spacing w:after="0"/>
        <w:tabs>
          <w:tab w:leader="none" w:pos="182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w:t>
      </w:r>
    </w:p>
    <w:p>
      <w:pPr>
        <w:spacing w:after="0" w:line="225" w:lineRule="exact"/>
        <w:rPr>
          <w:sz w:val="20"/>
          <w:szCs w:val="20"/>
          <w:color w:val="auto"/>
        </w:rPr>
      </w:pPr>
    </w:p>
    <w:p>
      <w:pPr>
        <w:ind w:left="-20" w:right="20" w:firstLine="656"/>
        <w:spacing w:after="0" w:line="342" w:lineRule="auto"/>
        <w:tabs>
          <w:tab w:leader="none" w:pos="1390" w:val="left"/>
        </w:tabs>
        <w:numPr>
          <w:ilvl w:val="0"/>
          <w:numId w:val="239"/>
        </w:numPr>
        <w:rPr>
          <w:rFonts w:ascii="Arial" w:cs="Arial" w:eastAsia="Arial" w:hAnsi="Arial"/>
          <w:sz w:val="16"/>
          <w:szCs w:val="16"/>
          <w:color w:val="auto"/>
        </w:rPr>
      </w:pPr>
      <w:r>
        <w:rPr>
          <w:rFonts w:ascii="Arial" w:cs="Arial" w:eastAsia="Arial" w:hAnsi="Arial"/>
          <w:sz w:val="16"/>
          <w:szCs w:val="16"/>
          <w:i w:val="1"/>
          <w:iCs w:val="1"/>
          <w:color w:val="auto"/>
        </w:rPr>
        <w:t>Representations and Warranties by the Company</w:t>
      </w:r>
      <w:r>
        <w:rPr>
          <w:rFonts w:ascii="Arial" w:cs="Arial" w:eastAsia="Arial" w:hAnsi="Arial"/>
          <w:sz w:val="16"/>
          <w:szCs w:val="16"/>
          <w:color w:val="auto"/>
        </w:rPr>
        <w:t>. The Company represents and warrants to each Underwriter as of the date hereof, the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Time, the Closing Time (as defined below) and any Date of Delivery (as defined below), and agrees with each Underwriter, as follows:</w:t>
      </w:r>
    </w:p>
    <w:p>
      <w:pPr>
        <w:spacing w:after="0" w:line="123" w:lineRule="exact"/>
        <w:rPr>
          <w:rFonts w:ascii="Arial" w:cs="Arial" w:eastAsia="Arial" w:hAnsi="Arial"/>
          <w:sz w:val="16"/>
          <w:szCs w:val="16"/>
          <w:color w:val="auto"/>
        </w:rPr>
      </w:pPr>
    </w:p>
    <w:p>
      <w:pPr>
        <w:jc w:val="both"/>
        <w:ind w:left="640" w:firstLine="644"/>
        <w:spacing w:after="0" w:line="275" w:lineRule="auto"/>
        <w:tabs>
          <w:tab w:leader="none" w:pos="1503" w:val="left"/>
        </w:tabs>
        <w:numPr>
          <w:ilvl w:val="1"/>
          <w:numId w:val="239"/>
        </w:numPr>
        <w:rPr>
          <w:rFonts w:ascii="Arial" w:cs="Arial" w:eastAsia="Arial" w:hAnsi="Arial"/>
          <w:sz w:val="17"/>
          <w:szCs w:val="17"/>
          <w:color w:val="auto"/>
        </w:rPr>
      </w:pPr>
      <w:r>
        <w:rPr>
          <w:rFonts w:ascii="Arial" w:cs="Arial" w:eastAsia="Arial" w:hAnsi="Arial"/>
          <w:sz w:val="17"/>
          <w:szCs w:val="17"/>
          <w:u w:val="single" w:color="auto"/>
          <w:color w:val="auto"/>
        </w:rPr>
        <w:t>Registration Statement and Prospectuses</w:t>
      </w:r>
      <w:r>
        <w:rPr>
          <w:rFonts w:ascii="Arial" w:cs="Arial" w:eastAsia="Arial" w:hAnsi="Arial"/>
          <w:sz w:val="17"/>
          <w:szCs w:val="17"/>
          <w:color w:val="auto"/>
        </w:rPr>
        <w:t>. Each of the Registration Statement and any amendment thereto has become effective under the 1933 Act.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contemplated. The Company has complied with each request (if any) from the Commission for additional information.</w:t>
      </w:r>
    </w:p>
    <w:p>
      <w:pPr>
        <w:spacing w:after="0" w:line="176" w:lineRule="exact"/>
        <w:rPr>
          <w:sz w:val="20"/>
          <w:szCs w:val="20"/>
          <w:color w:val="auto"/>
        </w:rPr>
      </w:pPr>
    </w:p>
    <w:p>
      <w:pPr>
        <w:jc w:val="both"/>
        <w:ind w:left="640" w:firstLine="648"/>
        <w:spacing w:after="0" w:line="255" w:lineRule="auto"/>
        <w:rPr>
          <w:sz w:val="20"/>
          <w:szCs w:val="20"/>
          <w:color w:val="auto"/>
        </w:rPr>
      </w:pPr>
      <w:r>
        <w:rPr>
          <w:rFonts w:ascii="Arial" w:cs="Arial" w:eastAsia="Arial" w:hAnsi="Arial"/>
          <w:sz w:val="18"/>
          <w:szCs w:val="18"/>
          <w:color w:val="auto"/>
        </w:rPr>
        <w:t>Each of the Registration Statement and any post-effective amendment thereto, at the time it became effective, complied in all material respects with the requirements of the 1933 Act and the 1933 Act Regulations. Each preliminary prospectus, the Prospectus and any amendment or supplement thereto, at the time each was filed with the Commission, complied in all material respects with the requirements of the 1933 Act and the 1933 Act Regulations. Each preliminary prospectus delivered to the Underwriters for use in connection with this offering and the Prospectus was or will be identical to the electronically transmitted copies thereof filed with the Commission pursuant to EDGAR, except to the extent permitted by Regulation S-T.</w:t>
      </w:r>
    </w:p>
    <w:p>
      <w:pPr>
        <w:spacing w:after="0" w:line="192" w:lineRule="exact"/>
        <w:rPr>
          <w:sz w:val="20"/>
          <w:szCs w:val="20"/>
          <w:color w:val="auto"/>
        </w:rPr>
      </w:pPr>
    </w:p>
    <w:p>
      <w:pPr>
        <w:jc w:val="both"/>
        <w:ind w:left="640" w:firstLine="644"/>
        <w:spacing w:after="0" w:line="288" w:lineRule="auto"/>
        <w:tabs>
          <w:tab w:leader="none" w:pos="1553" w:val="left"/>
        </w:tabs>
        <w:numPr>
          <w:ilvl w:val="0"/>
          <w:numId w:val="240"/>
        </w:numPr>
        <w:rPr>
          <w:rFonts w:ascii="Arial" w:cs="Arial" w:eastAsia="Arial" w:hAnsi="Arial"/>
          <w:sz w:val="16"/>
          <w:szCs w:val="16"/>
          <w:color w:val="auto"/>
        </w:rPr>
      </w:pPr>
      <w:r>
        <w:rPr>
          <w:rFonts w:ascii="Arial" w:cs="Arial" w:eastAsia="Arial" w:hAnsi="Arial"/>
          <w:sz w:val="16"/>
          <w:szCs w:val="16"/>
          <w:u w:val="single" w:color="auto"/>
          <w:color w:val="auto"/>
        </w:rPr>
        <w:t>Accurate Disclosure</w:t>
      </w:r>
      <w:r>
        <w:rPr>
          <w:rFonts w:ascii="Arial" w:cs="Arial" w:eastAsia="Arial" w:hAnsi="Arial"/>
          <w:sz w:val="16"/>
          <w:szCs w:val="16"/>
          <w:color w:val="auto"/>
        </w:rPr>
        <w:t>. Neither the Registration Statement nor any amendment thereto, at its effective time, at the Closing Time or at any Date of Delivery, contained, contains or will contain an untrue statement of a material fact or omitted, omits or will omit to state a material fact required to be stated therein or necessary to make the statements therein not misleading. At the Applicable Time, none of (A) the General Disclosure Package, (B) any individual Issuer Limited Use Free Writing Prospectus, when considered together with the General Disclosure Package and (C) any individual Written Testing-the-Waters Communication,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as of its issue date, at the time of any filing with the Commission pursuant to Rule 424(b), at the Closing Time or at any Date of Delivery,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168" w:lineRule="exact"/>
        <w:rPr>
          <w:sz w:val="20"/>
          <w:szCs w:val="20"/>
          <w:color w:val="auto"/>
        </w:rPr>
      </w:pPr>
    </w:p>
    <w:p>
      <w:pPr>
        <w:jc w:val="both"/>
        <w:ind w:left="640" w:firstLine="648"/>
        <w:spacing w:after="0" w:line="271" w:lineRule="auto"/>
        <w:rPr>
          <w:sz w:val="20"/>
          <w:szCs w:val="20"/>
          <w:color w:val="auto"/>
        </w:rPr>
      </w:pPr>
      <w:r>
        <w:rPr>
          <w:rFonts w:ascii="Arial" w:cs="Arial" w:eastAsia="Arial" w:hAnsi="Arial"/>
          <w:sz w:val="17"/>
          <w:szCs w:val="17"/>
          <w:color w:val="auto"/>
        </w:rPr>
        <w:t>The representations and warranties in this subsection shall not apply to statements in or omissions from the Registration Statement (or any amendment thereto), the General Disclosure Package or the Prospectus (or any amendment or supplement thereto) made in reliance upon and in conformity with written information furnished to the Company by any Underwriter through the Representatives expressly for use therein. For purposes of this Agreement, the only information so furnished shall be the information in the first paragraph under the heading “Underwriting— Commissions and Discounts,” the information in the fourth paragraph under the heading “Underwriting—Nasdaq Global Select Market Listing,” the information in the second, third and fourth paragraphs under the heading “Underwriting—Price Stabilization, Short Positions and Penalty Bids” and the information under the heading “Underwriting—Electronic Offer, Sale and Distribution of Shares” in each case contained in the Prospectus (collectively, the “Underwriter Information”).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389" w:name="page390"/>
    <w:bookmarkEnd w:id="389"/>
    <w:p>
      <w:pPr>
        <w:jc w:val="both"/>
        <w:ind w:left="-460" w:firstLine="644"/>
        <w:spacing w:after="0" w:line="263" w:lineRule="auto"/>
        <w:tabs>
          <w:tab w:leader="none" w:pos="503"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Issuer Free Writing Prospectuses</w:t>
      </w:r>
      <w:r>
        <w:rPr>
          <w:rFonts w:ascii="Arial" w:cs="Arial" w:eastAsia="Arial" w:hAnsi="Arial"/>
          <w:sz w:val="18"/>
          <w:szCs w:val="18"/>
          <w:color w:val="auto"/>
        </w:rPr>
        <w:t>. No Issuer Free Writing Prospectus conflicts or will conflict with the information contained in the Registration Statement or the Prospectus, and any preliminary or other prospectus deemed to be a part thereof that has not been superseded or modified.</w:t>
      </w:r>
    </w:p>
    <w:p>
      <w:pPr>
        <w:spacing w:after="0" w:line="183" w:lineRule="exact"/>
        <w:rPr>
          <w:rFonts w:ascii="Arial" w:cs="Arial" w:eastAsia="Arial" w:hAnsi="Arial"/>
          <w:sz w:val="18"/>
          <w:szCs w:val="18"/>
          <w:color w:val="auto"/>
        </w:rPr>
      </w:pPr>
    </w:p>
    <w:p>
      <w:pPr>
        <w:jc w:val="both"/>
        <w:ind w:left="-460" w:firstLine="644"/>
        <w:spacing w:after="0" w:line="273" w:lineRule="auto"/>
        <w:tabs>
          <w:tab w:leader="none" w:pos="499" w:val="left"/>
        </w:tabs>
        <w:numPr>
          <w:ilvl w:val="0"/>
          <w:numId w:val="241"/>
        </w:numPr>
        <w:rPr>
          <w:rFonts w:ascii="Arial" w:cs="Arial" w:eastAsia="Arial" w:hAnsi="Arial"/>
          <w:sz w:val="17"/>
          <w:szCs w:val="17"/>
          <w:color w:val="auto"/>
        </w:rPr>
      </w:pPr>
      <w:r>
        <w:rPr>
          <w:rFonts w:ascii="Arial" w:cs="Arial" w:eastAsia="Arial" w:hAnsi="Arial"/>
          <w:sz w:val="17"/>
          <w:szCs w:val="17"/>
          <w:color w:val="auto"/>
        </w:rPr>
        <w:t>Testing-the-Waters Materials. The Company (A) has not engaged in any Testing-the-Waters Communication other than Testing-the-Waters Communications with the consent of the Representatives with entities that are qualified institutional buyers within the meaning of Rule 144A under the 1933 Act or institutions that are accredited investors within the meaning of Rule 501 under the 1933 Act and (B) has not authorized anyone other than the Representatives to engage in Testing-the-Waters Communications. The Company reconfirms that the Representatives have been authorized to act on its behalf in undertaking Testing-the-Waters Communications. The Company has not distributed any Written Testing-the-Waters Communications other than those listed on Schedule D hereto.</w:t>
      </w:r>
    </w:p>
    <w:p>
      <w:pPr>
        <w:spacing w:after="0" w:line="177" w:lineRule="exact"/>
        <w:rPr>
          <w:rFonts w:ascii="Arial" w:cs="Arial" w:eastAsia="Arial" w:hAnsi="Arial"/>
          <w:sz w:val="17"/>
          <w:szCs w:val="17"/>
          <w:color w:val="auto"/>
        </w:rPr>
      </w:pPr>
    </w:p>
    <w:p>
      <w:pPr>
        <w:jc w:val="both"/>
        <w:ind w:left="-460" w:firstLine="644"/>
        <w:spacing w:after="0" w:line="257" w:lineRule="auto"/>
        <w:tabs>
          <w:tab w:leader="none" w:pos="456"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Company Not Ineligible Issuer</w:t>
      </w:r>
      <w:r>
        <w:rPr>
          <w:rFonts w:ascii="Arial" w:cs="Arial" w:eastAsia="Arial" w:hAnsi="Arial"/>
          <w:sz w:val="18"/>
          <w:szCs w:val="18"/>
          <w:color w:val="auto"/>
        </w:rPr>
        <w:t xml:space="preserve">. At the time of filing the Registration Statement and any post-effective amendment thereto, at the earliest time thereafter that the Company or another offering participant made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187" w:lineRule="exact"/>
        <w:rPr>
          <w:rFonts w:ascii="Arial" w:cs="Arial" w:eastAsia="Arial" w:hAnsi="Arial"/>
          <w:sz w:val="18"/>
          <w:szCs w:val="18"/>
          <w:color w:val="auto"/>
        </w:rPr>
      </w:pPr>
    </w:p>
    <w:p>
      <w:pPr>
        <w:jc w:val="both"/>
        <w:ind w:left="-460" w:firstLine="644"/>
        <w:spacing w:after="0" w:line="259" w:lineRule="auto"/>
        <w:tabs>
          <w:tab w:leader="none" w:pos="520"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Emerging Growth Company Status.</w:t>
      </w:r>
      <w:r>
        <w:rPr>
          <w:rFonts w:ascii="Arial" w:cs="Arial" w:eastAsia="Arial" w:hAnsi="Arial"/>
          <w:sz w:val="18"/>
          <w:szCs w:val="18"/>
          <w:color w:val="auto"/>
        </w:rPr>
        <w:t xml:space="preserve"> From the time of the initial confidential submission of the Registration Statement to the Commission (or, if earlier, the first date on which the Company engaged directly or through any Person authorized to act on its behalf in any Testing-the-Waters Communication) through the date hereof, the Company has been and is an “emerging growth company,” as defined in Section 2(a) of the 1933 Act (an “Emerging Growth Company”).</w:t>
      </w:r>
    </w:p>
    <w:p>
      <w:pPr>
        <w:spacing w:after="0" w:line="186" w:lineRule="exact"/>
        <w:rPr>
          <w:rFonts w:ascii="Arial" w:cs="Arial" w:eastAsia="Arial" w:hAnsi="Arial"/>
          <w:sz w:val="18"/>
          <w:szCs w:val="18"/>
          <w:color w:val="auto"/>
        </w:rPr>
      </w:pPr>
    </w:p>
    <w:p>
      <w:pPr>
        <w:jc w:val="both"/>
        <w:ind w:left="-460" w:firstLine="644"/>
        <w:spacing w:after="0" w:line="259" w:lineRule="auto"/>
        <w:tabs>
          <w:tab w:leader="none" w:pos="583"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Independent Accountants</w:t>
      </w:r>
      <w:r>
        <w:rPr>
          <w:rFonts w:ascii="Arial" w:cs="Arial" w:eastAsia="Arial" w:hAnsi="Arial"/>
          <w:sz w:val="18"/>
          <w:szCs w:val="18"/>
          <w:color w:val="auto"/>
        </w:rPr>
        <w:t>. The accountants who certified the financial statements and supporting schedules included in the Registration Statement, the General Disclosure Package and the Prospectus are independent public accountants as required by the 1933 Act, the 1933 Act Regulations, the Securities Exchange Act of 1934, as amended (the “1934 Act”), the Commission’s rules and regulations under the 1934 Act (the “1934 Act Regulations”) and the Public Company Accounting Oversight Board.</w:t>
      </w:r>
    </w:p>
    <w:p>
      <w:pPr>
        <w:spacing w:after="0" w:line="186" w:lineRule="exact"/>
        <w:rPr>
          <w:rFonts w:ascii="Arial" w:cs="Arial" w:eastAsia="Arial" w:hAnsi="Arial"/>
          <w:sz w:val="18"/>
          <w:szCs w:val="18"/>
          <w:color w:val="auto"/>
        </w:rPr>
      </w:pPr>
    </w:p>
    <w:p>
      <w:pPr>
        <w:jc w:val="both"/>
        <w:ind w:left="-460" w:firstLine="644"/>
        <w:spacing w:after="0" w:line="287" w:lineRule="auto"/>
        <w:tabs>
          <w:tab w:leader="none" w:pos="606" w:val="left"/>
        </w:tabs>
        <w:numPr>
          <w:ilvl w:val="0"/>
          <w:numId w:val="241"/>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financial statements included in the Registration Statement, the General Disclosure Package and the Prospectus, together with the related schedules and notes, present fairly, in all material respects, the financial position of each of the Company and its consolidated subsidiaries at the dates indicated and the statement of operations, stockholders’ equity and cash flows of the Company and its consolidated subsidiaries for the periods specified; said financial statements have been prepared in conformity with International Financial Reporting Standards (“IFRS”) as issued by the International Accounting Standards Board applied on a consistent basis throughout the periods involved. The supporting schedules, if any, present fairly in accordance with IFRS the information required to be stated therein in all material respects. The selected financial data and the summary financial information included in the Registration Statement, the General Disclosure Package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or incorporated by reference in the Registration Statement, the General Disclosure Package or the Prospectus under the 1933 Act, the 1933 Act Regulations, the 1934 Act or the 1934 Act Regulations.</w:t>
      </w:r>
    </w:p>
    <w:p>
      <w:pPr>
        <w:spacing w:after="0" w:line="38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90" w:name="page391"/>
    <w:bookmarkEnd w:id="390"/>
    <w:p>
      <w:pPr>
        <w:jc w:val="both"/>
        <w:ind w:left="-460" w:firstLine="644"/>
        <w:spacing w:after="0" w:line="291" w:lineRule="auto"/>
        <w:tabs>
          <w:tab w:leader="none" w:pos="493" w:val="left"/>
        </w:tabs>
        <w:numPr>
          <w:ilvl w:val="0"/>
          <w:numId w:val="242"/>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 in Business</w:t>
      </w:r>
      <w:r>
        <w:rPr>
          <w:rFonts w:ascii="Arial" w:cs="Arial" w:eastAsia="Arial" w:hAnsi="Arial"/>
          <w:sz w:val="16"/>
          <w:szCs w:val="16"/>
          <w:color w:val="auto"/>
        </w:rPr>
        <w:t>. Except as otherwise stated therein, since the respective dates as of which information is given in the Registration Statement, the General Disclosure Package or the Prospectus, (A) there has been no material adverse change in the condition, financial or otherwise, or in the earnings, business affairs or business prospects of the Company and its subsidiaries considered as one enterprise, whether or not arising in the ordinary course of business (a “Material Adverse Effect”), (B) there have been no transactions entered into by the Company or any of its subsidiaries, other than those in the ordinary course of business, which are material with respect to the Company and its subsidiaries considered as one enterprise, and (C) except for regular dividends on the Common Shares in amounts per share that are consistent with past practice, there has been no dividend or distribution of any kind declared, paid or made by the Company on any class of its capital stock.</w:t>
      </w:r>
    </w:p>
    <w:p>
      <w:pPr>
        <w:spacing w:after="0" w:line="166" w:lineRule="exact"/>
        <w:rPr>
          <w:rFonts w:ascii="Arial" w:cs="Arial" w:eastAsia="Arial" w:hAnsi="Arial"/>
          <w:sz w:val="16"/>
          <w:szCs w:val="16"/>
          <w:color w:val="auto"/>
        </w:rPr>
      </w:pPr>
    </w:p>
    <w:p>
      <w:pPr>
        <w:jc w:val="both"/>
        <w:ind w:left="-460" w:firstLine="644"/>
        <w:spacing w:after="0" w:line="254" w:lineRule="auto"/>
        <w:tabs>
          <w:tab w:leader="none" w:pos="470"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Good Standing of the Company</w:t>
      </w:r>
      <w:r>
        <w:rPr>
          <w:rFonts w:ascii="Arial" w:cs="Arial" w:eastAsia="Arial" w:hAnsi="Arial"/>
          <w:sz w:val="18"/>
          <w:szCs w:val="18"/>
          <w:color w:val="auto"/>
        </w:rPr>
        <w:t>. The Company has been duly incorporated or otherwise organized and is validly existing as a corporation in good standing (where such concept exists) under the laws of the jurisdiction of its organization and has corporate power and authority to own, lease and operate its properties and to conduct its business as described in the Registration Statement, the General Disclosure Package and the Prospectus and to enter into and perform its obligations under this Agreement;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to so qualify or to be in good standing would not result in a Material Adverse Effect.</w:t>
      </w:r>
    </w:p>
    <w:p>
      <w:pPr>
        <w:spacing w:after="0" w:line="194" w:lineRule="exact"/>
        <w:rPr>
          <w:rFonts w:ascii="Arial" w:cs="Arial" w:eastAsia="Arial" w:hAnsi="Arial"/>
          <w:sz w:val="18"/>
          <w:szCs w:val="18"/>
          <w:color w:val="auto"/>
        </w:rPr>
      </w:pPr>
    </w:p>
    <w:p>
      <w:pPr>
        <w:jc w:val="both"/>
        <w:ind w:left="-460" w:firstLine="644"/>
        <w:spacing w:after="0" w:line="268" w:lineRule="auto"/>
        <w:tabs>
          <w:tab w:leader="none" w:pos="493" w:val="left"/>
        </w:tabs>
        <w:numPr>
          <w:ilvl w:val="0"/>
          <w:numId w:val="242"/>
        </w:numPr>
        <w:rPr>
          <w:rFonts w:ascii="Arial" w:cs="Arial" w:eastAsia="Arial" w:hAnsi="Arial"/>
          <w:sz w:val="17"/>
          <w:szCs w:val="17"/>
          <w:color w:val="auto"/>
        </w:rPr>
      </w:pPr>
      <w:r>
        <w:rPr>
          <w:rFonts w:ascii="Arial" w:cs="Arial" w:eastAsia="Arial" w:hAnsi="Arial"/>
          <w:sz w:val="17"/>
          <w:szCs w:val="17"/>
          <w:u w:val="single" w:color="auto"/>
          <w:color w:val="auto"/>
        </w:rPr>
        <w:t>Good Standing of Subsidiaries</w:t>
      </w:r>
      <w:r>
        <w:rPr>
          <w:rFonts w:ascii="Arial" w:cs="Arial" w:eastAsia="Arial" w:hAnsi="Arial"/>
          <w:sz w:val="17"/>
          <w:szCs w:val="17"/>
          <w:color w:val="auto"/>
        </w:rPr>
        <w:t>. Each of the Company’s subsidiaries (each, a “Subsidiary” and, collectively, the “Subsidiaries”) has been duly incorporated or otherwise organized and is validly existing in good standing (where such concept exists) under the laws of the jurisdiction of its incorporation or organization, has corporate or similar power and authority to own, lease and operate its properties and to conduct its business as described in the Registration Statement, the General Disclosure Package and the Prospectus and is duly qualified to transact business and is in good standing in each jurisdiction in which such qualification is required, whether by reason of the ownership or leasing of property or the conduct of business, except where the failure to so qualify, to have such power or authority or to be in good standing would not result in a Material Adverse Effect. Except as otherwise disclosed in the Registration Statement, the General Disclosure Package and the Prospectus, all of the issued and outstanding capital stock of each Subsidiary has been duly authorized and validly issued, is fully paid and non-assessable and is owned by the Company, directly or through subsidiaries, free and clear of any security interest, mortgage, pledge, lien, encumbrance, claim or equity. None of the outstanding shares of capital stock of any Subsidiary were issued in violation of the preemptive or similar rights of any security holder of such Subsidiary. The only Subsidiaries of the Company are (A) the Subsidiaries listed on Exhibit 21.1 to the Registration Statement and (B) certain other Subsidiaries which, considered in the aggregate as a single Subsidiary, do not constitute a “significant subsidiary” as defined in Rule 1-02 of Regulation S-X.</w:t>
      </w:r>
    </w:p>
    <w:p>
      <w:pPr>
        <w:spacing w:after="0" w:line="186" w:lineRule="exact"/>
        <w:rPr>
          <w:rFonts w:ascii="Arial" w:cs="Arial" w:eastAsia="Arial" w:hAnsi="Arial"/>
          <w:sz w:val="17"/>
          <w:szCs w:val="17"/>
          <w:color w:val="auto"/>
        </w:rPr>
      </w:pPr>
    </w:p>
    <w:p>
      <w:pPr>
        <w:jc w:val="both"/>
        <w:ind w:left="-460" w:firstLine="644"/>
        <w:spacing w:after="0" w:line="288" w:lineRule="auto"/>
        <w:tabs>
          <w:tab w:leader="none" w:pos="556" w:val="left"/>
        </w:tabs>
        <w:numPr>
          <w:ilvl w:val="0"/>
          <w:numId w:val="242"/>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authorized, issued and outstanding shares of capital stock of the Company is as set forth in the Registration Statement, the General Disclosure Package and the Prospectus in the column entitled “Actual” under the caption “Capitalization” (except for subsequent issuances, if any, pursuant to this Agreement, pursuant to reservations, agreements or employee benefit plans referred to in the Registration Statement, the General Disclosure Package and the Prospectus or pursuant to the exercise of convertible securities or options referred to in the Registration Statement, the General Disclosure Package and the Prospectus). There are no authorized or outstanding phantom equity, rights to receive shares, options, conversion rights, warrants, preemptive rights, rights of first refusal or other rights to purchase, or equity or debt securities convertible into or exchangeable or exercisable for or that can be settled in, any share capital of the Company or any of its subsidiaries other than those described in the Registration Statement, the General Disclosure Package and the Prospectus. The issued shares of capital stock of the Company have been duly authorized and validly issued and are fully paid and non-assessable. None of the issued shares of capital stock of the Company were issued in violation of the preemptive or other similar rights of any security holder of the Company.</w:t>
      </w:r>
    </w:p>
    <w:p>
      <w:pPr>
        <w:spacing w:after="0" w:line="38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91" w:name="page392"/>
    <w:bookmarkEnd w:id="391"/>
    <w:p>
      <w:pPr>
        <w:ind w:left="580" w:hanging="396"/>
        <w:spacing w:after="0"/>
        <w:tabs>
          <w:tab w:leader="none" w:pos="580"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Authorization of Agreement</w:t>
      </w:r>
      <w:r>
        <w:rPr>
          <w:rFonts w:ascii="Arial" w:cs="Arial" w:eastAsia="Arial" w:hAnsi="Arial"/>
          <w:sz w:val="18"/>
          <w:szCs w:val="18"/>
          <w:color w:val="auto"/>
        </w:rPr>
        <w:t>. This Agreement has been duly authorized, executed and delivered by the Company.</w:t>
      </w:r>
    </w:p>
    <w:p>
      <w:pPr>
        <w:spacing w:after="0" w:line="225" w:lineRule="exact"/>
        <w:rPr>
          <w:rFonts w:ascii="Arial" w:cs="Arial" w:eastAsia="Arial" w:hAnsi="Arial"/>
          <w:sz w:val="18"/>
          <w:szCs w:val="18"/>
          <w:color w:val="auto"/>
        </w:rPr>
      </w:pPr>
    </w:p>
    <w:p>
      <w:pPr>
        <w:jc w:val="both"/>
        <w:ind w:left="-460" w:firstLine="644"/>
        <w:spacing w:after="0" w:line="291" w:lineRule="auto"/>
        <w:tabs>
          <w:tab w:leader="none" w:pos="583" w:val="left"/>
        </w:tabs>
        <w:numPr>
          <w:ilvl w:val="0"/>
          <w:numId w:val="243"/>
        </w:numPr>
        <w:rPr>
          <w:rFonts w:ascii="Arial" w:cs="Arial" w:eastAsia="Arial" w:hAnsi="Arial"/>
          <w:sz w:val="16"/>
          <w:szCs w:val="16"/>
          <w:color w:val="auto"/>
        </w:rPr>
      </w:pPr>
      <w:r>
        <w:rPr>
          <w:rFonts w:ascii="Arial" w:cs="Arial" w:eastAsia="Arial" w:hAnsi="Arial"/>
          <w:sz w:val="16"/>
          <w:szCs w:val="16"/>
          <w:u w:val="single" w:color="auto"/>
          <w:color w:val="auto"/>
        </w:rPr>
        <w:t>Authorization and Description of Securities</w:t>
      </w:r>
      <w:r>
        <w:rPr>
          <w:rFonts w:ascii="Arial" w:cs="Arial" w:eastAsia="Arial" w:hAnsi="Arial"/>
          <w:sz w:val="16"/>
          <w:szCs w:val="16"/>
          <w:color w:val="auto"/>
        </w:rPr>
        <w:t>. The Securities to be purchased by the Underwriters from the Company have been duly authorized for issuance and sale to the Underwriters pursuant to this Agreement and, when issued and delivered by the Company pursuant to this Agreement against payment of the consideration set forth herein, will be validly issued and fully paid and non-assessable; and the issuance of the Securities is not subject to the preemptive or other similar rights of any security holder of the Company, except as have been duly and validly waived. The Securities conform in all material respects to all statements relating thereto contained in the Registration Statement, the General Disclosure Package and the Prospectus and such description conforms in all material respects to the rights set forth in the instruments defining the same. No holder of Securities will be subject to personal liability by reason of being such a holder.</w:t>
      </w:r>
    </w:p>
    <w:p>
      <w:pPr>
        <w:spacing w:after="0" w:line="166" w:lineRule="exact"/>
        <w:rPr>
          <w:rFonts w:ascii="Arial" w:cs="Arial" w:eastAsia="Arial" w:hAnsi="Arial"/>
          <w:sz w:val="16"/>
          <w:szCs w:val="16"/>
          <w:color w:val="auto"/>
        </w:rPr>
      </w:pPr>
    </w:p>
    <w:p>
      <w:pPr>
        <w:jc w:val="both"/>
        <w:ind w:left="-460" w:firstLine="644"/>
        <w:spacing w:after="0" w:line="259" w:lineRule="auto"/>
        <w:tabs>
          <w:tab w:leader="none" w:pos="546"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There are no persons with registration rights or other similar rights to have any securities registered for sale pursuant to the Registration Statement or otherwise registered for sale or sold by the Company under the 1933 Act pursuant to this Agreement, other than those rights that have been disclosed in the Registration Statement, the General Disclosure Package and the Prospectus or that have been waived.</w:t>
      </w:r>
    </w:p>
    <w:p>
      <w:pPr>
        <w:spacing w:after="0" w:line="186" w:lineRule="exact"/>
        <w:rPr>
          <w:rFonts w:ascii="Arial" w:cs="Arial" w:eastAsia="Arial" w:hAnsi="Arial"/>
          <w:sz w:val="18"/>
          <w:szCs w:val="18"/>
          <w:color w:val="auto"/>
        </w:rPr>
      </w:pPr>
    </w:p>
    <w:p>
      <w:pPr>
        <w:jc w:val="both"/>
        <w:ind w:left="-460" w:firstLine="644"/>
        <w:spacing w:after="0" w:line="267" w:lineRule="auto"/>
        <w:tabs>
          <w:tab w:leader="none" w:pos="583" w:val="left"/>
        </w:tabs>
        <w:numPr>
          <w:ilvl w:val="0"/>
          <w:numId w:val="243"/>
        </w:numPr>
        <w:rPr>
          <w:rFonts w:ascii="Arial" w:cs="Arial" w:eastAsia="Arial" w:hAnsi="Arial"/>
          <w:sz w:val="17"/>
          <w:szCs w:val="17"/>
          <w:color w:val="auto"/>
        </w:rPr>
      </w:pPr>
      <w:r>
        <w:rPr>
          <w:rFonts w:ascii="Arial" w:cs="Arial" w:eastAsia="Arial" w:hAnsi="Arial"/>
          <w:sz w:val="17"/>
          <w:szCs w:val="17"/>
          <w:u w:val="single" w:color="auto"/>
          <w:color w:val="auto"/>
        </w:rPr>
        <w:t>Absence of Violations, Defaults and Conflicts</w:t>
      </w:r>
      <w:r>
        <w:rPr>
          <w:rFonts w:ascii="Arial" w:cs="Arial" w:eastAsia="Arial" w:hAnsi="Arial"/>
          <w:sz w:val="17"/>
          <w:szCs w:val="17"/>
          <w:color w:val="auto"/>
        </w:rPr>
        <w:t>. Neither the Company nor any of its subsidiaries is (A) in violation of its articles of association or similar organizational document, (B) in default in the performance or observance of any obligation, agreement, covenant or condition contained in any contract, indenture, mortgage, deed of trust, loan or credit agreement, note, lease or other agreement or instrument to which the Company or any of its subsidiaries is a party or by which it or any of them may be bound or to which any of the properties or assets of the Company or any subsidiary is subject (collectively, “Agreements and Instruments”), except for such defaults that would not, singly or in the aggregate, result in a Material Adverse Effect, or (C) in violation of any law, statute, rule, regulation, judgment, order, writ or decree of any arbitrator, court, governmental body, regulatory body, administrative agency or other authority, body or agency having jurisdiction over the Company or any of its subsidiaries or any of their respective properties, assets or operations (each, a “Governmental Entity”), except for such violations that would not, singly or in the aggregate, result in a Material Adverse Effect. The execution, delivery and performance of this Agreement and the consummation of the transactions contemplated herein and in the Registration Statement, the General Disclosure Package and the Prospectus (including the issuance and sale of the Securities and the use of the proceeds from the sale of the Securities as described therein under the caption “Use of Proceeds”) and compliance by the Company with its obligations 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any subsidiary pursuant to, the Agreements and Instruments (except for such conflicts, breaches, defaults or Repayment Events or liens, charges or encumbrances that would not, singly or in the aggregate, result in a Material Adverse Effect), nor will such action result in any violation of (i) the provisions of the articles of association or similar organizational document of the Company or any of its subsidiaries or (ii) any law, statute, rule, regulation, judgment, order, writ or decree of any Governmental Entity, except in the case of clause (ii) for any violation that would not, singly or in the aggregate, result in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40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92" w:name="page393"/>
    <w:bookmarkEnd w:id="392"/>
    <w:p>
      <w:pPr>
        <w:jc w:val="both"/>
        <w:ind w:left="-460" w:firstLine="644"/>
        <w:spacing w:after="0" w:line="259" w:lineRule="auto"/>
        <w:tabs>
          <w:tab w:leader="none" w:pos="646"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Absence of Labor Dispute</w:t>
      </w:r>
      <w:r>
        <w:rPr>
          <w:rFonts w:ascii="Arial" w:cs="Arial" w:eastAsia="Arial" w:hAnsi="Arial"/>
          <w:sz w:val="18"/>
          <w:szCs w:val="18"/>
          <w:color w:val="auto"/>
        </w:rPr>
        <w:t>. Other than that which would not result in a Material Adverse Effect, (i) no labor dispute with the employees of the Company or any of its subsidiaries exists or, to the knowledge of the Company, is imminent, and (ii) the Company is not aware of any existing or imminent labor dispute with the employees of any of its or any subsidiary’s principal suppliers, manufacturers, customers or contractors.</w:t>
      </w:r>
    </w:p>
    <w:p>
      <w:pPr>
        <w:spacing w:after="0" w:line="186" w:lineRule="exact"/>
        <w:rPr>
          <w:rFonts w:ascii="Arial" w:cs="Arial" w:eastAsia="Arial" w:hAnsi="Arial"/>
          <w:sz w:val="18"/>
          <w:szCs w:val="18"/>
          <w:color w:val="auto"/>
        </w:rPr>
      </w:pPr>
    </w:p>
    <w:p>
      <w:pPr>
        <w:jc w:val="both"/>
        <w:ind w:left="-460" w:firstLine="644"/>
        <w:spacing w:after="0" w:line="253" w:lineRule="auto"/>
        <w:tabs>
          <w:tab w:leader="none" w:pos="683"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Absence of Proceedings</w:t>
      </w:r>
      <w:r>
        <w:rPr>
          <w:rFonts w:ascii="Arial" w:cs="Arial" w:eastAsia="Arial" w:hAnsi="Arial"/>
          <w:sz w:val="18"/>
          <w:szCs w:val="18"/>
          <w:color w:val="auto"/>
        </w:rPr>
        <w:t>. Except as disclosed in the Registration Statement, the General Disclosure Package and the Prospectus, to the knowledge of the Company, there is no action, suit, proceeding, inquiry or investigation before or brought by any Governmental Entity now pending or, to the knowledge of the Company, threatened, against the Company or any of its subsidiaries, which would reasonably be expected to result in a Material Adverse Effect, or which would reasonably be expected to materially and adversely affect their respective properties or assets or the consummation of the transactions contemplated in this Agreement or the performance by the Company of its obligations hereunder; and the aggregate of all pending legal or governmental proceedings to which the Company or any such subsidiary is a party or of which any of their respective properties or assets is the subject which are not described in the Registration Statement, the General Disclosure Package and the Prospectus, including ordinary routine litigation incidental to the business, would not reasonably be expected to result in a Material Adverse Effect.</w:t>
      </w:r>
    </w:p>
    <w:p>
      <w:pPr>
        <w:spacing w:after="0" w:line="196" w:lineRule="exact"/>
        <w:rPr>
          <w:rFonts w:ascii="Arial" w:cs="Arial" w:eastAsia="Arial" w:hAnsi="Arial"/>
          <w:sz w:val="18"/>
          <w:szCs w:val="18"/>
          <w:color w:val="auto"/>
        </w:rPr>
      </w:pPr>
    </w:p>
    <w:p>
      <w:pPr>
        <w:jc w:val="both"/>
        <w:ind w:left="-460" w:right="20" w:firstLine="644"/>
        <w:spacing w:after="0" w:line="263" w:lineRule="auto"/>
        <w:tabs>
          <w:tab w:leader="none" w:pos="596"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Accuracy of Exhibits</w:t>
      </w:r>
      <w:r>
        <w:rPr>
          <w:rFonts w:ascii="Arial" w:cs="Arial" w:eastAsia="Arial" w:hAnsi="Arial"/>
          <w:sz w:val="18"/>
          <w:szCs w:val="18"/>
          <w:color w:val="auto"/>
        </w:rPr>
        <w:t>. There are no contracts or documents which are required to be described in the Registration Statement, the General Disclosure Package or the Prospectus or to be filed as exhibits to the Registration Statement which have not been so described and filed as required.</w:t>
      </w:r>
    </w:p>
    <w:p>
      <w:pPr>
        <w:spacing w:after="0" w:line="183" w:lineRule="exact"/>
        <w:rPr>
          <w:rFonts w:ascii="Arial" w:cs="Arial" w:eastAsia="Arial" w:hAnsi="Arial"/>
          <w:sz w:val="18"/>
          <w:szCs w:val="18"/>
          <w:color w:val="auto"/>
        </w:rPr>
      </w:pPr>
    </w:p>
    <w:p>
      <w:pPr>
        <w:jc w:val="both"/>
        <w:ind w:left="-460" w:firstLine="644"/>
        <w:spacing w:after="0" w:line="275" w:lineRule="auto"/>
        <w:tabs>
          <w:tab w:leader="none" w:pos="546" w:val="left"/>
        </w:tabs>
        <w:numPr>
          <w:ilvl w:val="0"/>
          <w:numId w:val="244"/>
        </w:numPr>
        <w:rPr>
          <w:rFonts w:ascii="Arial" w:cs="Arial" w:eastAsia="Arial" w:hAnsi="Arial"/>
          <w:sz w:val="17"/>
          <w:szCs w:val="17"/>
          <w:color w:val="auto"/>
        </w:rPr>
      </w:pPr>
      <w:r>
        <w:rPr>
          <w:rFonts w:ascii="Arial" w:cs="Arial" w:eastAsia="Arial" w:hAnsi="Arial"/>
          <w:sz w:val="17"/>
          <w:szCs w:val="17"/>
          <w:u w:val="single" w:color="auto"/>
          <w:color w:val="auto"/>
        </w:rPr>
        <w:t>Absence of Further Requirements</w:t>
      </w:r>
      <w:r>
        <w:rPr>
          <w:rFonts w:ascii="Arial" w:cs="Arial" w:eastAsia="Arial" w:hAnsi="Arial"/>
          <w:sz w:val="17"/>
          <w:szCs w:val="17"/>
          <w:color w:val="auto"/>
        </w:rPr>
        <w:t>. No filing with, or authorization, approval, consent, license, order, registration, qualification or decree of, any Governmental Entity is necessary or required for the performance by the Company of its obligations hereunder, in connection with the offering, issuance or sale of the Securities hereunder or the consummation of the transactions contemplated by this Agreement, except such as have been already obtained or as may be required under the 1933 Act, the 1933 Act Regulations, the rules of The Nasdaq Global Select Market, state securities laws or the rules of Financial Industry Regulatory Authority, Inc. (“FINRA”).</w:t>
      </w:r>
    </w:p>
    <w:p>
      <w:pPr>
        <w:spacing w:after="0" w:line="176" w:lineRule="exact"/>
        <w:rPr>
          <w:rFonts w:ascii="Arial" w:cs="Arial" w:eastAsia="Arial" w:hAnsi="Arial"/>
          <w:sz w:val="17"/>
          <w:szCs w:val="17"/>
          <w:color w:val="auto"/>
        </w:rPr>
      </w:pPr>
    </w:p>
    <w:p>
      <w:pPr>
        <w:jc w:val="both"/>
        <w:ind w:left="-460" w:firstLine="644"/>
        <w:spacing w:after="0" w:line="270" w:lineRule="auto"/>
        <w:tabs>
          <w:tab w:leader="none" w:pos="583" w:val="left"/>
        </w:tabs>
        <w:numPr>
          <w:ilvl w:val="0"/>
          <w:numId w:val="244"/>
        </w:numPr>
        <w:rPr>
          <w:rFonts w:ascii="Arial" w:cs="Arial" w:eastAsia="Arial" w:hAnsi="Arial"/>
          <w:sz w:val="17"/>
          <w:szCs w:val="17"/>
          <w:color w:val="auto"/>
        </w:rPr>
      </w:pPr>
      <w:r>
        <w:rPr>
          <w:rFonts w:ascii="Arial" w:cs="Arial" w:eastAsia="Arial" w:hAnsi="Arial"/>
          <w:sz w:val="17"/>
          <w:szCs w:val="17"/>
          <w:u w:val="single" w:color="auto"/>
          <w:color w:val="auto"/>
        </w:rPr>
        <w:t>Possession of Licenses and Permits</w:t>
      </w:r>
      <w:r>
        <w:rPr>
          <w:rFonts w:ascii="Arial" w:cs="Arial" w:eastAsia="Arial" w:hAnsi="Arial"/>
          <w:sz w:val="17"/>
          <w:szCs w:val="17"/>
          <w:color w:val="auto"/>
        </w:rPr>
        <w:t>. The Company and its subsidiaries possess such permits, licenses, approvals, consents and other authorizations (collectively, “Governmental Licenses”) issued by the appropriate Governmental Entities necessary to conduct the business now operated by them, except where the failure so to possess would not, singly or in the aggregate, result in a Material Adverse Effect. The Company and its subsidiaries are in compliance with the terms and conditions of all Governmental Licenses, except where the failure so to comply would not, singly or in the aggregate, result in a Material Adverse Effect. All of the Governmental Licenses are valid and in full force and effect, except when the invalidity of such Governmental Licenses or the failure of such Governmental Licenses to be in full force and effect would not, singly or in the aggregate, result in a Material Adverse Effect. Neither the Company nor any of its subsidiaries has received any notice of proceedings relating to the revocation or modification of any Governmental Licenses which, singly or in the aggregate, if the subject of an unfavorable decision, ruling or finding, would result in a Material Adverse Effect.</w:t>
      </w:r>
    </w:p>
    <w:p>
      <w:pPr>
        <w:spacing w:after="0" w:line="39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93" w:name="page394"/>
    <w:bookmarkEnd w:id="393"/>
    <w:p>
      <w:pPr>
        <w:jc w:val="both"/>
        <w:ind w:left="4" w:firstLine="644"/>
        <w:spacing w:after="0" w:line="287" w:lineRule="auto"/>
        <w:tabs>
          <w:tab w:leader="none" w:pos="1097" w:val="left"/>
        </w:tabs>
        <w:numPr>
          <w:ilvl w:val="1"/>
          <w:numId w:val="245"/>
        </w:numPr>
        <w:rPr>
          <w:rFonts w:ascii="Arial" w:cs="Arial" w:eastAsia="Arial" w:hAnsi="Arial"/>
          <w:sz w:val="16"/>
          <w:szCs w:val="16"/>
          <w:color w:val="auto"/>
        </w:rPr>
      </w:pPr>
      <w:r>
        <w:rPr>
          <w:rFonts w:ascii="Arial" w:cs="Arial" w:eastAsia="Arial" w:hAnsi="Arial"/>
          <w:sz w:val="16"/>
          <w:szCs w:val="16"/>
          <w:u w:val="single" w:color="auto"/>
          <w:color w:val="auto"/>
        </w:rPr>
        <w:t>Title to Property</w:t>
      </w:r>
      <w:r>
        <w:rPr>
          <w:rFonts w:ascii="Arial" w:cs="Arial" w:eastAsia="Arial" w:hAnsi="Arial"/>
          <w:sz w:val="16"/>
          <w:szCs w:val="16"/>
          <w:color w:val="auto"/>
        </w:rPr>
        <w:t>. The Company and its subsidiaries have good and marketable title to all real property owned by them and good title to all other properties owned by them, in each case, free and clear of all mortgages, pledges, liens, security interests, claims, restrictions or encumbrances of any kind except such as (A) are described in the Registration Statement, the General Disclosure Package and the Prospectus or</w:t>
      </w:r>
    </w:p>
    <w:p>
      <w:pPr>
        <w:spacing w:after="0" w:line="2" w:lineRule="exact"/>
        <w:rPr>
          <w:rFonts w:ascii="Arial" w:cs="Arial" w:eastAsia="Arial" w:hAnsi="Arial"/>
          <w:sz w:val="16"/>
          <w:szCs w:val="16"/>
          <w:color w:val="auto"/>
        </w:rPr>
      </w:pPr>
    </w:p>
    <w:p>
      <w:pPr>
        <w:jc w:val="both"/>
        <w:ind w:left="4" w:hanging="4"/>
        <w:spacing w:after="0" w:line="269" w:lineRule="auto"/>
        <w:tabs>
          <w:tab w:leader="none" w:pos="291" w:val="left"/>
        </w:tabs>
        <w:numPr>
          <w:ilvl w:val="0"/>
          <w:numId w:val="246"/>
        </w:numPr>
        <w:rPr>
          <w:rFonts w:ascii="Arial" w:cs="Arial" w:eastAsia="Arial" w:hAnsi="Arial"/>
          <w:sz w:val="17"/>
          <w:szCs w:val="17"/>
          <w:color w:val="auto"/>
        </w:rPr>
      </w:pPr>
      <w:r>
        <w:rPr>
          <w:rFonts w:ascii="Arial" w:cs="Arial" w:eastAsia="Arial" w:hAnsi="Arial"/>
          <w:sz w:val="17"/>
          <w:szCs w:val="17"/>
          <w:color w:val="auto"/>
        </w:rPr>
        <w:t>do not, singly or in the aggregate, materially affect the value of such property and do not interfere with the use made and proposed to be made of such property by the Company or any of its subsidiaries; and all of the leases and subleases material to the business of the Company and its subsidiaries, considered as one enterprise, and under which the Company or any of its subsidiaries holds properties described in the Registration Statement, the General Disclosure Package or the Prospectus, are in full force and effect, and neither the Company nor any such subsidiary has any notice of any material claim of any sort that has been asserted by anyone (A) adverse to the rights of the Company or any subsidiary under any of the leases or subleases mentioned above, or (B) affecting or questioning the rights of the Company or such subsidiary to the continued possession of the leased or subleased premises under any such lease or sublease.</w:t>
      </w:r>
    </w:p>
    <w:p>
      <w:pPr>
        <w:spacing w:after="0" w:line="180" w:lineRule="exact"/>
        <w:rPr>
          <w:rFonts w:ascii="Arial" w:cs="Arial" w:eastAsia="Arial" w:hAnsi="Arial"/>
          <w:sz w:val="17"/>
          <w:szCs w:val="17"/>
          <w:color w:val="auto"/>
        </w:rPr>
      </w:pPr>
    </w:p>
    <w:p>
      <w:pPr>
        <w:jc w:val="both"/>
        <w:ind w:left="4" w:firstLine="644"/>
        <w:spacing w:after="0" w:line="284" w:lineRule="auto"/>
        <w:tabs>
          <w:tab w:leader="none" w:pos="1160" w:val="left"/>
        </w:tabs>
        <w:numPr>
          <w:ilvl w:val="1"/>
          <w:numId w:val="246"/>
        </w:numPr>
        <w:rPr>
          <w:rFonts w:ascii="Arial" w:cs="Arial" w:eastAsia="Arial" w:hAnsi="Arial"/>
          <w:sz w:val="16"/>
          <w:szCs w:val="16"/>
          <w:color w:val="auto"/>
        </w:rPr>
      </w:pPr>
      <w:r>
        <w:rPr>
          <w:rFonts w:ascii="Arial" w:cs="Arial" w:eastAsia="Arial" w:hAnsi="Arial"/>
          <w:sz w:val="16"/>
          <w:szCs w:val="16"/>
          <w:u w:val="single" w:color="auto"/>
          <w:color w:val="auto"/>
        </w:rPr>
        <w:t>Possession of Intellectual Property</w:t>
      </w:r>
      <w:r>
        <w:rPr>
          <w:rFonts w:ascii="Arial" w:cs="Arial" w:eastAsia="Arial" w:hAnsi="Arial"/>
          <w:sz w:val="16"/>
          <w:szCs w:val="16"/>
          <w:color w:val="auto"/>
        </w:rPr>
        <w:t>. Except as described in the Registration Statement, the General Disclosure Package and the Prospectus or where it would not, singly or in the aggregate, result in a Material Adverse Effect, (A) the Company and its subsidiaries own, possess or have the right to use, or can acquire the right to use on reasonable terms, all patents, licenses, inventions, copyrights, know-how (including trade secrets and other unpatented and/or unpatentable proprietary or confidential information, systems or procedures), trademarks, service marks, trade names or other intellectual property (collectively, “Intellectual Property”) necessary to carry on the business now operated by them and as currently proposed to be conducted as described in the Registration Statement, the General Disclosure Package or the Prospectus,</w:t>
      </w:r>
    </w:p>
    <w:p>
      <w:pPr>
        <w:spacing w:after="0" w:line="4" w:lineRule="exact"/>
        <w:rPr>
          <w:rFonts w:ascii="Arial" w:cs="Arial" w:eastAsia="Arial" w:hAnsi="Arial"/>
          <w:sz w:val="16"/>
          <w:szCs w:val="16"/>
          <w:color w:val="auto"/>
        </w:rPr>
      </w:pPr>
    </w:p>
    <w:p>
      <w:pPr>
        <w:jc w:val="both"/>
        <w:ind w:left="4" w:hanging="4"/>
        <w:spacing w:after="0" w:line="281" w:lineRule="auto"/>
        <w:tabs>
          <w:tab w:leader="none" w:pos="322" w:val="left"/>
        </w:tabs>
        <w:numPr>
          <w:ilvl w:val="0"/>
          <w:numId w:val="247"/>
        </w:numPr>
        <w:rPr>
          <w:rFonts w:ascii="Arial" w:cs="Arial" w:eastAsia="Arial" w:hAnsi="Arial"/>
          <w:sz w:val="16"/>
          <w:szCs w:val="16"/>
          <w:color w:val="auto"/>
        </w:rPr>
      </w:pPr>
      <w:r>
        <w:rPr>
          <w:rFonts w:ascii="Arial" w:cs="Arial" w:eastAsia="Arial" w:hAnsi="Arial"/>
          <w:sz w:val="16"/>
          <w:szCs w:val="16"/>
          <w:color w:val="auto"/>
        </w:rPr>
        <w:t>to the knowledge of the Company, all Intellectual Property owned by or exclusively licensed to the Company or its subsidiaries (such Intellectual Property, the “Company Intellectual Property”) has been duly and properly filed and maintained, is free and clear of liens or security interests, and is in full force and effect, valid, subsisting and enforceable, (C) there is no pending or, to the knowledge of the Company, threatened action, suit, proceeding or claim by any third party challenging the validity, ownership, registrability, enforceability or scope of any Company Intellectual Property and the Company is unaware of any facts which would form a reasonable basis for any such claim, (D) no third party, to the knowledge of the Company, is infringing, misappropriating or otherwise violating any Company Intellectual Property and there is no pending or threatened action, suit, proceeding or claim by the Company or any of its subsidiaries against a third party regarding the foregoing, (E) (1) neither the Company nor any of its subsidiaries has received any written notice of nor, to the knowledge of the Company, has engaged in, any infringement, misappropriation or other violation of any Intellectual Property of any third party, (2) there is no pending or, to the knowledge of the Company, threatened action, suit, proceeding or claim regarding the subject matter of the foregoing, and (3) the Company and its subsidiaries are unaware of any facts which would form a reasonable basis for any such claim, (F) to the knowledge of the Company, the parties prosecuting patent applications within the Company Intellectual Property have complied with their duty of candor and disclosure to the USPTO or foreign patent offices, as applicable, in connection with such applications and the Company is not aware of any facts required to be disclosed to the USPTO or foreign patent offices that were not disclosed and which would preclude the grant of a patent in connection with any such patent application or could form the basis of a finding of invalidity or unenforceability with respect to any patents that have issued with respect to such patent applications, (G) each person who is or was an employee or contractor of the Company or any of its subsidiaries and who is or was involved in the creation or development of any Company Intellectual Property for or on behalf of the Company has executed a valid agreement containing an assignment or exclusive license to the Company or any of its subsidiaries of such person’s rights in and to such Company Intellectual Property,</w:t>
      </w:r>
    </w:p>
    <w:p>
      <w:pPr>
        <w:spacing w:after="0" w:line="10" w:lineRule="exact"/>
        <w:rPr>
          <w:rFonts w:ascii="Arial" w:cs="Arial" w:eastAsia="Arial" w:hAnsi="Arial"/>
          <w:sz w:val="16"/>
          <w:szCs w:val="16"/>
          <w:color w:val="auto"/>
        </w:rPr>
      </w:pPr>
    </w:p>
    <w:p>
      <w:pPr>
        <w:jc w:val="both"/>
        <w:ind w:left="4" w:hanging="4"/>
        <w:spacing w:after="0" w:line="253" w:lineRule="auto"/>
        <w:tabs>
          <w:tab w:leader="none" w:pos="305"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Company has taken reasonable steps in accordance with standard industry practice to maintain and protect the confidentiality of the trade secrets and other confidential Intellectual Property used in connection with the business of the Company and its subsidiaries and, to the knowledge of the Company, such confidential Intellectual Property has not been compromised or disclosed to or accessed by any third party except pursuant to nondisclosure and confidentiality agreements.</w:t>
      </w:r>
    </w:p>
    <w:p>
      <w:pPr>
        <w:spacing w:after="0" w:line="200" w:lineRule="exact"/>
        <w:rPr>
          <w:sz w:val="20"/>
          <w:szCs w:val="20"/>
          <w:color w:val="auto"/>
        </w:rPr>
      </w:pPr>
    </w:p>
    <w:p>
      <w:pPr>
        <w:spacing w:after="0" w:line="209"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394" w:name="page395"/>
    <w:bookmarkEnd w:id="394"/>
    <w:p>
      <w:pPr>
        <w:jc w:val="both"/>
        <w:ind w:left="-460" w:firstLine="644"/>
        <w:spacing w:after="0" w:line="286" w:lineRule="auto"/>
        <w:tabs>
          <w:tab w:leader="none" w:pos="686" w:val="left"/>
        </w:tabs>
        <w:numPr>
          <w:ilvl w:val="0"/>
          <w:numId w:val="249"/>
        </w:numPr>
        <w:rPr>
          <w:rFonts w:ascii="Arial" w:cs="Arial" w:eastAsia="Arial" w:hAnsi="Arial"/>
          <w:sz w:val="16"/>
          <w:szCs w:val="16"/>
          <w:color w:val="auto"/>
        </w:rPr>
      </w:pPr>
      <w:r>
        <w:rPr>
          <w:rFonts w:ascii="Arial" w:cs="Arial" w:eastAsia="Arial" w:hAnsi="Arial"/>
          <w:sz w:val="16"/>
          <w:szCs w:val="16"/>
          <w:u w:val="single" w:color="auto"/>
          <w:color w:val="auto"/>
        </w:rPr>
        <w:t>Environmental Laws</w:t>
      </w:r>
      <w:r>
        <w:rPr>
          <w:rFonts w:ascii="Arial" w:cs="Arial" w:eastAsia="Arial" w:hAnsi="Arial"/>
          <w:sz w:val="16"/>
          <w:szCs w:val="16"/>
          <w:color w:val="auto"/>
        </w:rPr>
        <w:t>. Except as described in the Registration Statement, the General Disclosure Package and the Prospectus or where it would not, singly or in the aggregate, result in a Material Adverse Effect, (A) neither the Company nor any of its subsidiaries is in violation of any federal, state, local or foreign statute, law, rule, regulation, ordinance, code, legally binding policy or rule of common law or any judicial or administrative interpretation thereof, including any judicial or administrative order, consent, decree or judgment, relating to pollution or protection of worker health and safety,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but excluding the Company’s or any of its subsidiaries’ products (collectively, “Hazardous Materials”) or to the manufacture, processing, distribution, use, treatment, storage, disposal, transport or handling of Hazardous Materials (collectively, “Environmental Laws”), (B) the Company and its subsidiaries have all permits, authorizations and approvals required under any applicable Environmental Laws and are each in compliance with their requirements, (C) there are no pending or threatened administrative, regulatory or judicial actions, suits, demands, demand letters, claims, liens, notices of noncompliance or violation, investigations or proceedings relating to any Environmental Law against the Company or any of its subsidiaries and (D) to the Company’s knowledge, there are no events or circumstances that would reasonably be expected to form the basis of an order for clean-up or remediation, or an action, suit or proceeding by any private party or Governmental Entity, against the Company or any of its subsidiaries relating to Hazardous Materials or any Environmental Laws.</w:t>
      </w:r>
    </w:p>
    <w:p>
      <w:pPr>
        <w:spacing w:after="0" w:line="167" w:lineRule="exact"/>
        <w:rPr>
          <w:rFonts w:ascii="Arial" w:cs="Arial" w:eastAsia="Arial" w:hAnsi="Arial"/>
          <w:sz w:val="16"/>
          <w:szCs w:val="16"/>
          <w:color w:val="auto"/>
        </w:rPr>
      </w:pPr>
    </w:p>
    <w:p>
      <w:pPr>
        <w:jc w:val="both"/>
        <w:ind w:left="-460" w:firstLine="644"/>
        <w:spacing w:after="0" w:line="286" w:lineRule="auto"/>
        <w:tabs>
          <w:tab w:leader="none" w:pos="623" w:val="left"/>
        </w:tabs>
        <w:numPr>
          <w:ilvl w:val="0"/>
          <w:numId w:val="249"/>
        </w:numPr>
        <w:rPr>
          <w:rFonts w:ascii="Arial" w:cs="Arial" w:eastAsia="Arial" w:hAnsi="Arial"/>
          <w:sz w:val="16"/>
          <w:szCs w:val="16"/>
          <w:color w:val="auto"/>
        </w:rPr>
      </w:pPr>
      <w:r>
        <w:rPr>
          <w:rFonts w:ascii="Arial" w:cs="Arial" w:eastAsia="Arial" w:hAnsi="Arial"/>
          <w:sz w:val="16"/>
          <w:szCs w:val="16"/>
          <w:u w:val="single" w:color="auto"/>
          <w:color w:val="auto"/>
        </w:rPr>
        <w:t>Accounting Controls and Disclosure Controls.</w:t>
      </w:r>
      <w:r>
        <w:rPr>
          <w:rFonts w:ascii="Arial" w:cs="Arial" w:eastAsia="Arial" w:hAnsi="Arial"/>
          <w:sz w:val="16"/>
          <w:szCs w:val="16"/>
          <w:color w:val="auto"/>
        </w:rPr>
        <w:t xml:space="preserve"> Except as described in the Registration Statement, the General Disclosure Package and the Prospectus, the Company and each of its subsidiaries maintain a system of internal control over financial reporting (as defined under Rule 13-a15 and 15d-15 under the 1934 Act Regulations) and a system of internal accounting controls designed to provide reasonable assurances that (A) transactions are executed in accordance with management’s general or specific authorization; (B) transactions are recorded as necessary to permit preparation of financial statements in conformity with IFRS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Registration Statement, the General Disclosure Package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and adversely affected, or is reasonably likely to materially and adversely affect, the Company’s internal control over financial reporting. The Company and each of its subsidiaries maintain an effective system of disclosure controls and procedures (as defined in Rule 13a-15 and Rule 15d-15 under the 1934 Act Regulations) that are designed to ensure that information required to be disclosed by the Company in the reports that it files or submits under the 1934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w:t>
      </w:r>
    </w:p>
    <w:p>
      <w:pPr>
        <w:spacing w:after="0" w:line="38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jc w:val="both"/>
        <w:ind w:left="-460" w:firstLine="644"/>
        <w:spacing w:after="0" w:line="259" w:lineRule="auto"/>
        <w:tabs>
          <w:tab w:leader="none" w:pos="673"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Compliance with the Sarbanes-Oxley Act.</w:t>
      </w:r>
      <w:r>
        <w:rPr>
          <w:rFonts w:ascii="Arial" w:cs="Arial" w:eastAsia="Arial" w:hAnsi="Arial"/>
          <w:sz w:val="18"/>
          <w:szCs w:val="18"/>
          <w:color w:val="auto"/>
        </w:rPr>
        <w:t xml:space="preserve"> There is and has been no failure on the part of the Company or any of the Company’s directors or officers, in their capacities as such, to comply in all material respects with any provision of the Sarbanes-Oxley Act of 2002 and the rules and regulations promulgated in connection therewith (the “Sarbanes-Oxley Act”), including Section 402 related to loans and Section 302 and 906 related to certifications.</w:t>
      </w:r>
    </w:p>
    <w:p>
      <w:pPr>
        <w:spacing w:after="0" w:line="186" w:lineRule="exact"/>
        <w:rPr>
          <w:rFonts w:ascii="Arial" w:cs="Arial" w:eastAsia="Arial" w:hAnsi="Arial"/>
          <w:sz w:val="18"/>
          <w:szCs w:val="18"/>
          <w:color w:val="auto"/>
        </w:rPr>
      </w:pPr>
    </w:p>
    <w:p>
      <w:pPr>
        <w:jc w:val="both"/>
        <w:ind w:left="-460" w:firstLine="644"/>
        <w:spacing w:after="0" w:line="287" w:lineRule="auto"/>
        <w:tabs>
          <w:tab w:leader="none" w:pos="723" w:val="left"/>
        </w:tabs>
        <w:numPr>
          <w:ilvl w:val="0"/>
          <w:numId w:val="250"/>
        </w:numPr>
        <w:rPr>
          <w:rFonts w:ascii="Arial" w:cs="Arial" w:eastAsia="Arial" w:hAnsi="Arial"/>
          <w:sz w:val="16"/>
          <w:szCs w:val="16"/>
          <w:color w:val="auto"/>
        </w:rPr>
      </w:pPr>
      <w:r>
        <w:rPr>
          <w:rFonts w:ascii="Arial" w:cs="Arial" w:eastAsia="Arial" w:hAnsi="Arial"/>
          <w:sz w:val="16"/>
          <w:szCs w:val="16"/>
          <w:u w:val="single" w:color="auto"/>
          <w:color w:val="auto"/>
        </w:rPr>
        <w:t>Payment of Taxes</w:t>
      </w:r>
      <w:r>
        <w:rPr>
          <w:rFonts w:ascii="Arial" w:cs="Arial" w:eastAsia="Arial" w:hAnsi="Arial"/>
          <w:sz w:val="16"/>
          <w:szCs w:val="16"/>
          <w:color w:val="auto"/>
        </w:rPr>
        <w:t>. All United States federal income tax returns of the Company and its subsidiaries required by law to be filed have been filed and all taxes shown by such returns or otherwise assessed, which are due and payable, have been paid, except assessments against which appeals have been or will be promptly taken and as to which adequate reserves have been provided in accordance with GAAP. The United States federal income tax returns of the Company through the fiscal year ended December 31, 2019 have been settled and no assessment in connection therewith has been made against the Company. The Company and its subsidiaries have filed all other tax returns that are required to have been filed by them pursuant to applicable foreign, state, local or other law except insofar as the failure to file such returns would not result in a Material Adverse Effect, and has paid all material taxes due pursuant to such returns or pursuant to any assessment received by the Company and its subsidiaries, except for such taxes, if any, as are being contested in good faith and as to which adequate reserves have been established by the Company in accordance with IFRS.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result in a Material Adverse Effect.</w:t>
      </w:r>
    </w:p>
    <w:p>
      <w:pPr>
        <w:spacing w:after="0" w:line="171" w:lineRule="exact"/>
        <w:rPr>
          <w:rFonts w:ascii="Arial" w:cs="Arial" w:eastAsia="Arial" w:hAnsi="Arial"/>
          <w:sz w:val="16"/>
          <w:szCs w:val="16"/>
          <w:color w:val="auto"/>
        </w:rPr>
      </w:pPr>
    </w:p>
    <w:p>
      <w:pPr>
        <w:jc w:val="both"/>
        <w:ind w:left="-460" w:firstLine="644"/>
        <w:spacing w:after="0" w:line="275" w:lineRule="auto"/>
        <w:tabs>
          <w:tab w:leader="none" w:pos="786" w:val="left"/>
        </w:tabs>
        <w:numPr>
          <w:ilvl w:val="0"/>
          <w:numId w:val="250"/>
        </w:numPr>
        <w:rPr>
          <w:rFonts w:ascii="Arial" w:cs="Arial" w:eastAsia="Arial" w:hAnsi="Arial"/>
          <w:sz w:val="17"/>
          <w:szCs w:val="17"/>
          <w:color w:val="auto"/>
        </w:rPr>
      </w:pPr>
      <w:r>
        <w:rPr>
          <w:rFonts w:ascii="Arial" w:cs="Arial" w:eastAsia="Arial" w:hAnsi="Arial"/>
          <w:sz w:val="17"/>
          <w:szCs w:val="17"/>
          <w:u w:val="single" w:color="auto"/>
          <w:color w:val="auto"/>
        </w:rPr>
        <w:t>Transfer Taxes</w:t>
      </w:r>
      <w:r>
        <w:rPr>
          <w:rFonts w:ascii="Arial" w:cs="Arial" w:eastAsia="Arial" w:hAnsi="Arial"/>
          <w:sz w:val="17"/>
          <w:szCs w:val="17"/>
          <w:color w:val="auto"/>
        </w:rPr>
        <w:t>. No stamp duty, stamp duty reserve, registration, issuance, transfer taxes or other similar documentary taxes, duties, fees or charges (“Transfer Taxes”) are payable or required to be paid by or on behalf of the Underwriters in the Netherlands or any political subdivision, authority or agency thereof or therein having power to tax in connection with (i) the execution, delivery and performance of this Agreement, (ii) the issuance and delivery of the Securities in the manner contemplated by this Agreement and the Prospectus, or (iii) the sale and delivery by the Underwriters of the Securities as contemplated herein and in the Prospectus.</w:t>
      </w:r>
    </w:p>
    <w:p>
      <w:pPr>
        <w:spacing w:after="0" w:line="176" w:lineRule="exact"/>
        <w:rPr>
          <w:rFonts w:ascii="Arial" w:cs="Arial" w:eastAsia="Arial" w:hAnsi="Arial"/>
          <w:sz w:val="17"/>
          <w:szCs w:val="17"/>
          <w:color w:val="auto"/>
        </w:rPr>
      </w:pPr>
    </w:p>
    <w:p>
      <w:pPr>
        <w:jc w:val="both"/>
        <w:ind w:left="-460" w:firstLine="644"/>
        <w:spacing w:after="0" w:line="259" w:lineRule="auto"/>
        <w:tabs>
          <w:tab w:leader="none" w:pos="673"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PFIC Status</w:t>
      </w:r>
      <w:r>
        <w:rPr>
          <w:rFonts w:ascii="Arial" w:cs="Arial" w:eastAsia="Arial" w:hAnsi="Arial"/>
          <w:sz w:val="18"/>
          <w:szCs w:val="18"/>
          <w:color w:val="auto"/>
        </w:rPr>
        <w:t>. Based on the current and anticipated value of its assets and the nature and composition of its income and assets, and subject to the qualifications set forth in the Registration Statement, the General Disclosure Package and the Prospectus, the Company does not believe it was a “passive foreign investment company” within the meaning of Section 1297 of the Code for the taxable year ending December 31, 2019.</w:t>
      </w:r>
    </w:p>
    <w:p>
      <w:pPr>
        <w:spacing w:after="0" w:line="186" w:lineRule="exact"/>
        <w:rPr>
          <w:rFonts w:ascii="Arial" w:cs="Arial" w:eastAsia="Arial" w:hAnsi="Arial"/>
          <w:sz w:val="18"/>
          <w:szCs w:val="18"/>
          <w:color w:val="auto"/>
        </w:rPr>
      </w:pPr>
    </w:p>
    <w:p>
      <w:pPr>
        <w:jc w:val="both"/>
        <w:ind w:left="-460" w:firstLine="644"/>
        <w:spacing w:after="0" w:line="291" w:lineRule="auto"/>
        <w:tabs>
          <w:tab w:leader="none" w:pos="636" w:val="left"/>
        </w:tabs>
        <w:numPr>
          <w:ilvl w:val="0"/>
          <w:numId w:val="250"/>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Company and its subsidiaries carry or are entitled to the benefits of insurance, with reputable insurers, in such amounts and covering such risks as is generally maintained by companies of established repute and of comparable size engaged in the same or similar business, and all such insurance considered to be material for operating the Company’s and its subsidiaries’ businesses is in full force and effect. The Company has no reason to believe that it or any of its subsidiaries will not be able (A) to renew its existing insurance coverage as and when such policies expire or (B) to obtain comparable coverage from similar institutions as may be necessary or appropriate to conduct its business as now conducted and at a cost that, in each case, would not reasonably be expected to result in a Material Adverse Effect. Neither of the Company nor any of its subsidiaries has been denied any material insurance coverage which it has sought or for which it has applied.</w:t>
      </w:r>
    </w:p>
    <w:p>
      <w:pPr>
        <w:sectPr>
          <w:pgSz w:w="11900" w:h="16838" w:orient="portrait"/>
          <w:cols w:equalWidth="0" w:num="1">
            <w:col w:w="10120"/>
          </w:cols>
          <w:pgMar w:left="1440" w:top="908" w:right="339" w:bottom="74" w:gutter="0" w:footer="0" w:header="0"/>
        </w:sectPr>
      </w:pPr>
    </w:p>
    <w:bookmarkStart w:id="395" w:name="page396"/>
    <w:bookmarkEnd w:id="395"/>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96" w:name="page397"/>
    <w:bookmarkEnd w:id="396"/>
    <w:p>
      <w:pPr>
        <w:jc w:val="both"/>
        <w:ind w:left="-460" w:firstLine="644"/>
        <w:spacing w:after="0" w:line="311" w:lineRule="auto"/>
        <w:tabs>
          <w:tab w:leader="none" w:pos="673" w:val="left"/>
        </w:tabs>
        <w:numPr>
          <w:ilvl w:val="0"/>
          <w:numId w:val="251"/>
        </w:numPr>
        <w:rPr>
          <w:rFonts w:ascii="Arial" w:cs="Arial" w:eastAsia="Arial" w:hAnsi="Arial"/>
          <w:sz w:val="16"/>
          <w:szCs w:val="16"/>
          <w:color w:val="auto"/>
        </w:rPr>
      </w:pPr>
      <w:r>
        <w:rPr>
          <w:rFonts w:ascii="Arial" w:cs="Arial" w:eastAsia="Arial" w:hAnsi="Arial"/>
          <w:sz w:val="16"/>
          <w:szCs w:val="16"/>
          <w:u w:val="single" w:color="auto"/>
          <w:color w:val="auto"/>
        </w:rPr>
        <w:t>Investment Company Act</w:t>
      </w:r>
      <w:r>
        <w:rPr>
          <w:rFonts w:ascii="Arial" w:cs="Arial" w:eastAsia="Arial" w:hAnsi="Arial"/>
          <w:sz w:val="16"/>
          <w:szCs w:val="16"/>
          <w:color w:val="auto"/>
        </w:rPr>
        <w:t>. The Company is not required, and upon the issuance and sale of the Securities as herein contemplated and the application of the net proceeds therefrom as described in the Registration Statement, the General Disclosure Package and the Prospectus will not be required, to register as an “investment company” under the Investment Company Act of 1940, as amended (the “1940 Act”).</w:t>
      </w:r>
    </w:p>
    <w:p>
      <w:pPr>
        <w:spacing w:after="0" w:line="148" w:lineRule="exact"/>
        <w:rPr>
          <w:rFonts w:ascii="Arial" w:cs="Arial" w:eastAsia="Arial" w:hAnsi="Arial"/>
          <w:sz w:val="16"/>
          <w:szCs w:val="16"/>
          <w:color w:val="auto"/>
        </w:rPr>
      </w:pPr>
    </w:p>
    <w:p>
      <w:pPr>
        <w:jc w:val="both"/>
        <w:ind w:left="-460" w:firstLine="644"/>
        <w:spacing w:after="0" w:line="259" w:lineRule="auto"/>
        <w:tabs>
          <w:tab w:leader="none" w:pos="736"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Absence of Manipulation</w:t>
      </w:r>
      <w:r>
        <w:rPr>
          <w:rFonts w:ascii="Arial" w:cs="Arial" w:eastAsia="Arial" w:hAnsi="Arial"/>
          <w:sz w:val="18"/>
          <w:szCs w:val="18"/>
          <w:color w:val="auto"/>
        </w:rPr>
        <w:t>. Neither the Company nor, to the Company’s knowledge, any affiliate of the Company has taken, nor will the Company or any affiliate controlled by the Company take, directly or indirectly, any action which is designed, or would reasonably be expected, to cause or result in, or which constitutes, the stabilization or manipulation of the price of any security of the Company to facilitate the sale or resale of the Securities or to result in a violation of Regulation M under the 1934 Act.</w:t>
      </w:r>
    </w:p>
    <w:p>
      <w:pPr>
        <w:spacing w:after="0" w:line="186" w:lineRule="exact"/>
        <w:rPr>
          <w:rFonts w:ascii="Arial" w:cs="Arial" w:eastAsia="Arial" w:hAnsi="Arial"/>
          <w:sz w:val="18"/>
          <w:szCs w:val="18"/>
          <w:color w:val="auto"/>
        </w:rPr>
      </w:pPr>
    </w:p>
    <w:p>
      <w:pPr>
        <w:jc w:val="both"/>
        <w:ind w:left="-460" w:firstLine="644"/>
        <w:spacing w:after="0" w:line="269" w:lineRule="auto"/>
        <w:tabs>
          <w:tab w:leader="none" w:pos="773" w:val="left"/>
        </w:tabs>
        <w:numPr>
          <w:ilvl w:val="0"/>
          <w:numId w:val="251"/>
        </w:numPr>
        <w:rPr>
          <w:rFonts w:ascii="Arial" w:cs="Arial" w:eastAsia="Arial" w:hAnsi="Arial"/>
          <w:sz w:val="17"/>
          <w:szCs w:val="17"/>
          <w:color w:val="auto"/>
        </w:rPr>
      </w:pPr>
      <w:r>
        <w:rPr>
          <w:rFonts w:ascii="Arial" w:cs="Arial" w:eastAsia="Arial" w:hAnsi="Arial"/>
          <w:sz w:val="17"/>
          <w:szCs w:val="17"/>
          <w:u w:val="single" w:color="auto"/>
          <w:color w:val="auto"/>
        </w:rPr>
        <w:t>No Rights of Immunity</w:t>
      </w:r>
      <w:r>
        <w:rPr>
          <w:rFonts w:ascii="Arial" w:cs="Arial" w:eastAsia="Arial" w:hAnsi="Arial"/>
          <w:sz w:val="17"/>
          <w:szCs w:val="17"/>
          <w:color w:val="auto"/>
        </w:rPr>
        <w:t>. Except as provided by laws or statutes generally applicable to transactions of the type described in this Agreement, neither the Company nor any of its respective properties, assets or revenues has any right of immunity under the laws of the Netherlands, New York or United States law, from any legal action, suit or proceeding, from the giving of any relief in any such legal action, suit or proceeding, from set-off or counterclaim, from the jurisdiction of any Dutch, New York or United States federal court, from service of process, attachment upon or prior judgment, or attachment in aid of execution of judgment, or from execution of a judgment, or other legal process or proceeding for the giving of any relief or for the enforcement of a judgment, in any such court, with respect to its obligations, liabilities or any other matter under or arising out of or in connection with this Agreement. To the extent that the Company or any of its respective properties, assets or revenues may have or may hereafter become entitled to any such right of immunity in any such court in which proceedings may at any time be commenced, the Company waives or will waive such right to the extent permitted by law and has consented to such relief and enforcement as provided in Section 18 of this Agreement.</w:t>
      </w:r>
    </w:p>
    <w:p>
      <w:pPr>
        <w:spacing w:after="0" w:line="185" w:lineRule="exact"/>
        <w:rPr>
          <w:rFonts w:ascii="Arial" w:cs="Arial" w:eastAsia="Arial" w:hAnsi="Arial"/>
          <w:sz w:val="17"/>
          <w:szCs w:val="17"/>
          <w:color w:val="auto"/>
        </w:rPr>
      </w:pPr>
    </w:p>
    <w:p>
      <w:pPr>
        <w:jc w:val="both"/>
        <w:ind w:left="-460" w:firstLine="644"/>
        <w:spacing w:after="0" w:line="289" w:lineRule="auto"/>
        <w:tabs>
          <w:tab w:leader="none" w:pos="769" w:val="left"/>
        </w:tabs>
        <w:numPr>
          <w:ilvl w:val="0"/>
          <w:numId w:val="251"/>
        </w:numPr>
        <w:rPr>
          <w:rFonts w:ascii="Arial" w:cs="Arial" w:eastAsia="Arial" w:hAnsi="Arial"/>
          <w:sz w:val="16"/>
          <w:szCs w:val="16"/>
          <w:color w:val="auto"/>
        </w:rPr>
      </w:pPr>
      <w:r>
        <w:rPr>
          <w:rFonts w:ascii="Arial" w:cs="Arial" w:eastAsia="Arial" w:hAnsi="Arial"/>
          <w:sz w:val="16"/>
          <w:szCs w:val="16"/>
          <w:u w:val="single" w:color="auto"/>
          <w:color w:val="auto"/>
        </w:rPr>
        <w:t>Foreign Corrupt Practices Act</w:t>
      </w:r>
      <w:r>
        <w:rPr>
          <w:rFonts w:ascii="Arial" w:cs="Arial" w:eastAsia="Arial" w:hAnsi="Arial"/>
          <w:sz w:val="16"/>
          <w:szCs w:val="16"/>
          <w:color w:val="auto"/>
        </w:rPr>
        <w:t>. None of the Company, any of its subsidiaries or, to the knowledge of the Company, any director, officer, agent, employee, affiliate or other person acting on behalf of the Company or any of its subsidiaries is aware of or has taken any action, directly or indirectly, that would result in a violation by such persons of the Foreign Corrupt Practices Act of 1977, as amended, and the rules and regulations thereunder (the “FCPA”),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and, to the knowledge of the Company, its affiliates have conducted their businesses in compliance with the FCPA and have instituted and maintain policies and procedures designed to ensure, and which are reasonably expected to continue to ensure, continued compliance therewith.</w:t>
      </w:r>
    </w:p>
    <w:p>
      <w:pPr>
        <w:spacing w:after="0" w:line="38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97" w:name="page398"/>
    <w:bookmarkEnd w:id="397"/>
    <w:p>
      <w:pPr>
        <w:jc w:val="both"/>
        <w:ind w:left="-460" w:firstLine="644"/>
        <w:spacing w:after="0" w:line="255" w:lineRule="auto"/>
        <w:tabs>
          <w:tab w:leader="none" w:pos="740"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Money Laundering Laws</w:t>
      </w:r>
      <w:r>
        <w:rPr>
          <w:rFonts w:ascii="Arial" w:cs="Arial" w:eastAsia="Arial" w:hAnsi="Arial"/>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Entity (collectively, the “Money Laundering Laws”); and no action, suit or proceeding by or before any Governmental Entity involving the Company or any of its subsidiaries with respect to the Money Laundering Laws is pending or, to the knowledge of the Company, threatened.</w:t>
      </w:r>
    </w:p>
    <w:p>
      <w:pPr>
        <w:spacing w:after="0" w:line="192" w:lineRule="exact"/>
        <w:rPr>
          <w:rFonts w:ascii="Arial" w:cs="Arial" w:eastAsia="Arial" w:hAnsi="Arial"/>
          <w:sz w:val="18"/>
          <w:szCs w:val="18"/>
          <w:color w:val="auto"/>
        </w:rPr>
      </w:pPr>
    </w:p>
    <w:p>
      <w:pPr>
        <w:jc w:val="both"/>
        <w:ind w:left="-460" w:firstLine="644"/>
        <w:spacing w:after="0" w:line="269" w:lineRule="auto"/>
        <w:tabs>
          <w:tab w:leader="none" w:pos="763" w:val="left"/>
        </w:tabs>
        <w:numPr>
          <w:ilvl w:val="0"/>
          <w:numId w:val="252"/>
        </w:numPr>
        <w:rPr>
          <w:rFonts w:ascii="Arial" w:cs="Arial" w:eastAsia="Arial" w:hAnsi="Arial"/>
          <w:sz w:val="17"/>
          <w:szCs w:val="17"/>
          <w:color w:val="auto"/>
        </w:rPr>
      </w:pPr>
      <w:r>
        <w:rPr>
          <w:rFonts w:ascii="Arial" w:cs="Arial" w:eastAsia="Arial" w:hAnsi="Arial"/>
          <w:sz w:val="17"/>
          <w:szCs w:val="17"/>
          <w:u w:val="single" w:color="auto"/>
          <w:color w:val="auto"/>
        </w:rPr>
        <w:t>OFAC</w:t>
      </w:r>
      <w:r>
        <w:rPr>
          <w:rFonts w:ascii="Arial" w:cs="Arial" w:eastAsia="Arial" w:hAnsi="Arial"/>
          <w:sz w:val="17"/>
          <w:szCs w:val="17"/>
          <w:color w:val="auto"/>
        </w:rPr>
        <w:t>. None of the Company, any of its subsidiaries or, to the knowledge of the Company, any director, officer, agent, employee, affiliate or representative of the Company or any of its subsidiaries is an individual or entity (“Person”) currently the subject or target of any officially released sanctions administered or enforced by the United States Government, including, without limitation, the U.S. Department of the Treasury’s Office of Foreign Assets Control (“OFAC”), the United Nations Security Council (“UNSC”), the European Union, Her Majesty’s Treasury (“HMT”), the Swiss Secretariat of Economic Affairs, or other relevant sanctions authority (collectively, “Sanctions”), nor is the Company located, organized or resident in a country or territory that is the subject of Sanctions; and the Company will not directly or indirectly use the proceeds of the sale of the Securities, or lend, contribute or otherwise make available such proceeds to any subsidiaries, joint venture partners or other Person, to fund any activities of or business with any Person, or in any country or territory, that, at the time of such funding, is the subject of Sanctions or in any other manner that will result in a violation by any Person (including any Person participating in the transaction, whether as underwriter, advisor, investor or otherwise) of Sanctions.</w:t>
      </w:r>
    </w:p>
    <w:p>
      <w:pPr>
        <w:spacing w:after="0" w:line="185" w:lineRule="exact"/>
        <w:rPr>
          <w:rFonts w:ascii="Arial" w:cs="Arial" w:eastAsia="Arial" w:hAnsi="Arial"/>
          <w:sz w:val="17"/>
          <w:szCs w:val="17"/>
          <w:color w:val="auto"/>
        </w:rPr>
      </w:pPr>
    </w:p>
    <w:p>
      <w:pPr>
        <w:jc w:val="both"/>
        <w:ind w:left="-460" w:firstLine="644"/>
        <w:spacing w:after="0" w:line="311" w:lineRule="auto"/>
        <w:tabs>
          <w:tab w:leader="none" w:pos="813" w:val="left"/>
        </w:tabs>
        <w:numPr>
          <w:ilvl w:val="0"/>
          <w:numId w:val="252"/>
        </w:numPr>
        <w:rPr>
          <w:rFonts w:ascii="Arial" w:cs="Arial" w:eastAsia="Arial" w:hAnsi="Arial"/>
          <w:sz w:val="16"/>
          <w:szCs w:val="16"/>
          <w:color w:val="auto"/>
        </w:rPr>
      </w:pPr>
      <w:r>
        <w:rPr>
          <w:rFonts w:ascii="Arial" w:cs="Arial" w:eastAsia="Arial" w:hAnsi="Arial"/>
          <w:sz w:val="16"/>
          <w:szCs w:val="16"/>
          <w:u w:val="single" w:color="auto"/>
          <w:color w:val="auto"/>
        </w:rPr>
        <w:t>Lending Relationship</w:t>
      </w:r>
      <w:r>
        <w:rPr>
          <w:rFonts w:ascii="Arial" w:cs="Arial" w:eastAsia="Arial" w:hAnsi="Arial"/>
          <w:sz w:val="16"/>
          <w:szCs w:val="16"/>
          <w:i w:val="1"/>
          <w:iCs w:val="1"/>
          <w:color w:val="auto"/>
        </w:rPr>
        <w:t>.</w:t>
      </w:r>
      <w:r>
        <w:rPr>
          <w:rFonts w:ascii="Arial" w:cs="Arial" w:eastAsia="Arial" w:hAnsi="Arial"/>
          <w:sz w:val="16"/>
          <w:szCs w:val="16"/>
          <w:color w:val="auto"/>
        </w:rPr>
        <w:t xml:space="preserve"> Except as disclosed in the Registration Statement, the General Disclosure Package and the Prospectus, the Company (i) does not have any material lending or other relationship with any bank or lending affiliate of any Underwriter and (ii) does not intend to use any of the proceeds from the sale of the Securities to repay any outstanding debt owed to any affiliate of any Underwriter.</w:t>
      </w:r>
    </w:p>
    <w:p>
      <w:pPr>
        <w:spacing w:after="0" w:line="148" w:lineRule="exact"/>
        <w:rPr>
          <w:rFonts w:ascii="Arial" w:cs="Arial" w:eastAsia="Arial" w:hAnsi="Arial"/>
          <w:sz w:val="16"/>
          <w:szCs w:val="16"/>
          <w:color w:val="auto"/>
        </w:rPr>
      </w:pPr>
    </w:p>
    <w:p>
      <w:pPr>
        <w:jc w:val="both"/>
        <w:ind w:left="-460" w:firstLine="644"/>
        <w:spacing w:after="0" w:line="311" w:lineRule="auto"/>
        <w:tabs>
          <w:tab w:leader="none" w:pos="863" w:val="left"/>
        </w:tabs>
        <w:numPr>
          <w:ilvl w:val="0"/>
          <w:numId w:val="252"/>
        </w:numPr>
        <w:rPr>
          <w:rFonts w:ascii="Arial" w:cs="Arial" w:eastAsia="Arial" w:hAnsi="Arial"/>
          <w:sz w:val="16"/>
          <w:szCs w:val="16"/>
          <w:color w:val="auto"/>
        </w:rPr>
      </w:pPr>
      <w:r>
        <w:rPr>
          <w:rFonts w:ascii="Arial" w:cs="Arial" w:eastAsia="Arial" w:hAnsi="Arial"/>
          <w:sz w:val="16"/>
          <w:szCs w:val="16"/>
          <w:u w:val="single" w:color="auto"/>
          <w:color w:val="auto"/>
        </w:rPr>
        <w:t>Statistical and Market-Related Data</w:t>
      </w:r>
      <w:r>
        <w:rPr>
          <w:rFonts w:ascii="Arial" w:cs="Arial" w:eastAsia="Arial" w:hAnsi="Arial"/>
          <w:sz w:val="16"/>
          <w:szCs w:val="16"/>
          <w:color w:val="auto"/>
        </w:rPr>
        <w:t>. Any statistical and market-related data included in the Registration Statement, the General Disclosure Package or the Prospectus are based on or derived from sources that the Company believes, after reasonable inquiry, to be reliable and accurate and, to the extent required, the Company has obtained the written consent to the use of such data from such sources.</w:t>
      </w:r>
    </w:p>
    <w:p>
      <w:pPr>
        <w:spacing w:after="0" w:line="148" w:lineRule="exact"/>
        <w:rPr>
          <w:rFonts w:ascii="Arial" w:cs="Arial" w:eastAsia="Arial" w:hAnsi="Arial"/>
          <w:sz w:val="16"/>
          <w:szCs w:val="16"/>
          <w:color w:val="auto"/>
        </w:rPr>
      </w:pPr>
    </w:p>
    <w:p>
      <w:pPr>
        <w:jc w:val="both"/>
        <w:ind w:left="-460" w:firstLine="644"/>
        <w:spacing w:after="0" w:line="268" w:lineRule="auto"/>
        <w:tabs>
          <w:tab w:leader="none" w:pos="808" w:val="left"/>
        </w:tabs>
        <w:numPr>
          <w:ilvl w:val="0"/>
          <w:numId w:val="252"/>
        </w:numPr>
        <w:rPr>
          <w:rFonts w:ascii="Arial" w:cs="Arial" w:eastAsia="Arial" w:hAnsi="Arial"/>
          <w:sz w:val="17"/>
          <w:szCs w:val="17"/>
          <w:color w:val="auto"/>
        </w:rPr>
      </w:pPr>
      <w:r>
        <w:rPr>
          <w:rFonts w:ascii="Arial" w:cs="Arial" w:eastAsia="Arial" w:hAnsi="Arial"/>
          <w:sz w:val="17"/>
          <w:szCs w:val="17"/>
          <w:u w:val="single" w:color="auto"/>
          <w:color w:val="auto"/>
        </w:rPr>
        <w:t>Cybersecurity</w:t>
      </w:r>
      <w:r>
        <w:rPr>
          <w:rFonts w:ascii="Arial" w:cs="Arial" w:eastAsia="Arial" w:hAnsi="Arial"/>
          <w:sz w:val="17"/>
          <w:szCs w:val="17"/>
          <w:color w:val="auto"/>
        </w:rPr>
        <w:t>. Except as described in the Registration Statement, the General Disclosure Package and the Prospectus or where it would not, singly or in the aggregate, result in a Material Adverse Effect, (A) to the knowledge of the Company, there has been no security breach or incident, unauthorized access or disclosure, or other compromise of or relating to the Company’s or its subsidiaries’ information technology and computer systems, networks, hardware, software, confidential data and databases (including the confidential data and information of their respective customers, employees, suppliers, vendors and any third-party confidential data maintained, processed or stored by the Company and its subsidiaries, and any such data processed or stored by third parties on behalf of the Company and its subsidiaries), equipment or technology (collectively, “IT Systems and Data”), (B) neither the Company nor its subsidiaries have been notified in writing, or have any knowledge, of any event or condition that is reasonably likely to result in any security breach or incident, unauthorized access or disclosure or other compromise to their IT Systems and Data, (C) the Company and its subsidiaries have implemented commercially reasonable controls, policies, procedures, and technological safeguards to maintain and protect the integrity, continuous operation, redundancy and security of their IT Systems and Data reasonably consistent with industry standards and practices, or as required by applicable regulatory standards and (D) to the knowledge of the Company, the Company and its subsidiaries are presently in compliance with all applicable laws or statutes and all applicable material judgments, orders, rules and regulations of any court, arbitrator or governmental or regulatory authority and contractual obligations relating to the privacy and security of their IT Systems and Data and to the protection of such IT Systems and Data from unauthorized use, access, misappropriation or modification.</w:t>
      </w:r>
    </w:p>
    <w:p>
      <w:pPr>
        <w:spacing w:after="0" w:line="39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98" w:name="page399"/>
    <w:bookmarkEnd w:id="398"/>
    <w:p>
      <w:pPr>
        <w:jc w:val="both"/>
        <w:ind w:left="4" w:firstLine="648"/>
        <w:spacing w:after="0" w:line="282" w:lineRule="auto"/>
        <w:rPr>
          <w:sz w:val="20"/>
          <w:szCs w:val="20"/>
          <w:color w:val="auto"/>
        </w:rPr>
      </w:pPr>
      <w:r>
        <w:rPr>
          <w:rFonts w:ascii="Arial" w:cs="Arial" w:eastAsia="Arial" w:hAnsi="Arial"/>
          <w:sz w:val="16"/>
          <w:szCs w:val="16"/>
          <w:color w:val="auto"/>
        </w:rPr>
        <w:t xml:space="preserve">(xl) </w:t>
      </w:r>
      <w:r>
        <w:rPr>
          <w:rFonts w:ascii="Arial" w:cs="Arial" w:eastAsia="Arial" w:hAnsi="Arial"/>
          <w:sz w:val="16"/>
          <w:szCs w:val="16"/>
          <w:u w:val="single" w:color="auto"/>
          <w:color w:val="auto"/>
        </w:rPr>
        <w:t>Regulatory Compliance</w:t>
      </w:r>
      <w:r>
        <w:rPr>
          <w:rFonts w:ascii="Arial" w:cs="Arial" w:eastAsia="Arial" w:hAnsi="Arial"/>
          <w:sz w:val="16"/>
          <w:szCs w:val="16"/>
          <w:color w:val="auto"/>
        </w:rPr>
        <w:t>. Except as disclosed in the Registration Statement, the General Disclosure Package and the Prospectus, each of the Company and its subsidiaries: (i) has operated and currently operates its business in compliance in all material respects with applicable provisions of the Health Care Laws (as defined below) of the Food and Drug Administration (“FDA”), the Department of Health and Human Services (“HHS”) and any comparable foreign or other regulatory authority to which they are subject (collectively, the “Applicable Regulatory Authorities”) applicable to the ownership, testing, development, manufacture, packaging, processing, use, distribution, storage, import, export or disposal of any of the Company’s or its subsidiaries’ product candidates or any product manufactured or distributed by the Company and its subsidiaries; (ii) has not received any FDA Form 483, written notice of adverse finding, warning letter, untitled letter or other correspondence or written notice from any court or arbitrator or governmental or regulatory authority alleging or asserting non-compliance with (A) any Health Care Laws or (B) or any licenses, certificates, approvals, clearances, exemptions, authorizations, permits and supplements or amendments thereto required by any such Health Care Laws (“Regulatory Authorizations”); (iii) possesses all Regulatory Authorizations required to conduct its business as currently conducted, except where the failure to possess the same would not, individually or in the aggregate, have a Material Adverse Effect, and such Regulatory Authorizations are valid and in full force and effect and neither the Company nor any of its subsidiaries are in violation, in any material respect, of any term of any such Regulatory Authorizations; (iv) has not received written notice of any claim, action, suit, audit, survey, proceeding, hearing, enforcement, investigation, arbitration or other action from the Applicable Regulatory Authorities or any other third party alleging that any product of the Company is in material violation of any Health Care Laws or Regulatory Authorizations and has no knowledge that the Applicable Regulatory Authorities or any other third party is considering any such claim, litigation, arbitration, action, suit, investigation or proceeding; (v) has not received written notice that any of the Applicable Regulatory Authorities has taken, is taking or intends to take action to limit, suspend, modify or revoke any material Regulatory Authorizations and has no knowledge that any of the Applicable Regulatory Authorities is considering such action; (vi) has filed, obtained, maintained or submitted all material reports, documents, forms, notices, applications, records, claims, submissions and supplements or amendments as required by any Health Care Laws or Regulatory Authorizations and that all such reports, documents, forms, notices, applications, records, claims, submissions and supplements or amendments were materially complete and correct on the date filed (or were materially corrected or supplemented by a subsequent submission); (vii) is not a party to or have any ongoing reporting obligations pursuant to any corporate integrity agreements, deferred prosecution agreements, monitoring agreements, consent decrees, settlement orders, plans of correction or similar agreements with or imposed by any Applicable Regulatory Authority; and</w:t>
      </w:r>
    </w:p>
    <w:p>
      <w:pPr>
        <w:spacing w:after="0" w:line="10" w:lineRule="exact"/>
        <w:rPr>
          <w:sz w:val="20"/>
          <w:szCs w:val="20"/>
          <w:color w:val="auto"/>
        </w:rPr>
      </w:pPr>
    </w:p>
    <w:p>
      <w:pPr>
        <w:jc w:val="both"/>
        <w:ind w:left="4" w:hanging="4"/>
        <w:spacing w:after="0" w:line="267" w:lineRule="auto"/>
        <w:tabs>
          <w:tab w:leader="none" w:pos="418" w:val="left"/>
        </w:tabs>
        <w:numPr>
          <w:ilvl w:val="0"/>
          <w:numId w:val="253"/>
        </w:numPr>
        <w:rPr>
          <w:rFonts w:ascii="Arial" w:cs="Arial" w:eastAsia="Arial" w:hAnsi="Arial"/>
          <w:sz w:val="17"/>
          <w:szCs w:val="17"/>
          <w:color w:val="auto"/>
        </w:rPr>
      </w:pPr>
      <w:r>
        <w:rPr>
          <w:rFonts w:ascii="Arial" w:cs="Arial" w:eastAsia="Arial" w:hAnsi="Arial"/>
          <w:sz w:val="17"/>
          <w:szCs w:val="17"/>
          <w:color w:val="auto"/>
        </w:rPr>
        <w:t>along with its employees, officers and directors has not been excluded, suspended or debarred from participation in any government health care program or human clinical research or, to the knowledge of the Company, is subject to a governmental inquiry, investigation, proceeding, or other similar action that could reasonably be expected to result in debarment, suspension or exclusion. The term “Health Care Laws” means Title XVIII of the Social Security Act, 42 U.S.C. §§ 1395-1395hhh (the Medicare statute); Title XIX of the Social Security Act, 42 U.S.C. §§ 1396-1396v (the Medicaid statute); the Federal Anti-Kickback Statute, 42 U.S.C. § 1320a-7b(b); the civil False Claims Act, 31 U.S.C. §§ 3729 et seq.; the criminal False Claims Act, 42 U.S.C. 1320a-7b(a); any criminal laws relating to health care fraud and abuse, including but not limited to 18 U.S.C. Sections 286, 287, 1001, 1035, 1347 and 1349, and the health care fraud criminal provisions under the Health Insurance Portability and Accountability Act of 1996, 42 U.S.C. §§ 1320d et seq., (“HIPAA”); the Civil Monetary Penalties Law, 42 U.S.C. §§ 1320a-7a and 1320a-7b; the Physician Payments Sunshine Act, 42 U.S.C. § 1320a-7h; the Exclusion Laws, 42 U.S.C. § 1320a-7; HIPAA, as amended by the Health Information Technology for Economic and Clinical Health Act, 42 U.S.C. §§ 17921 et seq.; the Federal Food, Drug, and Cosmetic Act, 21 U.S.C. §§ 301 et seq.; the Public Health Service Act, 42 U.S.C. §§ 201 et seq.; each as amended, and the regulations promulgated pursuant to such laws; and any similar foreign, federal, state and local laws and regulations.</w:t>
      </w:r>
    </w:p>
    <w:p>
      <w:pPr>
        <w:spacing w:after="0" w:line="400"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399" w:name="page400"/>
    <w:bookmarkEnd w:id="399"/>
    <w:p>
      <w:pPr>
        <w:jc w:val="both"/>
        <w:ind w:firstLine="648"/>
        <w:spacing w:after="0" w:line="259" w:lineRule="auto"/>
        <w:rPr>
          <w:sz w:val="20"/>
          <w:szCs w:val="20"/>
          <w:color w:val="auto"/>
        </w:rPr>
      </w:pPr>
      <w:r>
        <w:rPr>
          <w:rFonts w:ascii="Arial" w:cs="Arial" w:eastAsia="Arial" w:hAnsi="Arial"/>
          <w:sz w:val="18"/>
          <w:szCs w:val="18"/>
          <w:color w:val="auto"/>
        </w:rPr>
        <w:t xml:space="preserve">(xli) </w:t>
      </w:r>
      <w:r>
        <w:rPr>
          <w:rFonts w:ascii="Arial" w:cs="Arial" w:eastAsia="Arial" w:hAnsi="Arial"/>
          <w:sz w:val="18"/>
          <w:szCs w:val="18"/>
          <w:u w:val="single" w:color="auto"/>
          <w:color w:val="auto"/>
        </w:rPr>
        <w:t>Manufacturing and Suppliers</w:t>
      </w:r>
      <w:r>
        <w:rPr>
          <w:rFonts w:ascii="Arial" w:cs="Arial" w:eastAsia="Arial" w:hAnsi="Arial"/>
          <w:sz w:val="18"/>
          <w:szCs w:val="18"/>
          <w:color w:val="auto"/>
        </w:rPr>
        <w:t>. To the Company’s knowledge, the manufacturing facilities and operations of its suppliers are operated in compliance in with all applicable statutes, rules, regulations and policies of the Applicable Regulatory Authorities, including, without limitation, the Health Care Laws, except for such non-compliance that would not, singly or in the aggregate reasonably be expected to result in a Material Adverse Effect.</w:t>
      </w:r>
    </w:p>
    <w:p>
      <w:pPr>
        <w:spacing w:after="0" w:line="18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(xlii) </w:t>
      </w:r>
      <w:r>
        <w:rPr>
          <w:rFonts w:ascii="Arial" w:cs="Arial" w:eastAsia="Arial" w:hAnsi="Arial"/>
          <w:sz w:val="16"/>
          <w:szCs w:val="16"/>
          <w:u w:val="single" w:color="auto"/>
          <w:color w:val="auto"/>
        </w:rPr>
        <w:t>Studies, Tests and Trials</w:t>
      </w:r>
      <w:r>
        <w:rPr>
          <w:rFonts w:ascii="Arial" w:cs="Arial" w:eastAsia="Arial" w:hAnsi="Arial"/>
          <w:sz w:val="16"/>
          <w:szCs w:val="16"/>
          <w:color w:val="auto"/>
        </w:rPr>
        <w:t>. None of the Company’s product candidates have received marketing approval or licensure from any Applicable Regulatory Authority. Except as described in the Registration Statement, the General Disclosure Package and the Prospectus, all clinical and pre-clinical studies and trials conducted by or, to the knowledge of the Company, on behalf of or sponsored by the Company or its subsidiaries, or in which the Company or its subsidiaries has participated, with respect to the Company’s product candidates, including any such studies and trials that are described in the Registration Statement, General Disclosure Package and the Prospectus, or the results of which are referred to in the Registration Statement, General Disclosure Package and the Prospectus, as applicable (collectively, “Company Trials”), were, and if still pending are, to the Company's knowledge, being conducted in all material respects in accordance with the Health Care Laws, including, without limitation, current Good Clinical Practices and Good Laboratory Practices, and with standard medical and scientific research procedures and any applicable rules, regulations and policies of the jurisdiction in which such trials and studies are being conducted; the descriptions in the Registration Statement, General Disclosure Package and the Prospectus of the results of any Company Trials are accurate and complete descriptions in all material respects and fairly present the data derived therefrom; the Company has no knowledge of any other studies or trials not described in the Registration Statement, General Disclosure Package and the Prospectus, the results of which are inconsistent with or call into question the results described or referred to in the Registration Statement, General Disclosure Package and the Prospectus; the Company and each of its subsidiaries have not received, any written notices, correspondence or other communications from the Applicable Regulatory Authorities or any other governmental entity requiring or threatening the termination, material modification or suspension of Company Trials that are described in the Registration Statement, the General Disclosure Package and the Prospectus or the results of which are referred to in the Registration Statement, the General Disclosure Package and the Prospectus, other than ordinary course communications with respect to modifications in connection with the design and implementation of such studies or trials, and, to the Company’s knowledge, there are no reasonable grounds for the same. No investigational new drug application or comparable submission filed by or on behalf of the Company or any of its subsidiaries has been terminated or suspended by the FDA or any other Applicable Regulatory Authority. The Company has obtained (or caused to be obtained) informed consent by or on behalf of each human subject who participated in a Company Trial. In using or disclosing patient information received by the Company or any of its subsidiaries in connection with a Company Trial, the Company or such subsidiary has complied in all material respects with all applicable laws and regulatory rules or requirements, including, without limitation, HIPAA and the rules and regulations thereunder. To the Company’s knowledge, none of the Company Trials involved any investigator who has been disqualified as a clinical investigator or has been found by the FDA to have engaged in scientific misconduct.</w:t>
      </w:r>
    </w:p>
    <w:p>
      <w:pPr>
        <w:spacing w:after="0" w:line="38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400" w:name="page401"/>
    <w:bookmarkEnd w:id="400"/>
    <w:p>
      <w:pPr>
        <w:jc w:val="both"/>
        <w:ind w:left="640" w:firstLine="648"/>
        <w:spacing w:after="0" w:line="308" w:lineRule="auto"/>
        <w:rPr>
          <w:sz w:val="20"/>
          <w:szCs w:val="20"/>
          <w:color w:val="auto"/>
        </w:rPr>
      </w:pPr>
      <w:r>
        <w:rPr>
          <w:rFonts w:ascii="Arial" w:cs="Arial" w:eastAsia="Arial" w:hAnsi="Arial"/>
          <w:sz w:val="17"/>
          <w:szCs w:val="17"/>
          <w:color w:val="auto"/>
        </w:rPr>
        <w:t xml:space="preserve">(xliii) </w:t>
      </w:r>
      <w:r>
        <w:rPr>
          <w:rFonts w:ascii="Arial" w:cs="Arial" w:eastAsia="Arial" w:hAnsi="Arial"/>
          <w:sz w:val="17"/>
          <w:szCs w:val="17"/>
          <w:u w:val="single" w:color="auto"/>
          <w:color w:val="auto"/>
        </w:rPr>
        <w:t>Maintenance of Rating</w:t>
      </w:r>
      <w:r>
        <w:rPr>
          <w:rFonts w:ascii="Arial" w:cs="Arial" w:eastAsia="Arial" w:hAnsi="Arial"/>
          <w:sz w:val="17"/>
          <w:szCs w:val="17"/>
          <w:color w:val="auto"/>
        </w:rPr>
        <w:t>. At the date of this Agreement, neither the Company nor its subsidiaries have any debt securities or preferred shares that are rated by any “nationally recognized statistical rating agency” (as defined in Section 3(a)(62) of the 1934 Act).</w:t>
      </w:r>
    </w:p>
    <w:p>
      <w:pPr>
        <w:spacing w:after="0" w:line="146" w:lineRule="exact"/>
        <w:rPr>
          <w:sz w:val="20"/>
          <w:szCs w:val="20"/>
          <w:color w:val="auto"/>
        </w:rPr>
      </w:pPr>
    </w:p>
    <w:p>
      <w:pPr>
        <w:jc w:val="both"/>
        <w:ind w:left="640" w:firstLine="648"/>
        <w:spacing w:after="0" w:line="301" w:lineRule="auto"/>
        <w:rPr>
          <w:sz w:val="20"/>
          <w:szCs w:val="20"/>
          <w:color w:val="auto"/>
        </w:rPr>
      </w:pPr>
      <w:r>
        <w:rPr>
          <w:rFonts w:ascii="Arial" w:cs="Arial" w:eastAsia="Arial" w:hAnsi="Arial"/>
          <w:sz w:val="16"/>
          <w:szCs w:val="16"/>
          <w:color w:val="auto"/>
        </w:rPr>
        <w:t xml:space="preserve">(xliv) </w:t>
      </w:r>
      <w:r>
        <w:rPr>
          <w:rFonts w:ascii="Arial" w:cs="Arial" w:eastAsia="Arial" w:hAnsi="Arial"/>
          <w:sz w:val="16"/>
          <w:szCs w:val="16"/>
          <w:u w:val="single" w:color="auto"/>
          <w:color w:val="auto"/>
        </w:rPr>
        <w:t>Dividend Restrictions</w:t>
      </w:r>
      <w:r>
        <w:rPr>
          <w:rFonts w:ascii="Arial" w:cs="Arial" w:eastAsia="Arial" w:hAnsi="Arial"/>
          <w:sz w:val="16"/>
          <w:szCs w:val="16"/>
          <w:color w:val="auto"/>
        </w:rPr>
        <w:t>. Other than as prohibited or restricted by law, no subsidiary of the 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spacing w:after="0" w:line="157" w:lineRule="exact"/>
        <w:rPr>
          <w:sz w:val="20"/>
          <w:szCs w:val="20"/>
          <w:color w:val="auto"/>
        </w:rPr>
      </w:pPr>
    </w:p>
    <w:p>
      <w:pPr>
        <w:ind w:left="-20" w:firstLine="656"/>
        <w:spacing w:after="0" w:line="342" w:lineRule="auto"/>
        <w:tabs>
          <w:tab w:leader="none" w:pos="1391" w:val="left"/>
        </w:tabs>
        <w:numPr>
          <w:ilvl w:val="0"/>
          <w:numId w:val="254"/>
        </w:numPr>
        <w:rPr>
          <w:rFonts w:ascii="Arial" w:cs="Arial" w:eastAsia="Arial" w:hAnsi="Arial"/>
          <w:sz w:val="16"/>
          <w:szCs w:val="16"/>
          <w:color w:val="auto"/>
        </w:rPr>
      </w:pPr>
      <w:r>
        <w:rPr>
          <w:rFonts w:ascii="Arial" w:cs="Arial" w:eastAsia="Arial" w:hAnsi="Arial"/>
          <w:sz w:val="16"/>
          <w:szCs w:val="16"/>
          <w:i w:val="1"/>
          <w:iCs w:val="1"/>
          <w:color w:val="auto"/>
        </w:rPr>
        <w:t xml:space="preserve">Officer’s Certificates. </w:t>
      </w:r>
      <w:r>
        <w:rPr>
          <w:rFonts w:ascii="Arial" w:cs="Arial" w:eastAsia="Arial" w:hAnsi="Arial"/>
          <w:sz w:val="16"/>
          <w:szCs w:val="16"/>
          <w:color w:val="auto"/>
        </w:rPr>
        <w:t>Any certificate signed by any officer of the Company or any of its subsidiaries delivered to the Representatives or</w:t>
      </w:r>
      <w:r>
        <w:rPr>
          <w:rFonts w:ascii="Arial" w:cs="Arial" w:eastAsia="Arial" w:hAnsi="Arial"/>
          <w:sz w:val="16"/>
          <w:szCs w:val="16"/>
          <w:i w:val="1"/>
          <w:iCs w:val="1"/>
          <w:color w:val="auto"/>
        </w:rPr>
        <w:t xml:space="preserve"> </w:t>
      </w:r>
      <w:r>
        <w:rPr>
          <w:rFonts w:ascii="Arial" w:cs="Arial" w:eastAsia="Arial" w:hAnsi="Arial"/>
          <w:sz w:val="16"/>
          <w:szCs w:val="16"/>
          <w:color w:val="auto"/>
        </w:rPr>
        <w:t>to counsel for the Underwriters shall be deemed a representation and warranty by the Company to each Underwriter as to the matters covered thereby.</w:t>
      </w:r>
    </w:p>
    <w:p>
      <w:pPr>
        <w:spacing w:after="0" w:line="124" w:lineRule="exact"/>
        <w:rPr>
          <w:sz w:val="20"/>
          <w:szCs w:val="20"/>
          <w:color w:val="auto"/>
        </w:rPr>
      </w:pPr>
    </w:p>
    <w:p>
      <w:pPr>
        <w:ind w:left="640"/>
        <w:spacing w:after="0"/>
        <w:tabs>
          <w:tab w:leader="none" w:pos="182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Sale and Delivery to Underwriters; Closing</w:t>
      </w:r>
      <w:r>
        <w:rPr>
          <w:rFonts w:ascii="Arial" w:cs="Arial" w:eastAsia="Arial" w:hAnsi="Arial"/>
          <w:sz w:val="16"/>
          <w:szCs w:val="16"/>
          <w:color w:val="auto"/>
        </w:rPr>
        <w:t>.</w:t>
      </w:r>
    </w:p>
    <w:p>
      <w:pPr>
        <w:spacing w:after="0" w:line="225" w:lineRule="exact"/>
        <w:rPr>
          <w:sz w:val="20"/>
          <w:szCs w:val="20"/>
          <w:color w:val="auto"/>
        </w:rPr>
      </w:pPr>
    </w:p>
    <w:p>
      <w:pPr>
        <w:jc w:val="both"/>
        <w:ind w:left="-20" w:firstLine="656"/>
        <w:spacing w:after="0" w:line="255" w:lineRule="auto"/>
        <w:tabs>
          <w:tab w:leader="none" w:pos="1421" w:val="left"/>
        </w:tabs>
        <w:numPr>
          <w:ilvl w:val="0"/>
          <w:numId w:val="255"/>
        </w:numPr>
        <w:rPr>
          <w:rFonts w:ascii="Arial" w:cs="Arial" w:eastAsia="Arial" w:hAnsi="Arial"/>
          <w:sz w:val="18"/>
          <w:szCs w:val="18"/>
          <w:color w:val="auto"/>
        </w:rPr>
      </w:pPr>
      <w:r>
        <w:rPr>
          <w:rFonts w:ascii="Arial" w:cs="Arial" w:eastAsia="Arial" w:hAnsi="Arial"/>
          <w:sz w:val="18"/>
          <w:szCs w:val="18"/>
          <w:i w:val="1"/>
          <w:iCs w:val="1"/>
          <w:color w:val="auto"/>
        </w:rPr>
        <w:t>Initial Securities</w:t>
      </w:r>
      <w:r>
        <w:rPr>
          <w:rFonts w:ascii="Arial" w:cs="Arial" w:eastAsia="Arial" w:hAnsi="Arial"/>
          <w:sz w:val="18"/>
          <w:szCs w:val="18"/>
          <w:color w:val="auto"/>
        </w:rPr>
        <w:t>. On the basis of the representations and warranties herein contained and subject to the terms and conditions herein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the Company agrees to sell to each Underwriter, severally and not jointly, and each Underwriter, severally and not jointly, agrees to purchase from the Company, at the price per share set forth in Schedule A, that number of Initial Securities set forth in Schedule A opposite the name of such Underwriter, plus any additional number of Initial Securities which such Underwriter may become obligated to purchase pursuant to the provisions of Section 10 hereof, subject, in each case, to such adjustments among the Underwriters as the Representatives in their sole discretion shall make to eliminate any sales or purchases of fractional shares.</w:t>
      </w:r>
    </w:p>
    <w:p>
      <w:pPr>
        <w:spacing w:after="0" w:line="192" w:lineRule="exact"/>
        <w:rPr>
          <w:rFonts w:ascii="Arial" w:cs="Arial" w:eastAsia="Arial" w:hAnsi="Arial"/>
          <w:sz w:val="18"/>
          <w:szCs w:val="18"/>
          <w:color w:val="auto"/>
        </w:rPr>
      </w:pPr>
    </w:p>
    <w:p>
      <w:pPr>
        <w:jc w:val="both"/>
        <w:ind w:left="-20" w:firstLine="656"/>
        <w:spacing w:after="0" w:line="287" w:lineRule="auto"/>
        <w:tabs>
          <w:tab w:leader="none" w:pos="1674" w:val="left"/>
        </w:tabs>
        <w:numPr>
          <w:ilvl w:val="0"/>
          <w:numId w:val="255"/>
        </w:numPr>
        <w:rPr>
          <w:rFonts w:ascii="Arial" w:cs="Arial" w:eastAsia="Arial" w:hAnsi="Arial"/>
          <w:sz w:val="16"/>
          <w:szCs w:val="16"/>
          <w:color w:val="auto"/>
        </w:rPr>
      </w:pPr>
      <w:r>
        <w:rPr>
          <w:rFonts w:ascii="Arial" w:cs="Arial" w:eastAsia="Arial" w:hAnsi="Arial"/>
          <w:sz w:val="16"/>
          <w:szCs w:val="16"/>
          <w:i w:val="1"/>
          <w:iCs w:val="1"/>
          <w:color w:val="auto"/>
        </w:rPr>
        <w:t>Option Securities</w:t>
      </w:r>
      <w:r>
        <w:rPr>
          <w:rFonts w:ascii="Arial" w:cs="Arial" w:eastAsia="Arial" w:hAnsi="Arial"/>
          <w:sz w:val="16"/>
          <w:szCs w:val="16"/>
          <w:color w:val="auto"/>
        </w:rPr>
        <w:t>. In addition, on the basis of the representations and warranties herein contained and subject to the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herein set forth, the Company hereby grants an option to the Underwriters, severally and not jointly, to purchase up to an additional [ ●˜ ] Common Shares at the price per share set forth in Schedule A, less an amount per share equal to any dividends or distributions declared by the Company and payable on the Initial Securities but not payable on the Option Securities. The option hereby granted may be exercised for 30 days after the date hereof and may be exercised in whole or in part at any time from time to time upon notice by the Representatives to the Company setting forth the number of Option Securities as to which the several Underwriters are then exercising the option and the time and date of payment and delivery for such Option Securities. Any such time and date of delivery (a “Date of Delivery”) shall be determined by the Representatives, but shall not be later than seven full business days after the exercise of said option, nor in any event prior to the Closing Time. If the option is exercised as to all or any portion of the Option Securities, each of the Underwriters, acting severally and not jointly, will purchase that proportion of the total number of Option Securities then being purchased which the number of Initial Securities set forth in Schedule A opposite the name of such Underwriter bears to the total number of Initial Securities, subject, in each case, to such adjustments as BofAS in its sole discretion shall make to eliminate any sales or purchases of fractional shares.</w:t>
      </w:r>
    </w:p>
    <w:p>
      <w:pPr>
        <w:spacing w:after="0" w:line="171" w:lineRule="exact"/>
        <w:rPr>
          <w:rFonts w:ascii="Arial" w:cs="Arial" w:eastAsia="Arial" w:hAnsi="Arial"/>
          <w:sz w:val="16"/>
          <w:szCs w:val="16"/>
          <w:color w:val="auto"/>
        </w:rPr>
      </w:pPr>
    </w:p>
    <w:p>
      <w:pPr>
        <w:jc w:val="both"/>
        <w:ind w:left="-20" w:firstLine="656"/>
        <w:spacing w:after="0" w:line="296" w:lineRule="auto"/>
        <w:tabs>
          <w:tab w:leader="none" w:pos="1489" w:val="left"/>
        </w:tabs>
        <w:numPr>
          <w:ilvl w:val="0"/>
          <w:numId w:val="255"/>
        </w:numPr>
        <w:rPr>
          <w:rFonts w:ascii="Arial" w:cs="Arial" w:eastAsia="Arial" w:hAnsi="Arial"/>
          <w:sz w:val="16"/>
          <w:szCs w:val="16"/>
          <w:color w:val="auto"/>
        </w:rPr>
      </w:pPr>
      <w:r>
        <w:rPr>
          <w:rFonts w:ascii="Arial" w:cs="Arial" w:eastAsia="Arial" w:hAnsi="Arial"/>
          <w:sz w:val="16"/>
          <w:szCs w:val="16"/>
          <w:i w:val="1"/>
          <w:iCs w:val="1"/>
          <w:color w:val="auto"/>
        </w:rPr>
        <w:t>Payment</w:t>
      </w:r>
      <w:r>
        <w:rPr>
          <w:rFonts w:ascii="Arial" w:cs="Arial" w:eastAsia="Arial" w:hAnsi="Arial"/>
          <w:sz w:val="16"/>
          <w:szCs w:val="16"/>
          <w:color w:val="auto"/>
        </w:rPr>
        <w:t>. Payment of the purchase price for, and delivery of, the Initial Securities shall be made at the offices of Latham &amp; Watkins</w:t>
      </w:r>
      <w:r>
        <w:rPr>
          <w:rFonts w:ascii="Arial" w:cs="Arial" w:eastAsia="Arial" w:hAnsi="Arial"/>
          <w:sz w:val="16"/>
          <w:szCs w:val="16"/>
          <w:i w:val="1"/>
          <w:iCs w:val="1"/>
          <w:color w:val="auto"/>
        </w:rPr>
        <w:t xml:space="preserve"> </w:t>
      </w:r>
      <w:r>
        <w:rPr>
          <w:rFonts w:ascii="Arial" w:cs="Arial" w:eastAsia="Arial" w:hAnsi="Arial"/>
          <w:sz w:val="16"/>
          <w:szCs w:val="16"/>
          <w:color w:val="auto"/>
        </w:rPr>
        <w:t>LLP, 885 Third Avenue, New York, New York 10022, or at such other place as shall be agreed upon by the Representatives and the Company, at [9:00] A.M. (New York City time) on the second (third, if the pricing occurs after 4:30 P.M. (New York City time) on any given day) business day after the date hereof (unless postponed in accordance with the provisions of Section 10), or such other time not later than ten business days after such date as shall be agreed upon by the Representatives and the Company (such time and date of payment and delivery being herein called “Closing Time”).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401" w:name="page402"/>
    <w:bookmarkEnd w:id="401"/>
    <w:p>
      <w:pPr>
        <w:jc w:val="both"/>
        <w:ind w:firstLine="648"/>
        <w:spacing w:after="0" w:line="263" w:lineRule="auto"/>
        <w:rPr>
          <w:sz w:val="20"/>
          <w:szCs w:val="20"/>
          <w:color w:val="auto"/>
        </w:rPr>
      </w:pPr>
      <w:r>
        <w:rPr>
          <w:rFonts w:ascii="Arial" w:cs="Arial" w:eastAsia="Arial" w:hAnsi="Arial"/>
          <w:sz w:val="18"/>
          <w:szCs w:val="18"/>
          <w:color w:val="auto"/>
        </w:rPr>
        <w:t>In addition, in the event that any or all of the Option Securities are purchased by the Underwriters, payment of the purchase price for, and delivery of, such Option Securities shall be made at the above-mentioned offices, or at such other place as shall be agreed upon by the Representatives and the Company, on each Date of Delivery as specified in the notice from the Representatives to the Company.</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Payment shall be made to the Company by wire transfer of immediately available funds to a bank account designated by the Company against delivery to the Representatives for the respective accounts of the Underwriters of the Securities to be purchased by them, or pursuant to other arrangements as shall be agreed upon by the Company and the Representatives prior to the Closing Time. It is understood that each Underwriter has authorized the Representatives, for its account, to accept delivery of, receipt for, and make payment of the purchase price for, the Initial Securities and the Option Securities, if any, which it has agreed to purchase. BofAS, individually and not as representative of the Underwriters, may (but shall not be obligated to) make payment of the purchase price for the Initial Securities or the Option Securities, if any, to be purchased by any Underwriter whose funds have not been received by the Closing Time or the relevant Date of Delivery, as the case may be, but such payment shall not relieve such Underwriter from its obligations hereunder.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Delivery of the Initial Securities and any Option Securities shall be made through the facilities of The Depository Trust Company.</w:t>
      </w:r>
    </w:p>
    <w:p>
      <w:pPr>
        <w:spacing w:after="0" w:line="225"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Covenants of the Company</w:t>
      </w:r>
      <w:r>
        <w:rPr>
          <w:rFonts w:ascii="Arial" w:cs="Arial" w:eastAsia="Arial" w:hAnsi="Arial"/>
          <w:sz w:val="16"/>
          <w:szCs w:val="16"/>
          <w:color w:val="auto"/>
        </w:rPr>
        <w:t>. The Company covenants with each Underwriter as follows:</w:t>
      </w:r>
    </w:p>
    <w:p>
      <w:pPr>
        <w:spacing w:after="0" w:line="225" w:lineRule="exact"/>
        <w:rPr>
          <w:sz w:val="20"/>
          <w:szCs w:val="20"/>
          <w:color w:val="auto"/>
        </w:rPr>
      </w:pPr>
    </w:p>
    <w:p>
      <w:pPr>
        <w:jc w:val="both"/>
        <w:ind w:firstLine="656"/>
        <w:spacing w:after="0" w:line="286" w:lineRule="auto"/>
        <w:tabs>
          <w:tab w:leader="none" w:pos="1644" w:val="left"/>
        </w:tabs>
        <w:numPr>
          <w:ilvl w:val="0"/>
          <w:numId w:val="256"/>
        </w:numPr>
        <w:rPr>
          <w:rFonts w:ascii="Arial" w:cs="Arial" w:eastAsia="Arial" w:hAnsi="Arial"/>
          <w:sz w:val="16"/>
          <w:szCs w:val="16"/>
          <w:color w:val="auto"/>
        </w:rPr>
      </w:pPr>
      <w:r>
        <w:rPr>
          <w:rFonts w:ascii="Arial" w:cs="Arial" w:eastAsia="Arial" w:hAnsi="Arial"/>
          <w:sz w:val="16"/>
          <w:szCs w:val="16"/>
          <w:i w:val="1"/>
          <w:iCs w:val="1"/>
          <w:color w:val="auto"/>
        </w:rPr>
        <w:t>Compliance with Securities Regulations and Commission Requests</w:t>
      </w:r>
      <w:r>
        <w:rPr>
          <w:rFonts w:ascii="Arial" w:cs="Arial" w:eastAsia="Arial" w:hAnsi="Arial"/>
          <w:sz w:val="16"/>
          <w:szCs w:val="16"/>
          <w:color w:val="auto"/>
        </w:rPr>
        <w:t>. The Company, subject to Section 3(b), will comply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of Rule 430A, and will notify the Representatives as soon as practicable, and confirm the notice in writing,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 (v) if the Company becomes the subject of a proceeding under Section 8A of the 1933 Act in connection with the offering of the Securities. The Company will effect all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prevention or suspension and, if any such order is issued, to obtain the lifting thereof at the earliest possible moment.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2" w:name="page403"/>
    <w:bookmarkEnd w:id="402"/>
    <w:p>
      <w:pPr>
        <w:jc w:val="both"/>
        <w:ind w:firstLine="656"/>
        <w:spacing w:after="0" w:line="283" w:lineRule="auto"/>
        <w:tabs>
          <w:tab w:leader="none" w:pos="1586" w:val="left"/>
        </w:tabs>
        <w:numPr>
          <w:ilvl w:val="1"/>
          <w:numId w:val="257"/>
        </w:numPr>
        <w:rPr>
          <w:rFonts w:ascii="Arial" w:cs="Arial" w:eastAsia="Arial" w:hAnsi="Arial"/>
          <w:sz w:val="16"/>
          <w:szCs w:val="16"/>
          <w:color w:val="auto"/>
        </w:rPr>
      </w:pPr>
      <w:r>
        <w:rPr>
          <w:rFonts w:ascii="Arial" w:cs="Arial" w:eastAsia="Arial" w:hAnsi="Arial"/>
          <w:sz w:val="16"/>
          <w:szCs w:val="16"/>
          <w:i w:val="1"/>
          <w:iCs w:val="1"/>
          <w:color w:val="auto"/>
        </w:rPr>
        <w:t>Continued Compliance with Securities Laws</w:t>
      </w:r>
      <w:r>
        <w:rPr>
          <w:rFonts w:ascii="Arial" w:cs="Arial" w:eastAsia="Arial" w:hAnsi="Arial"/>
          <w:sz w:val="16"/>
          <w:szCs w:val="16"/>
          <w:color w:val="auto"/>
        </w:rPr>
        <w:t>. The Company will comply with the 1933 Act and the 1933 Act Regulations so as to</w:t>
      </w:r>
      <w:r>
        <w:rPr>
          <w:rFonts w:ascii="Arial" w:cs="Arial" w:eastAsia="Arial" w:hAnsi="Arial"/>
          <w:sz w:val="16"/>
          <w:szCs w:val="16"/>
          <w:i w:val="1"/>
          <w:iCs w:val="1"/>
          <w:color w:val="auto"/>
        </w:rPr>
        <w:t xml:space="preserve"> </w:t>
      </w:r>
      <w:r>
        <w:rPr>
          <w:rFonts w:ascii="Arial" w:cs="Arial" w:eastAsia="Arial" w:hAnsi="Arial"/>
          <w:sz w:val="16"/>
          <w:szCs w:val="16"/>
          <w:color w:val="auto"/>
        </w:rPr>
        <w:t>permit the completion of the distribution of the Securities as contemplated in this Agreement and in the Registration Statement, the General Disclosure Package and the Prospectus. If at any time when a prospectus relating to the Securities is (or, but for the exception afforded by Rule 172 of the 1933 Act Regulations (“Rule 172”), would be) required by the 1933 Act to be delivered in connection with sales of the Securities, any event shall occur or condition shall exist as a result of which it is necessary, in the opinion of counsel for the Underwriters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w:t>
      </w:r>
    </w:p>
    <w:p>
      <w:pPr>
        <w:spacing w:after="0" w:line="5" w:lineRule="exact"/>
        <w:rPr>
          <w:rFonts w:ascii="Arial" w:cs="Arial" w:eastAsia="Arial" w:hAnsi="Arial"/>
          <w:sz w:val="16"/>
          <w:szCs w:val="16"/>
          <w:color w:val="auto"/>
        </w:rPr>
      </w:pPr>
    </w:p>
    <w:p>
      <w:pPr>
        <w:jc w:val="both"/>
        <w:ind w:firstLine="8"/>
        <w:spacing w:after="0" w:line="281" w:lineRule="auto"/>
        <w:tabs>
          <w:tab w:leader="none" w:pos="324" w:val="left"/>
        </w:tabs>
        <w:numPr>
          <w:ilvl w:val="0"/>
          <w:numId w:val="258"/>
        </w:numPr>
        <w:rPr>
          <w:rFonts w:ascii="Arial" w:cs="Arial" w:eastAsia="Arial" w:hAnsi="Arial"/>
          <w:sz w:val="16"/>
          <w:szCs w:val="16"/>
          <w:color w:val="auto"/>
        </w:rPr>
      </w:pPr>
      <w:r>
        <w:rPr>
          <w:rFonts w:ascii="Arial" w:cs="Arial" w:eastAsia="Arial" w:hAnsi="Arial"/>
          <w:sz w:val="16"/>
          <w:szCs w:val="16"/>
          <w:color w:val="auto"/>
        </w:rPr>
        <w:t>amend the Registration Statement or amend or supplement the General Disclosure Package or the Prospectus, as the case may be, in order to comply with the requirements of the 1933 Act or the 1933 Act Regulations, the Company will promptly (A) give the Representatives notice of such event,</w:t>
      </w:r>
    </w:p>
    <w:p>
      <w:pPr>
        <w:spacing w:after="0" w:line="1" w:lineRule="exact"/>
        <w:rPr>
          <w:rFonts w:ascii="Arial" w:cs="Arial" w:eastAsia="Arial" w:hAnsi="Arial"/>
          <w:sz w:val="16"/>
          <w:szCs w:val="16"/>
          <w:color w:val="auto"/>
        </w:rPr>
      </w:pPr>
    </w:p>
    <w:p>
      <w:pPr>
        <w:jc w:val="both"/>
        <w:spacing w:after="0" w:line="286" w:lineRule="auto"/>
        <w:rPr>
          <w:rFonts w:ascii="Arial" w:cs="Arial" w:eastAsia="Arial" w:hAnsi="Arial"/>
          <w:sz w:val="16"/>
          <w:szCs w:val="16"/>
          <w:color w:val="auto"/>
        </w:rPr>
      </w:pPr>
      <w:r>
        <w:rPr>
          <w:rFonts w:ascii="Arial" w:cs="Arial" w:eastAsia="Arial" w:hAnsi="Arial"/>
          <w:sz w:val="16"/>
          <w:szCs w:val="16"/>
          <w:color w:val="auto"/>
        </w:rPr>
        <w:t>(B) prepare any amendment or supplement as may be necessary to correct such statement or omission or to make the Registration Statement, the General Disclosure Package or the Prospectus comply with such requirements and, a reasonable amount of time prior to any proposed filing or use, furnish the Representatives with copies of any such amendment or supplement and (C) file with the Commission any such amendment or supplement; provided that the Company shall not file or use any such amendment or supplement to which the Representatives or counsel for the Underwriters shall reasonably object. The Company will furnish to the Underwriters such number of copies of such amendment or supplement as the Underwriters may reasonably request. The Company has given the Representative(s) notice of any filings made pursuant to the 1934 Act or 1934 Act Regulations within 48 hours prior to the Applicable Time; the Company will give the Representative(s) notice of its intention to make any such filing from the Applicable Time to the Closing Time and will furnish the Representative(s) with copies of any such documents a reasonable amount of time prior to such proposed filing, as the case may be, and will not file or use any such document to which the Representative(s) or counsel for the Underwriters shall reasonably object.</w:t>
      </w:r>
    </w:p>
    <w:p>
      <w:pPr>
        <w:spacing w:after="0" w:line="172" w:lineRule="exact"/>
        <w:rPr>
          <w:rFonts w:ascii="Arial" w:cs="Arial" w:eastAsia="Arial" w:hAnsi="Arial"/>
          <w:sz w:val="16"/>
          <w:szCs w:val="16"/>
          <w:color w:val="auto"/>
        </w:rPr>
      </w:pPr>
    </w:p>
    <w:p>
      <w:pPr>
        <w:jc w:val="both"/>
        <w:ind w:firstLine="656"/>
        <w:spacing w:after="0" w:line="301" w:lineRule="auto"/>
        <w:tabs>
          <w:tab w:leader="none" w:pos="1387" w:val="left"/>
        </w:tabs>
        <w:numPr>
          <w:ilvl w:val="1"/>
          <w:numId w:val="258"/>
        </w:numPr>
        <w:rPr>
          <w:rFonts w:ascii="Arial" w:cs="Arial" w:eastAsia="Arial" w:hAnsi="Arial"/>
          <w:sz w:val="16"/>
          <w:szCs w:val="16"/>
          <w:color w:val="auto"/>
        </w:rPr>
      </w:pPr>
      <w:r>
        <w:rPr>
          <w:rFonts w:ascii="Arial" w:cs="Arial" w:eastAsia="Arial" w:hAnsi="Arial"/>
          <w:sz w:val="16"/>
          <w:szCs w:val="16"/>
          <w:i w:val="1"/>
          <w:iCs w:val="1"/>
          <w:color w:val="auto"/>
        </w:rPr>
        <w:t>Delivery of Registration Statements</w:t>
      </w:r>
      <w:r>
        <w:rPr>
          <w:rFonts w:ascii="Arial" w:cs="Arial" w:eastAsia="Arial" w:hAnsi="Arial"/>
          <w:sz w:val="16"/>
          <w:szCs w:val="16"/>
          <w:color w:val="auto"/>
        </w:rPr>
        <w:t>. The Company has furnished or will deliver to the Representatives and counsel for the Underwriters,</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charge, copies of the Registration Statement as originally filed and each amendment thereto (including exhibits filed therewith) and copies of all consents and certificates of experts. The copies of the Registration Statement and each amendment thereto furnished to the Underwriters will be identical to the electronically transmitted copies thereof filed with the Commission pursuant to EDGAR, except to the extent permitted by Regulation S-T.</w:t>
      </w:r>
    </w:p>
    <w:p>
      <w:pPr>
        <w:spacing w:after="0" w:line="157" w:lineRule="exact"/>
        <w:rPr>
          <w:rFonts w:ascii="Arial" w:cs="Arial" w:eastAsia="Arial" w:hAnsi="Arial"/>
          <w:sz w:val="16"/>
          <w:szCs w:val="16"/>
          <w:color w:val="auto"/>
        </w:rPr>
      </w:pPr>
    </w:p>
    <w:p>
      <w:pPr>
        <w:jc w:val="both"/>
        <w:ind w:firstLine="656"/>
        <w:spacing w:after="0" w:line="293" w:lineRule="auto"/>
        <w:tabs>
          <w:tab w:leader="none" w:pos="1654" w:val="left"/>
        </w:tabs>
        <w:numPr>
          <w:ilvl w:val="1"/>
          <w:numId w:val="258"/>
        </w:numPr>
        <w:rPr>
          <w:rFonts w:ascii="Arial" w:cs="Arial" w:eastAsia="Arial" w:hAnsi="Arial"/>
          <w:sz w:val="16"/>
          <w:szCs w:val="16"/>
          <w:color w:val="auto"/>
        </w:rPr>
      </w:pPr>
      <w:r>
        <w:rPr>
          <w:rFonts w:ascii="Arial" w:cs="Arial" w:eastAsia="Arial" w:hAnsi="Arial"/>
          <w:sz w:val="16"/>
          <w:szCs w:val="16"/>
          <w:i w:val="1"/>
          <w:iCs w:val="1"/>
          <w:color w:val="auto"/>
        </w:rPr>
        <w:t>Delivery of Prospectuses</w:t>
      </w:r>
      <w:r>
        <w:rPr>
          <w:rFonts w:ascii="Arial" w:cs="Arial" w:eastAsia="Arial" w:hAnsi="Arial"/>
          <w:sz w:val="16"/>
          <w:szCs w:val="16"/>
          <w:color w:val="auto"/>
        </w:rPr>
        <w:t>. The Company has delivered to each Underwriter, without charge, as many copies of each preliminary</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as such Underwriter reasonably requested, and the Company hereby consents to the use of such copies for purposes permitted by the 1933 Act. The Company will furnish to each Underwriter, without charge, during the period when a prospectus relating to the Securities is (or, but for the exception afforded by Rule 172, would be) required to be delivered under the 1933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164" w:lineRule="exact"/>
        <w:rPr>
          <w:rFonts w:ascii="Arial" w:cs="Arial" w:eastAsia="Arial" w:hAnsi="Arial"/>
          <w:sz w:val="16"/>
          <w:szCs w:val="16"/>
          <w:color w:val="auto"/>
        </w:rPr>
      </w:pPr>
    </w:p>
    <w:p>
      <w:pPr>
        <w:jc w:val="both"/>
        <w:ind w:firstLine="656"/>
        <w:spacing w:after="0" w:line="255" w:lineRule="auto"/>
        <w:tabs>
          <w:tab w:leader="none" w:pos="1684" w:val="left"/>
        </w:tabs>
        <w:numPr>
          <w:ilvl w:val="1"/>
          <w:numId w:val="258"/>
        </w:numPr>
        <w:rPr>
          <w:rFonts w:ascii="Arial" w:cs="Arial" w:eastAsia="Arial" w:hAnsi="Arial"/>
          <w:sz w:val="18"/>
          <w:szCs w:val="18"/>
          <w:color w:val="auto"/>
        </w:rPr>
      </w:pPr>
      <w:r>
        <w:rPr>
          <w:rFonts w:ascii="Arial" w:cs="Arial" w:eastAsia="Arial" w:hAnsi="Arial"/>
          <w:sz w:val="18"/>
          <w:szCs w:val="18"/>
          <w:i w:val="1"/>
          <w:iCs w:val="1"/>
          <w:color w:val="auto"/>
        </w:rPr>
        <w:t>Blue Sky Qualifications</w:t>
      </w:r>
      <w:r>
        <w:rPr>
          <w:rFonts w:ascii="Arial" w:cs="Arial" w:eastAsia="Arial" w:hAnsi="Arial"/>
          <w:sz w:val="18"/>
          <w:szCs w:val="18"/>
          <w:color w:val="auto"/>
        </w:rPr>
        <w:t>. The Company will use its reasonable best efforts, in cooperation with the Underwriters, to qualify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Securities for offering and sale under the applicable securities laws of such states and other jurisdictions (domestic or foreign) as the Representatives may reasonably designate and to maintain such qualifications in effect so long as required to complete the distribution of the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9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3" w:name="page404"/>
    <w:bookmarkEnd w:id="403"/>
    <w:p>
      <w:pPr>
        <w:jc w:val="both"/>
        <w:ind w:left="-8" w:firstLine="656"/>
        <w:spacing w:after="0" w:line="263" w:lineRule="auto"/>
        <w:tabs>
          <w:tab w:leader="none" w:pos="1414" w:val="left"/>
        </w:tabs>
        <w:numPr>
          <w:ilvl w:val="1"/>
          <w:numId w:val="259"/>
        </w:numPr>
        <w:rPr>
          <w:rFonts w:ascii="Arial" w:cs="Arial" w:eastAsia="Arial" w:hAnsi="Arial"/>
          <w:sz w:val="18"/>
          <w:szCs w:val="18"/>
          <w:color w:val="auto"/>
        </w:rPr>
      </w:pPr>
      <w:r>
        <w:rPr>
          <w:rFonts w:ascii="Arial" w:cs="Arial" w:eastAsia="Arial" w:hAnsi="Arial"/>
          <w:sz w:val="18"/>
          <w:szCs w:val="18"/>
          <w:i w:val="1"/>
          <w:iCs w:val="1"/>
          <w:color w:val="auto"/>
        </w:rPr>
        <w:t>Rule 158</w:t>
      </w:r>
      <w:r>
        <w:rPr>
          <w:rFonts w:ascii="Arial" w:cs="Arial" w:eastAsia="Arial" w:hAnsi="Arial"/>
          <w:sz w:val="18"/>
          <w:szCs w:val="18"/>
          <w:color w:val="auto"/>
        </w:rPr>
        <w:t>. The Company will timely file such reports pursuant to the Securities Exchange Act of 1934, as amended (the “1934 Act”) as</w:t>
      </w:r>
      <w:r>
        <w:rPr>
          <w:rFonts w:ascii="Arial" w:cs="Arial" w:eastAsia="Arial" w:hAnsi="Arial"/>
          <w:sz w:val="18"/>
          <w:szCs w:val="18"/>
          <w:i w:val="1"/>
          <w:iCs w:val="1"/>
          <w:color w:val="auto"/>
        </w:rPr>
        <w:t xml:space="preserve"> </w:t>
      </w:r>
      <w:r>
        <w:rPr>
          <w:rFonts w:ascii="Arial" w:cs="Arial" w:eastAsia="Arial" w:hAnsi="Arial"/>
          <w:sz w:val="18"/>
          <w:szCs w:val="18"/>
          <w:color w:val="auto"/>
        </w:rPr>
        <w:t>are necessary in order to make generally available to its security holders as soon as practicable an earnings statement for the purposes of, and to provide to the Underwriters the benefits contemplated by, the last paragraph of Section 11(a) of the 1933 Act.</w:t>
      </w:r>
    </w:p>
    <w:p>
      <w:pPr>
        <w:spacing w:after="0" w:line="183" w:lineRule="exact"/>
        <w:rPr>
          <w:rFonts w:ascii="Arial" w:cs="Arial" w:eastAsia="Arial" w:hAnsi="Arial"/>
          <w:sz w:val="18"/>
          <w:szCs w:val="18"/>
          <w:color w:val="auto"/>
        </w:rPr>
      </w:pPr>
    </w:p>
    <w:p>
      <w:pPr>
        <w:ind w:left="-8" w:right="20" w:firstLine="656"/>
        <w:spacing w:after="0" w:line="277" w:lineRule="auto"/>
        <w:tabs>
          <w:tab w:leader="none" w:pos="1484" w:val="left"/>
        </w:tabs>
        <w:numPr>
          <w:ilvl w:val="1"/>
          <w:numId w:val="259"/>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The Company will use the net proceeds received by it from the sale of the Securities in the manner specified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the General Disclosure Package and the Prospectus under “Use of Proceeds.”</w:t>
      </w:r>
    </w:p>
    <w:p>
      <w:pPr>
        <w:spacing w:after="0" w:line="170" w:lineRule="exact"/>
        <w:rPr>
          <w:rFonts w:ascii="Arial" w:cs="Arial" w:eastAsia="Arial" w:hAnsi="Arial"/>
          <w:sz w:val="18"/>
          <w:szCs w:val="18"/>
          <w:color w:val="auto"/>
        </w:rPr>
      </w:pPr>
    </w:p>
    <w:p>
      <w:pPr>
        <w:ind w:left="-8" w:firstLine="656"/>
        <w:spacing w:after="0" w:line="277" w:lineRule="auto"/>
        <w:tabs>
          <w:tab w:leader="none" w:pos="1403" w:val="left"/>
        </w:tabs>
        <w:numPr>
          <w:ilvl w:val="1"/>
          <w:numId w:val="259"/>
        </w:numPr>
        <w:rPr>
          <w:rFonts w:ascii="Arial" w:cs="Arial" w:eastAsia="Arial" w:hAnsi="Arial"/>
          <w:sz w:val="18"/>
          <w:szCs w:val="18"/>
          <w:color w:val="auto"/>
        </w:rPr>
      </w:pPr>
      <w:r>
        <w:rPr>
          <w:rFonts w:ascii="Arial" w:cs="Arial" w:eastAsia="Arial" w:hAnsi="Arial"/>
          <w:sz w:val="18"/>
          <w:szCs w:val="18"/>
          <w:i w:val="1"/>
          <w:iCs w:val="1"/>
          <w:color w:val="auto"/>
        </w:rPr>
        <w:t>Listing</w:t>
      </w:r>
      <w:r>
        <w:rPr>
          <w:rFonts w:ascii="Arial" w:cs="Arial" w:eastAsia="Arial" w:hAnsi="Arial"/>
          <w:sz w:val="18"/>
          <w:szCs w:val="18"/>
          <w:color w:val="auto"/>
        </w:rPr>
        <w:t>. The Company will use its reasonable best efforts to maintain its listing of the Common Shares (including the Option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on The Nasdaq Global Select Market.</w:t>
      </w:r>
    </w:p>
    <w:p>
      <w:pPr>
        <w:spacing w:after="0" w:line="170" w:lineRule="exact"/>
        <w:rPr>
          <w:rFonts w:ascii="Arial" w:cs="Arial" w:eastAsia="Arial" w:hAnsi="Arial"/>
          <w:sz w:val="18"/>
          <w:szCs w:val="18"/>
          <w:color w:val="auto"/>
        </w:rPr>
      </w:pPr>
    </w:p>
    <w:p>
      <w:pPr>
        <w:jc w:val="both"/>
        <w:ind w:left="-8" w:firstLine="656"/>
        <w:spacing w:after="0" w:line="284" w:lineRule="auto"/>
        <w:tabs>
          <w:tab w:leader="none" w:pos="1444" w:val="left"/>
        </w:tabs>
        <w:numPr>
          <w:ilvl w:val="1"/>
          <w:numId w:val="259"/>
        </w:numPr>
        <w:rPr>
          <w:rFonts w:ascii="Arial" w:cs="Arial" w:eastAsia="Arial" w:hAnsi="Arial"/>
          <w:sz w:val="16"/>
          <w:szCs w:val="16"/>
          <w:color w:val="auto"/>
        </w:rPr>
      </w:pPr>
      <w:r>
        <w:rPr>
          <w:rFonts w:ascii="Arial" w:cs="Arial" w:eastAsia="Arial" w:hAnsi="Arial"/>
          <w:sz w:val="16"/>
          <w:szCs w:val="16"/>
          <w:i w:val="1"/>
          <w:iCs w:val="1"/>
          <w:color w:val="auto"/>
        </w:rPr>
        <w:t>Restriction on Sale of Securities</w:t>
      </w:r>
      <w:r>
        <w:rPr>
          <w:rFonts w:ascii="Arial" w:cs="Arial" w:eastAsia="Arial" w:hAnsi="Arial"/>
          <w:sz w:val="16"/>
          <w:szCs w:val="16"/>
          <w:color w:val="auto"/>
        </w:rPr>
        <w:t>. During a period of 60 days from the date of the Prospectus, the Company will not, without the prior</w:t>
      </w:r>
      <w:r>
        <w:rPr>
          <w:rFonts w:ascii="Arial" w:cs="Arial" w:eastAsia="Arial" w:hAnsi="Arial"/>
          <w:sz w:val="16"/>
          <w:szCs w:val="16"/>
          <w:i w:val="1"/>
          <w:iCs w:val="1"/>
          <w:color w:val="auto"/>
        </w:rPr>
        <w:t xml:space="preserve"> </w:t>
      </w:r>
      <w:r>
        <w:rPr>
          <w:rFonts w:ascii="Arial" w:cs="Arial" w:eastAsia="Arial" w:hAnsi="Arial"/>
          <w:sz w:val="16"/>
          <w:szCs w:val="16"/>
          <w:color w:val="auto"/>
        </w:rPr>
        <w:t>written consent of the Representatives, (i) directly or indirectly, offer, pledge, sell, contract to sell, sell any option or contract to purchase, purchase any option or contract to sell, grant any option, right or warrant to purchase or otherwise transfer or dispose of any capital stock of the Company, or any securities convertible into or exercisable or exchangeable for capital stock of the Company or file any registration statement under the 1933 Act with respect to any of the foregoing or (ii) enter into any swap or any other agreement or any transaction that transfers, in whole or in part, directly or indirectly, the economic consequence of ownership of the Common Shares, whether any such swap or transaction described in clause (i) or (ii) above is to be settled by delivery of Common Shares or other securities, in cash or otherwise. The foregoing sentence shall not apply to: (A) the Securities to be sold hereunder,</w:t>
      </w:r>
    </w:p>
    <w:p>
      <w:pPr>
        <w:spacing w:after="0" w:line="2" w:lineRule="exact"/>
        <w:rPr>
          <w:rFonts w:ascii="Arial" w:cs="Arial" w:eastAsia="Arial" w:hAnsi="Arial"/>
          <w:sz w:val="16"/>
          <w:szCs w:val="16"/>
          <w:color w:val="auto"/>
        </w:rPr>
      </w:pPr>
    </w:p>
    <w:p>
      <w:pPr>
        <w:jc w:val="both"/>
        <w:ind w:left="-8" w:firstLine="8"/>
        <w:spacing w:after="0" w:line="285" w:lineRule="auto"/>
        <w:tabs>
          <w:tab w:leader="none" w:pos="284" w:val="left"/>
        </w:tabs>
        <w:numPr>
          <w:ilvl w:val="0"/>
          <w:numId w:val="260"/>
        </w:numPr>
        <w:rPr>
          <w:rFonts w:ascii="Arial" w:cs="Arial" w:eastAsia="Arial" w:hAnsi="Arial"/>
          <w:sz w:val="16"/>
          <w:szCs w:val="16"/>
          <w:color w:val="auto"/>
        </w:rPr>
      </w:pPr>
      <w:r>
        <w:rPr>
          <w:rFonts w:ascii="Arial" w:cs="Arial" w:eastAsia="Arial" w:hAnsi="Arial"/>
          <w:sz w:val="16"/>
          <w:szCs w:val="16"/>
          <w:color w:val="auto"/>
        </w:rPr>
        <w:t>any Common Shares issued or delivered by the Company upon the exercise of an option or warrant or the conversion of a security outstanding on the date hereof and referred to in the Registration Statement, the General Disclosure Package and the Prospectus, (C) any Common Shares issued or delivered or options to purchase Common Shares granted pursuant to existing employee benefit plans of the Company or CureVac AG referred to in the Registration Statement, the General Disclosure Package and the Prospectus, (D) any Common Shares issued pursuant to any non-employee director stock plan or dividend reinvestment plan referred to in the Registration Statement, the General Disclosure Package and the Prospectus, (E) the filing by the Company of any registration statement on Form S-8 or a successor form thereto with respect to the registration of securities to be offered under any employee benefit or equity incentive plan referred to in the Registration Statement, the General Disclosure Package and the Prospectus, and (F) Common Shares or other securities issued in connection with a transaction that includes a commercial relationship (including strategic alliances, commercial lending relationships, joint ventures, licensing agreements, collaboration agreements and strategic acquisitions), provided that (i) the aggregate number of shares issued pursuant to this clause (F) shall not exceed 10.0% of the total number of outstanding Common Shares immediately following the issuance and sale of the Common Shares and (ii) the recipient of any such Common Shares or securities issued pursuant to this clause (F) during the 60-day restricted period shall enter into an agreement substantially in the form of Exhibit D hereto. For the avoidance of doubt the restrictions in this section 3(i) shall not apply to any obligation of the Company in effect as of the date of this Agreement and described in the General Disclosure Package and the Prospectus.</w:t>
      </w:r>
    </w:p>
    <w:p>
      <w:pPr>
        <w:spacing w:after="0" w:line="169" w:lineRule="exact"/>
        <w:rPr>
          <w:rFonts w:ascii="Arial" w:cs="Arial" w:eastAsia="Arial" w:hAnsi="Arial"/>
          <w:sz w:val="16"/>
          <w:szCs w:val="16"/>
          <w:color w:val="auto"/>
        </w:rPr>
      </w:pPr>
    </w:p>
    <w:p>
      <w:pPr>
        <w:ind w:left="1352" w:hanging="704"/>
        <w:spacing w:after="0"/>
        <w:tabs>
          <w:tab w:leader="none" w:pos="1352" w:val="left"/>
        </w:tabs>
        <w:numPr>
          <w:ilvl w:val="1"/>
          <w:numId w:val="260"/>
        </w:numPr>
        <w:rPr>
          <w:rFonts w:ascii="Arial" w:cs="Arial" w:eastAsia="Arial" w:hAnsi="Arial"/>
          <w:sz w:val="18"/>
          <w:szCs w:val="18"/>
          <w:color w:val="auto"/>
        </w:rPr>
      </w:pPr>
      <w:r>
        <w:rPr>
          <w:rFonts w:ascii="Arial" w:cs="Arial" w:eastAsia="Arial" w:hAnsi="Arial"/>
          <w:sz w:val="18"/>
          <w:szCs w:val="18"/>
          <w:i w:val="1"/>
          <w:iCs w:val="1"/>
          <w:color w:val="auto"/>
        </w:rPr>
        <w:t>[Reserved</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225" w:lineRule="exact"/>
        <w:rPr>
          <w:rFonts w:ascii="Arial" w:cs="Arial" w:eastAsia="Arial" w:hAnsi="Arial"/>
          <w:sz w:val="18"/>
          <w:szCs w:val="18"/>
          <w:color w:val="auto"/>
        </w:rPr>
      </w:pPr>
    </w:p>
    <w:p>
      <w:pPr>
        <w:jc w:val="both"/>
        <w:ind w:left="-8" w:firstLine="656"/>
        <w:spacing w:after="0" w:line="259" w:lineRule="auto"/>
        <w:tabs>
          <w:tab w:leader="none" w:pos="1565" w:val="left"/>
        </w:tabs>
        <w:numPr>
          <w:ilvl w:val="1"/>
          <w:numId w:val="260"/>
        </w:numPr>
        <w:rPr>
          <w:rFonts w:ascii="Arial" w:cs="Arial" w:eastAsia="Arial" w:hAnsi="Arial"/>
          <w:sz w:val="18"/>
          <w:szCs w:val="18"/>
          <w:color w:val="auto"/>
        </w:rPr>
      </w:pPr>
      <w:r>
        <w:rPr>
          <w:rFonts w:ascii="Arial" w:cs="Arial" w:eastAsia="Arial" w:hAnsi="Arial"/>
          <w:sz w:val="18"/>
          <w:szCs w:val="18"/>
          <w:i w:val="1"/>
          <w:iCs w:val="1"/>
          <w:color w:val="auto"/>
        </w:rPr>
        <w:t>Reporting Requirements</w:t>
      </w:r>
      <w:r>
        <w:rPr>
          <w:rFonts w:ascii="Arial" w:cs="Arial" w:eastAsia="Arial" w:hAnsi="Arial"/>
          <w:sz w:val="18"/>
          <w:szCs w:val="18"/>
          <w:color w:val="auto"/>
        </w:rPr>
        <w:t>. The Company, during the period when a Prospectus relating to the Securities is (or, but for the exception</w:t>
      </w:r>
      <w:r>
        <w:rPr>
          <w:rFonts w:ascii="Arial" w:cs="Arial" w:eastAsia="Arial" w:hAnsi="Arial"/>
          <w:sz w:val="18"/>
          <w:szCs w:val="18"/>
          <w:i w:val="1"/>
          <w:iCs w:val="1"/>
          <w:color w:val="auto"/>
        </w:rPr>
        <w:t xml:space="preserve"> </w:t>
      </w:r>
      <w:r>
        <w:rPr>
          <w:rFonts w:ascii="Arial" w:cs="Arial" w:eastAsia="Arial" w:hAnsi="Arial"/>
          <w:sz w:val="18"/>
          <w:szCs w:val="18"/>
          <w:color w:val="auto"/>
        </w:rPr>
        <w:t>afforded by Rule 172, would be) required to be delivered under the 1933 Act, will file all documents required to be filed with the Commission pursuant to the 1934 Act within the time periods required by the 1934 Act and 1934 Act Regulations. Additionally, the Company shall report the use of proceeds from the issuance of the Shares as may be required under Rule 463 under the 1933 Act.</w:t>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9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404" w:name="page405"/>
    <w:bookmarkEnd w:id="404"/>
    <w:p>
      <w:pPr>
        <w:jc w:val="both"/>
        <w:ind w:left="-8" w:firstLine="656"/>
        <w:spacing w:after="0" w:line="286" w:lineRule="auto"/>
        <w:tabs>
          <w:tab w:leader="none" w:pos="1363" w:val="left"/>
        </w:tabs>
        <w:numPr>
          <w:ilvl w:val="0"/>
          <w:numId w:val="261"/>
        </w:numPr>
        <w:rPr>
          <w:rFonts w:ascii="Arial" w:cs="Arial" w:eastAsia="Arial" w:hAnsi="Arial"/>
          <w:sz w:val="16"/>
          <w:szCs w:val="16"/>
          <w:color w:val="auto"/>
        </w:rPr>
      </w:pPr>
      <w:r>
        <w:rPr>
          <w:rFonts w:ascii="Arial" w:cs="Arial" w:eastAsia="Arial" w:hAnsi="Arial"/>
          <w:sz w:val="16"/>
          <w:szCs w:val="16"/>
          <w:i w:val="1"/>
          <w:iCs w:val="1"/>
          <w:color w:val="auto"/>
        </w:rPr>
        <w:t>Issuer Free Writing Prospectuses</w:t>
      </w:r>
      <w:r>
        <w:rPr>
          <w:rFonts w:ascii="Arial" w:cs="Arial" w:eastAsia="Arial" w:hAnsi="Arial"/>
          <w:sz w:val="16"/>
          <w:szCs w:val="16"/>
          <w:color w:val="auto"/>
        </w:rPr>
        <w:t>. The Company agrees that, unless it obtains the prior written consent of the Representatives, it will not</w:t>
      </w:r>
      <w:r>
        <w:rPr>
          <w:rFonts w:ascii="Arial" w:cs="Arial" w:eastAsia="Arial" w:hAnsi="Arial"/>
          <w:sz w:val="16"/>
          <w:szCs w:val="16"/>
          <w:i w:val="1"/>
          <w:iCs w:val="1"/>
          <w:color w:val="auto"/>
        </w:rPr>
        <w:t xml:space="preserve"> </w:t>
      </w:r>
      <w:r>
        <w:rPr>
          <w:rFonts w:ascii="Arial" w:cs="Arial" w:eastAsia="Arial" w:hAnsi="Arial"/>
          <w:sz w:val="16"/>
          <w:szCs w:val="16"/>
          <w:color w:val="auto"/>
        </w:rPr>
        <w:t>make any offer relating to the Securities that would constitute an Issuer Free Writing Prospectus or that would otherwise constitute a “free writing prospectus,” or a portion thereof, required to be filed by the Company with the Commission or retained by the Company under Rule 433; provided that the Representatives will be deemed to have consented to the Issuer Free Writing Prospectuses listed on Schedule B-2 hereto and any “road show that is a written communication” within the meaning of Rule 433(d)(8)(i) that has been reviewed by the Representatives. The Company represents that it has treated or agrees that it will treat each such free writing prospectus consented to, or deemed consented to, by the Representatives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any preliminary prospectus or the Prospectus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Issuer Free Writing Prospectus to eliminate or correct such conflict, untrue statement or omission.</w:t>
      </w:r>
    </w:p>
    <w:p>
      <w:pPr>
        <w:spacing w:after="0" w:line="177" w:lineRule="exact"/>
        <w:rPr>
          <w:rFonts w:ascii="Arial" w:cs="Arial" w:eastAsia="Arial" w:hAnsi="Arial"/>
          <w:sz w:val="16"/>
          <w:szCs w:val="16"/>
          <w:color w:val="auto"/>
        </w:rPr>
      </w:pPr>
    </w:p>
    <w:p>
      <w:pPr>
        <w:ind w:left="1452" w:hanging="804"/>
        <w:spacing w:after="0"/>
        <w:tabs>
          <w:tab w:leader="none" w:pos="1452" w:val="left"/>
        </w:tabs>
        <w:numPr>
          <w:ilvl w:val="0"/>
          <w:numId w:val="261"/>
        </w:numPr>
        <w:rPr>
          <w:rFonts w:ascii="Arial" w:cs="Arial" w:eastAsia="Arial" w:hAnsi="Arial"/>
          <w:sz w:val="18"/>
          <w:szCs w:val="18"/>
          <w:color w:val="auto"/>
        </w:rPr>
      </w:pPr>
      <w:r>
        <w:rPr>
          <w:rFonts w:ascii="Arial" w:cs="Arial" w:eastAsia="Arial" w:hAnsi="Arial"/>
          <w:sz w:val="18"/>
          <w:szCs w:val="18"/>
          <w:i w:val="1"/>
          <w:iCs w:val="1"/>
          <w:color w:val="auto"/>
        </w:rPr>
        <w:t>[Reserved.]</w:t>
      </w:r>
      <w:r>
        <w:rPr>
          <w:rFonts w:ascii="Arial" w:cs="Arial" w:eastAsia="Arial" w:hAnsi="Arial"/>
          <w:sz w:val="29"/>
          <w:szCs w:val="29"/>
          <w:i w:val="1"/>
          <w:iCs w:val="1"/>
          <w:color w:val="auto"/>
          <w:vertAlign w:val="superscript"/>
        </w:rPr>
        <w:t>1</w:t>
      </w:r>
    </w:p>
    <w:p>
      <w:pPr>
        <w:spacing w:after="0" w:line="135" w:lineRule="exact"/>
        <w:rPr>
          <w:sz w:val="20"/>
          <w:szCs w:val="20"/>
          <w:color w:val="auto"/>
        </w:rPr>
      </w:pPr>
    </w:p>
    <w:p>
      <w:pPr>
        <w:jc w:val="both"/>
        <w:ind w:left="-8" w:firstLine="656"/>
        <w:spacing w:after="0" w:line="275" w:lineRule="auto"/>
        <w:tabs>
          <w:tab w:leader="none" w:pos="1389" w:val="left"/>
        </w:tabs>
        <w:numPr>
          <w:ilvl w:val="1"/>
          <w:numId w:val="262"/>
        </w:numPr>
        <w:rPr>
          <w:rFonts w:ascii="Arial" w:cs="Arial" w:eastAsia="Arial" w:hAnsi="Arial"/>
          <w:sz w:val="17"/>
          <w:szCs w:val="17"/>
          <w:color w:val="auto"/>
        </w:rPr>
      </w:pPr>
      <w:r>
        <w:rPr>
          <w:rFonts w:ascii="Arial" w:cs="Arial" w:eastAsia="Arial" w:hAnsi="Arial"/>
          <w:sz w:val="17"/>
          <w:szCs w:val="17"/>
          <w:i w:val="1"/>
          <w:iCs w:val="1"/>
          <w:color w:val="auto"/>
        </w:rPr>
        <w:t xml:space="preserve">Testing-the-Waters Materials. </w:t>
      </w:r>
      <w:r>
        <w:rPr>
          <w:rFonts w:ascii="Arial" w:cs="Arial" w:eastAsia="Arial" w:hAnsi="Arial"/>
          <w:sz w:val="17"/>
          <w:szCs w:val="17"/>
          <w:color w:val="auto"/>
        </w:rPr>
        <w:t>If at any time following the distribution of any Written Testing-the-Waters Communication there occurred</w:t>
      </w:r>
      <w:r>
        <w:rPr>
          <w:rFonts w:ascii="Arial" w:cs="Arial" w:eastAsia="Arial" w:hAnsi="Arial"/>
          <w:sz w:val="17"/>
          <w:szCs w:val="17"/>
          <w:i w:val="1"/>
          <w:iCs w:val="1"/>
          <w:color w:val="auto"/>
        </w:rPr>
        <w:t xml:space="preserve"> </w:t>
      </w:r>
      <w:r>
        <w:rPr>
          <w:rFonts w:ascii="Arial" w:cs="Arial" w:eastAsia="Arial" w:hAnsi="Arial"/>
          <w:sz w:val="17"/>
          <w:szCs w:val="17"/>
          <w:color w:val="auto"/>
        </w:rPr>
        <w:t>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w:t>
      </w:r>
    </w:p>
    <w:p>
      <w:pPr>
        <w:spacing w:after="0" w:line="176" w:lineRule="exact"/>
        <w:rPr>
          <w:rFonts w:ascii="Arial" w:cs="Arial" w:eastAsia="Arial" w:hAnsi="Arial"/>
          <w:sz w:val="17"/>
          <w:szCs w:val="17"/>
          <w:color w:val="auto"/>
        </w:rPr>
      </w:pPr>
    </w:p>
    <w:p>
      <w:pPr>
        <w:jc w:val="both"/>
        <w:ind w:left="-8" w:firstLine="656"/>
        <w:spacing w:after="0" w:line="291" w:lineRule="auto"/>
        <w:tabs>
          <w:tab w:leader="none" w:pos="1470" w:val="left"/>
        </w:tabs>
        <w:numPr>
          <w:ilvl w:val="1"/>
          <w:numId w:val="262"/>
        </w:numPr>
        <w:rPr>
          <w:rFonts w:ascii="Arial" w:cs="Arial" w:eastAsia="Arial" w:hAnsi="Arial"/>
          <w:sz w:val="16"/>
          <w:szCs w:val="16"/>
          <w:color w:val="auto"/>
        </w:rPr>
      </w:pPr>
      <w:r>
        <w:rPr>
          <w:rFonts w:ascii="Arial" w:cs="Arial" w:eastAsia="Arial" w:hAnsi="Arial"/>
          <w:sz w:val="16"/>
          <w:szCs w:val="16"/>
          <w:i w:val="1"/>
          <w:iCs w:val="1"/>
          <w:color w:val="auto"/>
        </w:rPr>
        <w:t>Emerging Growth Company Status</w:t>
      </w:r>
      <w:r>
        <w:rPr>
          <w:rFonts w:ascii="Arial" w:cs="Arial" w:eastAsia="Arial" w:hAnsi="Arial"/>
          <w:sz w:val="16"/>
          <w:szCs w:val="16"/>
          <w:color w:val="auto"/>
        </w:rPr>
        <w:t>. The Company will promptly notify the Representatives if the Company ceases to be an Emerging</w:t>
      </w:r>
      <w:r>
        <w:rPr>
          <w:rFonts w:ascii="Arial" w:cs="Arial" w:eastAsia="Arial" w:hAnsi="Arial"/>
          <w:sz w:val="16"/>
          <w:szCs w:val="16"/>
          <w:i w:val="1"/>
          <w:iCs w:val="1"/>
          <w:color w:val="auto"/>
        </w:rPr>
        <w:t xml:space="preserve"> </w:t>
      </w:r>
      <w:r>
        <w:rPr>
          <w:rFonts w:ascii="Arial" w:cs="Arial" w:eastAsia="Arial" w:hAnsi="Arial"/>
          <w:sz w:val="16"/>
          <w:szCs w:val="16"/>
          <w:color w:val="auto"/>
        </w:rPr>
        <w:t>Growth Company at any time prior to the later of (i) completion of the distribution of the Securities within the meaning of the Securities Act and</w:t>
      </w:r>
    </w:p>
    <w:p>
      <w:pPr>
        <w:ind w:left="272" w:hanging="272"/>
        <w:spacing w:after="0"/>
        <w:tabs>
          <w:tab w:leader="none" w:pos="27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completion of the 60-day restricted period referred to in Section 3(i).</w:t>
      </w:r>
    </w:p>
    <w:p>
      <w:pPr>
        <w:spacing w:after="0" w:line="210" w:lineRule="exact"/>
        <w:rPr>
          <w:rFonts w:ascii="Arial" w:cs="Arial" w:eastAsia="Arial" w:hAnsi="Arial"/>
          <w:sz w:val="18"/>
          <w:szCs w:val="18"/>
          <w:color w:val="auto"/>
        </w:rPr>
      </w:pPr>
    </w:p>
    <w:p>
      <w:pPr>
        <w:jc w:val="both"/>
        <w:ind w:left="-8" w:firstLine="656"/>
        <w:spacing w:after="0" w:line="263" w:lineRule="auto"/>
        <w:tabs>
          <w:tab w:leader="none" w:pos="1403" w:val="left"/>
        </w:tabs>
        <w:numPr>
          <w:ilvl w:val="1"/>
          <w:numId w:val="263"/>
        </w:numPr>
        <w:rPr>
          <w:rFonts w:ascii="Arial" w:cs="Arial" w:eastAsia="Arial" w:hAnsi="Arial"/>
          <w:sz w:val="18"/>
          <w:szCs w:val="18"/>
          <w:color w:val="auto"/>
        </w:rPr>
      </w:pPr>
      <w:r>
        <w:rPr>
          <w:rFonts w:ascii="Arial" w:cs="Arial" w:eastAsia="Arial" w:hAnsi="Arial"/>
          <w:sz w:val="18"/>
          <w:szCs w:val="18"/>
          <w:i w:val="1"/>
          <w:iCs w:val="1"/>
          <w:color w:val="auto"/>
        </w:rPr>
        <w:t>Tax Indemnity</w:t>
      </w:r>
      <w:r>
        <w:rPr>
          <w:rFonts w:ascii="Arial" w:cs="Arial" w:eastAsia="Arial" w:hAnsi="Arial"/>
          <w:sz w:val="18"/>
          <w:szCs w:val="18"/>
          <w:color w:val="auto"/>
        </w:rPr>
        <w:t>. The Company will indemnify and hold harmless the Underwriters against any Transfer Taxes, including any interest and</w:t>
      </w:r>
      <w:r>
        <w:rPr>
          <w:rFonts w:ascii="Arial" w:cs="Arial" w:eastAsia="Arial" w:hAnsi="Arial"/>
          <w:sz w:val="18"/>
          <w:szCs w:val="18"/>
          <w:i w:val="1"/>
          <w:iCs w:val="1"/>
          <w:color w:val="auto"/>
        </w:rPr>
        <w:t xml:space="preserve"> </w:t>
      </w:r>
      <w:r>
        <w:rPr>
          <w:rFonts w:ascii="Arial" w:cs="Arial" w:eastAsia="Arial" w:hAnsi="Arial"/>
          <w:sz w:val="18"/>
          <w:szCs w:val="18"/>
          <w:color w:val="auto"/>
        </w:rPr>
        <w:t>penalties, which are required to be paid on (i) the execution, delivery and performance of this Agreement, or (ii) the issuance and delivery of the Securities in the manner contemplated by this Agreement and the Prospectus.</w:t>
      </w:r>
    </w:p>
    <w:p>
      <w:pPr>
        <w:spacing w:after="0" w:line="183" w:lineRule="exact"/>
        <w:rPr>
          <w:rFonts w:ascii="Arial" w:cs="Arial" w:eastAsia="Arial" w:hAnsi="Arial"/>
          <w:sz w:val="18"/>
          <w:szCs w:val="18"/>
          <w:color w:val="auto"/>
        </w:rPr>
      </w:pPr>
    </w:p>
    <w:p>
      <w:pPr>
        <w:jc w:val="both"/>
        <w:ind w:left="-8" w:firstLine="656"/>
        <w:spacing w:after="0" w:line="273" w:lineRule="auto"/>
        <w:tabs>
          <w:tab w:leader="none" w:pos="1603" w:val="left"/>
        </w:tabs>
        <w:numPr>
          <w:ilvl w:val="1"/>
          <w:numId w:val="263"/>
        </w:numPr>
        <w:rPr>
          <w:rFonts w:ascii="Arial" w:cs="Arial" w:eastAsia="Arial" w:hAnsi="Arial"/>
          <w:sz w:val="17"/>
          <w:szCs w:val="17"/>
          <w:color w:val="auto"/>
        </w:rPr>
      </w:pPr>
      <w:r>
        <w:rPr>
          <w:rFonts w:ascii="Arial" w:cs="Arial" w:eastAsia="Arial" w:hAnsi="Arial"/>
          <w:sz w:val="17"/>
          <w:szCs w:val="17"/>
          <w:i w:val="1"/>
          <w:iCs w:val="1"/>
          <w:color w:val="auto"/>
        </w:rPr>
        <w:t xml:space="preserve">No Withholding Taxes. </w:t>
      </w:r>
      <w:r>
        <w:rPr>
          <w:rFonts w:ascii="Arial" w:cs="Arial" w:eastAsia="Arial" w:hAnsi="Arial"/>
          <w:sz w:val="17"/>
          <w:szCs w:val="17"/>
          <w:color w:val="auto"/>
        </w:rPr>
        <w:t>The Company agrees that all amounts payable hereunder shall be paid free and clear of, and without 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deduction or withholding for or on account of, any current or future taxes, levies, imposts, duties, charges or other deductions or withholdings levied in any jurisdiction from or through which payment is made on behalf of the Company, unless such deduction or withholding is required by applicable law, in which event the Company will pay additional amounts so that the persons entitled to such payments will receive the amount that such persons would otherwise have received had such deduction or withholding not been required;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upon request, each such person shall cooperate reasonably with the Company to reduce or eliminate amounts required to be so deducted or 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178308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90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5" w:lineRule="exact"/>
        <w:rPr>
          <w:sz w:val="20"/>
          <w:szCs w:val="20"/>
          <w:color w:val="auto"/>
        </w:rPr>
      </w:pPr>
    </w:p>
    <w:p>
      <w:pPr>
        <w:ind w:left="5532" w:right="5340" w:hanging="5532"/>
        <w:spacing w:after="0" w:line="740" w:lineRule="auto"/>
        <w:tabs>
          <w:tab w:leader="none" w:pos="112" w:val="left"/>
        </w:tabs>
        <w:numPr>
          <w:ilvl w:val="0"/>
          <w:numId w:val="264"/>
        </w:numPr>
        <w:rPr>
          <w:rFonts w:ascii="Arial" w:cs="Arial" w:eastAsia="Arial" w:hAnsi="Arial"/>
          <w:sz w:val="27"/>
          <w:szCs w:val="27"/>
          <w:color w:val="auto"/>
          <w:vertAlign w:val="superscript"/>
        </w:rPr>
      </w:pPr>
      <w:r>
        <w:rPr>
          <w:rFonts w:ascii="Arial" w:cs="Arial" w:eastAsia="Arial" w:hAnsi="Arial"/>
          <w:sz w:val="16"/>
          <w:szCs w:val="16"/>
          <w:color w:val="auto"/>
        </w:rPr>
        <w:t>Note to LW: CureVac is not a public company and this is not required any more.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-401320</wp:posOffset>
            </wp:positionV>
            <wp:extent cx="713232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9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405" w:name="page406"/>
    <w:bookmarkEnd w:id="405"/>
    <w:p>
      <w:pPr>
        <w:ind w:left="660"/>
        <w:spacing w:after="0"/>
        <w:tabs>
          <w:tab w:leader="none" w:pos="184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5"/>
          <w:szCs w:val="15"/>
          <w:u w:val="single" w:color="auto"/>
          <w:color w:val="auto"/>
        </w:rPr>
        <w:t>Payment of Expenses</w:t>
      </w:r>
      <w:r>
        <w:rPr>
          <w:rFonts w:ascii="Arial" w:cs="Arial" w:eastAsia="Arial" w:hAnsi="Arial"/>
          <w:sz w:val="15"/>
          <w:szCs w:val="15"/>
          <w:color w:val="auto"/>
        </w:rPr>
        <w:t>.</w:t>
      </w:r>
    </w:p>
    <w:p>
      <w:pPr>
        <w:spacing w:after="0" w:line="225" w:lineRule="exact"/>
        <w:rPr>
          <w:sz w:val="20"/>
          <w:szCs w:val="20"/>
          <w:color w:val="auto"/>
        </w:rPr>
      </w:pPr>
    </w:p>
    <w:p>
      <w:pPr>
        <w:jc w:val="both"/>
        <w:ind w:firstLine="656"/>
        <w:spacing w:after="0" w:line="285" w:lineRule="auto"/>
        <w:tabs>
          <w:tab w:leader="none" w:pos="1387" w:val="left"/>
        </w:tabs>
        <w:numPr>
          <w:ilvl w:val="1"/>
          <w:numId w:val="265"/>
        </w:numPr>
        <w:rPr>
          <w:rFonts w:ascii="Arial" w:cs="Arial" w:eastAsia="Arial" w:hAnsi="Arial"/>
          <w:sz w:val="16"/>
          <w:szCs w:val="16"/>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The Company will pay or cause to be paid all expenses incident to the performance of their obligations under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(i) the preparation, printing and filing of the Registration Statement (including financial statements and exhibits) as originally filed and each amendment thereto, (ii) the preparation, printing and delivery to the Underwriters of copies of each preliminary prospectus, each Issuer Free Writing Prospectus and the Prospectus and any amendments or supplements thereto and any costs associated with electronic delivery of any of the foregoing by the Underwriters to investors, (iii) the preparation, issuance and delivery of the Securities to the Underwriters, including any stock or other Transfer Taxes,</w:t>
      </w:r>
    </w:p>
    <w:p>
      <w:pPr>
        <w:spacing w:after="0" w:line="1" w:lineRule="exact"/>
        <w:rPr>
          <w:rFonts w:ascii="Arial" w:cs="Arial" w:eastAsia="Arial" w:hAnsi="Arial"/>
          <w:sz w:val="16"/>
          <w:szCs w:val="16"/>
          <w:color w:val="auto"/>
        </w:rPr>
      </w:pPr>
    </w:p>
    <w:p>
      <w:pPr>
        <w:jc w:val="both"/>
        <w:ind w:firstLine="8"/>
        <w:spacing w:after="0" w:line="281" w:lineRule="auto"/>
        <w:tabs>
          <w:tab w:leader="none" w:pos="318" w:val="left"/>
        </w:tabs>
        <w:numPr>
          <w:ilvl w:val="0"/>
          <w:numId w:val="266"/>
        </w:numPr>
        <w:rPr>
          <w:rFonts w:ascii="Arial" w:cs="Arial" w:eastAsia="Arial" w:hAnsi="Arial"/>
          <w:sz w:val="16"/>
          <w:szCs w:val="16"/>
          <w:color w:val="auto"/>
        </w:rPr>
      </w:pPr>
      <w:r>
        <w:rPr>
          <w:rFonts w:ascii="Arial" w:cs="Arial" w:eastAsia="Arial" w:hAnsi="Arial"/>
          <w:sz w:val="16"/>
          <w:szCs w:val="16"/>
          <w:color w:val="auto"/>
        </w:rPr>
        <w:t>the fees and disbursements of the Company’s counsel, accountants and other advisors, (v) the qualification of the Securities under securities laws in accordance with the provisions of Section 3(e) hereof, including filing fees and the reasonable fees and disbursements of counsel for the Underwriters in connection therewith and in connection with the preparation of the Blue Sky Survey and any supplement thereto, (vi) the fees and expenses of any transfer agent or registrar for the Securities, (vii) the costs and expenses of the Company relating to investor presentations on any “road show” undertaken in connection with the marketing of the Securities, including without limitation, expenses associated with the production of road show slides and graphics, fees and expenses of any consultants engaged by the Company in connection with the road show presentations, travel and lodging expenses of the representatives and officers of the Company and any such consultants (provided that the travel, lodging and any car travel expenses of representatives of the Underwriters shall be paid for by the Underwriters), and fifty percent (50%) of the cost of any aircraft chartered in connection with the road show (with the Underwriters agreeing to pay for the other fifty percent (50%) of the cost of the aircraft, as well as any other travel and lodging expenses of the Underwriters in connection with the road show), (viii) the filing fees incident to, and the reasonable fees and disbursements of counsel to the Underwriters in connection with, the review by FINRA of the terms of the sale of the Securities provided that the amount payable by the Company pursuant to clause</w:t>
      </w:r>
    </w:p>
    <w:p>
      <w:pPr>
        <w:spacing w:after="0" w:line="6" w:lineRule="exact"/>
        <w:rPr>
          <w:rFonts w:ascii="Arial" w:cs="Arial" w:eastAsia="Arial" w:hAnsi="Arial"/>
          <w:sz w:val="16"/>
          <w:szCs w:val="16"/>
          <w:color w:val="auto"/>
        </w:rPr>
      </w:pPr>
    </w:p>
    <w:p>
      <w:pPr>
        <w:jc w:val="both"/>
        <w:ind w:firstLine="8"/>
        <w:spacing w:after="0" w:line="253" w:lineRule="auto"/>
        <w:tabs>
          <w:tab w:leader="none" w:pos="263"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above and this clause (viii), excluding requisite filing fees, shall not exceed $25,000, (ix) the fees and expenses incurred in connection with the listing of the Securities on The Nasdaq Global Select Market and (x) the costs and expenses (including, without limitation, any damages or other amounts payable in connection with legal or contractual liability) associated with the reforming of any contracts for sale of the Securities made by the Underwriters caused by a breach of the representation contained in the third sentence of Section 1(a)(ii).</w:t>
      </w:r>
    </w:p>
    <w:p>
      <w:pPr>
        <w:spacing w:after="0" w:line="192" w:lineRule="exact"/>
        <w:rPr>
          <w:rFonts w:ascii="Arial" w:cs="Arial" w:eastAsia="Arial" w:hAnsi="Arial"/>
          <w:sz w:val="18"/>
          <w:szCs w:val="18"/>
          <w:color w:val="auto"/>
        </w:rPr>
      </w:pPr>
    </w:p>
    <w:p>
      <w:pPr>
        <w:jc w:val="both"/>
        <w:ind w:firstLine="656"/>
        <w:spacing w:after="0" w:line="275" w:lineRule="auto"/>
        <w:tabs>
          <w:tab w:leader="none" w:pos="1600" w:val="left"/>
        </w:tabs>
        <w:numPr>
          <w:ilvl w:val="1"/>
          <w:numId w:val="266"/>
        </w:numPr>
        <w:rPr>
          <w:rFonts w:ascii="Arial" w:cs="Arial" w:eastAsia="Arial" w:hAnsi="Arial"/>
          <w:sz w:val="17"/>
          <w:szCs w:val="17"/>
          <w:color w:val="auto"/>
        </w:rPr>
      </w:pPr>
      <w:r>
        <w:rPr>
          <w:rFonts w:ascii="Arial" w:cs="Arial" w:eastAsia="Arial" w:hAnsi="Arial"/>
          <w:sz w:val="17"/>
          <w:szCs w:val="17"/>
          <w:i w:val="1"/>
          <w:iCs w:val="1"/>
          <w:color w:val="auto"/>
        </w:rPr>
        <w:t>Termination of Agreement</w:t>
      </w:r>
      <w:r>
        <w:rPr>
          <w:rFonts w:ascii="Arial" w:cs="Arial" w:eastAsia="Arial" w:hAnsi="Arial"/>
          <w:sz w:val="17"/>
          <w:szCs w:val="17"/>
          <w:color w:val="auto"/>
        </w:rPr>
        <w:t>. If this Agreement is terminated by the Representatives in accordance with the provisions of Section 5,</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Section 9(a)(i) or (iii), or Section 10 hereof, the Company shall reimburse the non-defaulting Underwriters for all of their reasonable, documented out-of-pocket expenses, including the reasonable fees and disbursements of counsel for the Underwriters,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this Agreement is terminated pursuant to Section 10, the Company shall not be required to reimburse any costs, expenses, fees and disbursements whatsoever of the defaulting Underwriters that have failed to purchase the Securities that they have agreed to purchase hereunder.</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The obligations of the several Underwriters hereunder are subject to the accuracy of the representations and warranties of the Company contained herein or in certificates of any officer of the Company or any of its subsidiaries delivered pursuant to the provisions hereof, to the performance by the Company of its covenants and other obligations hereunder, and to the following further conditions: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9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6" w:name="page407"/>
    <w:bookmarkEnd w:id="406"/>
    <w:p>
      <w:pPr>
        <w:jc w:val="both"/>
        <w:ind w:left="-20" w:firstLine="656"/>
        <w:spacing w:after="0" w:line="254" w:lineRule="auto"/>
        <w:tabs>
          <w:tab w:leader="none" w:pos="1502" w:val="left"/>
        </w:tabs>
        <w:numPr>
          <w:ilvl w:val="0"/>
          <w:numId w:val="267"/>
        </w:numPr>
        <w:rPr>
          <w:rFonts w:ascii="Arial" w:cs="Arial" w:eastAsia="Arial" w:hAnsi="Arial"/>
          <w:sz w:val="18"/>
          <w:szCs w:val="18"/>
          <w:color w:val="auto"/>
        </w:rPr>
      </w:pPr>
      <w:r>
        <w:rPr>
          <w:rFonts w:ascii="Arial" w:cs="Arial" w:eastAsia="Arial" w:hAnsi="Arial"/>
          <w:sz w:val="18"/>
          <w:szCs w:val="18"/>
          <w:i w:val="1"/>
          <w:iCs w:val="1"/>
          <w:color w:val="auto"/>
        </w:rPr>
        <w:t>Effectiveness of Registration Statement; Rule 430A Information</w:t>
      </w:r>
      <w:r>
        <w:rPr>
          <w:rFonts w:ascii="Arial" w:cs="Arial" w:eastAsia="Arial" w:hAnsi="Arial"/>
          <w:sz w:val="18"/>
          <w:szCs w:val="18"/>
          <w:color w:val="auto"/>
        </w:rPr>
        <w:t>. The Registration Statement, including any Rule 462(b)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has become effective and, at the Closing Time,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contemplated; and the Company has complied with each request (if any) from the Commission for additional information. A prospectus containing the Rule 430A Information shall have been filed with the Commission in the manner and within the time frame required by Rule 424(b) without reliance on Rule 424(b)(8) or a post-effective amendment providing such information shall have been filed with, and declared effective by, the Commission in accordance with the requirements of Rule 430A.</w:t>
      </w:r>
    </w:p>
    <w:p>
      <w:pPr>
        <w:spacing w:after="0" w:line="191" w:lineRule="exact"/>
        <w:rPr>
          <w:rFonts w:ascii="Arial" w:cs="Arial" w:eastAsia="Arial" w:hAnsi="Arial"/>
          <w:sz w:val="18"/>
          <w:szCs w:val="18"/>
          <w:color w:val="auto"/>
        </w:rPr>
      </w:pPr>
    </w:p>
    <w:p>
      <w:pPr>
        <w:jc w:val="both"/>
        <w:ind w:left="-20" w:firstLine="656"/>
        <w:spacing w:after="0" w:line="286" w:lineRule="auto"/>
        <w:tabs>
          <w:tab w:leader="none" w:pos="1377" w:val="left"/>
        </w:tabs>
        <w:numPr>
          <w:ilvl w:val="0"/>
          <w:numId w:val="267"/>
        </w:numPr>
        <w:rPr>
          <w:rFonts w:ascii="Arial" w:cs="Arial" w:eastAsia="Arial" w:hAnsi="Arial"/>
          <w:sz w:val="17"/>
          <w:szCs w:val="17"/>
          <w:color w:val="auto"/>
        </w:rPr>
      </w:pPr>
      <w:r>
        <w:rPr>
          <w:rFonts w:ascii="Arial" w:cs="Arial" w:eastAsia="Arial" w:hAnsi="Arial"/>
          <w:sz w:val="17"/>
          <w:szCs w:val="17"/>
          <w:i w:val="1"/>
          <w:iCs w:val="1"/>
          <w:color w:val="auto"/>
        </w:rPr>
        <w:t>Opinion of Counsel for Company</w:t>
      </w:r>
      <w:r>
        <w:rPr>
          <w:rFonts w:ascii="Arial" w:cs="Arial" w:eastAsia="Arial" w:hAnsi="Arial"/>
          <w:sz w:val="17"/>
          <w:szCs w:val="17"/>
          <w:color w:val="auto"/>
        </w:rPr>
        <w:t>. At the Closing Time, the Representatives shall have received the favorable opinion, dated the Closing</w:t>
      </w:r>
      <w:r>
        <w:rPr>
          <w:rFonts w:ascii="Arial" w:cs="Arial" w:eastAsia="Arial" w:hAnsi="Arial"/>
          <w:sz w:val="17"/>
          <w:szCs w:val="17"/>
          <w:i w:val="1"/>
          <w:iCs w:val="1"/>
          <w:color w:val="auto"/>
        </w:rPr>
        <w:t xml:space="preserve"> </w:t>
      </w:r>
      <w:r>
        <w:rPr>
          <w:rFonts w:ascii="Arial" w:cs="Arial" w:eastAsia="Arial" w:hAnsi="Arial"/>
          <w:sz w:val="17"/>
          <w:szCs w:val="17"/>
          <w:color w:val="auto"/>
        </w:rPr>
        <w:t>Time, of Davis Polk &amp; Wardwell LLP, counsel for the Company, in form and substance satisfactory to counsel for the Underwriters, together with signed or reproduced copies of such letter for each of the other Underwriters to the effect set forth in Exhibit A hereto.</w:t>
      </w:r>
    </w:p>
    <w:p>
      <w:pPr>
        <w:spacing w:after="0" w:line="165" w:lineRule="exact"/>
        <w:rPr>
          <w:rFonts w:ascii="Arial" w:cs="Arial" w:eastAsia="Arial" w:hAnsi="Arial"/>
          <w:sz w:val="17"/>
          <w:szCs w:val="17"/>
          <w:color w:val="auto"/>
        </w:rPr>
      </w:pPr>
    </w:p>
    <w:p>
      <w:pPr>
        <w:jc w:val="both"/>
        <w:ind w:left="-20" w:firstLine="656"/>
        <w:spacing w:after="0" w:line="259" w:lineRule="auto"/>
        <w:tabs>
          <w:tab w:leader="none" w:pos="1435" w:val="left"/>
        </w:tabs>
        <w:numPr>
          <w:ilvl w:val="0"/>
          <w:numId w:val="267"/>
        </w:numPr>
        <w:rPr>
          <w:rFonts w:ascii="Arial" w:cs="Arial" w:eastAsia="Arial" w:hAnsi="Arial"/>
          <w:sz w:val="18"/>
          <w:szCs w:val="18"/>
          <w:color w:val="auto"/>
        </w:rPr>
      </w:pPr>
      <w:r>
        <w:rPr>
          <w:rFonts w:ascii="Arial" w:cs="Arial" w:eastAsia="Arial" w:hAnsi="Arial"/>
          <w:sz w:val="18"/>
          <w:szCs w:val="18"/>
          <w:i w:val="1"/>
          <w:iCs w:val="1"/>
          <w:color w:val="auto"/>
        </w:rPr>
        <w:t>Opinion of Intellectual Property Counsel for the Company</w:t>
      </w:r>
      <w:r>
        <w:rPr>
          <w:rFonts w:ascii="Arial" w:cs="Arial" w:eastAsia="Arial" w:hAnsi="Arial"/>
          <w:sz w:val="18"/>
          <w:szCs w:val="18"/>
          <w:color w:val="auto"/>
        </w:rPr>
        <w:t>. At the Closing Time, the Representatives shall have received the favorable</w:t>
      </w:r>
      <w:r>
        <w:rPr>
          <w:rFonts w:ascii="Arial" w:cs="Arial" w:eastAsia="Arial" w:hAnsi="Arial"/>
          <w:sz w:val="18"/>
          <w:szCs w:val="18"/>
          <w:i w:val="1"/>
          <w:iCs w:val="1"/>
          <w:color w:val="auto"/>
        </w:rPr>
        <w:t xml:space="preserve"> </w:t>
      </w:r>
      <w:r>
        <w:rPr>
          <w:rFonts w:ascii="Arial" w:cs="Arial" w:eastAsia="Arial" w:hAnsi="Arial"/>
          <w:sz w:val="18"/>
          <w:szCs w:val="18"/>
          <w:color w:val="auto"/>
        </w:rPr>
        <w:t>opinion, dated the Closing Time, of each of ParkerHighlander PLLC and Graf von Stosch Patentanwaltsgesellschaft mbH, intellectual property counsel for the Company, in form and substance satisfactory to counsel for the Underwriters, together with signed or reproduced copies of such letter for each of the other Underwriters to the effect set forth in Exhibits B-1 and B-2 hereto.</w:t>
      </w:r>
    </w:p>
    <w:p>
      <w:pPr>
        <w:spacing w:after="0" w:line="186" w:lineRule="exact"/>
        <w:rPr>
          <w:rFonts w:ascii="Arial" w:cs="Arial" w:eastAsia="Arial" w:hAnsi="Arial"/>
          <w:sz w:val="18"/>
          <w:szCs w:val="18"/>
          <w:color w:val="auto"/>
        </w:rPr>
      </w:pPr>
    </w:p>
    <w:p>
      <w:pPr>
        <w:jc w:val="both"/>
        <w:ind w:left="-20" w:firstLine="656"/>
        <w:spacing w:after="0" w:line="286" w:lineRule="auto"/>
        <w:tabs>
          <w:tab w:leader="none" w:pos="1431" w:val="left"/>
        </w:tabs>
        <w:numPr>
          <w:ilvl w:val="0"/>
          <w:numId w:val="267"/>
        </w:numPr>
        <w:rPr>
          <w:rFonts w:ascii="Arial" w:cs="Arial" w:eastAsia="Arial" w:hAnsi="Arial"/>
          <w:sz w:val="17"/>
          <w:szCs w:val="17"/>
          <w:color w:val="auto"/>
        </w:rPr>
      </w:pPr>
      <w:r>
        <w:rPr>
          <w:rFonts w:ascii="Arial" w:cs="Arial" w:eastAsia="Arial" w:hAnsi="Arial"/>
          <w:sz w:val="17"/>
          <w:szCs w:val="17"/>
          <w:i w:val="1"/>
          <w:iCs w:val="1"/>
          <w:color w:val="auto"/>
        </w:rPr>
        <w:t xml:space="preserve">Opinion of Dutch Counsel for the Company. </w:t>
      </w:r>
      <w:r>
        <w:rPr>
          <w:rFonts w:ascii="Arial" w:cs="Arial" w:eastAsia="Arial" w:hAnsi="Arial"/>
          <w:sz w:val="17"/>
          <w:szCs w:val="17"/>
          <w:color w:val="auto"/>
        </w:rPr>
        <w:t>At the Closing Time, the Representatives shall have received the favorable opinion, dated</w:t>
      </w:r>
      <w:r>
        <w:rPr>
          <w:rFonts w:ascii="Arial" w:cs="Arial" w:eastAsia="Arial" w:hAnsi="Arial"/>
          <w:sz w:val="17"/>
          <w:szCs w:val="17"/>
          <w:i w:val="1"/>
          <w:iCs w:val="1"/>
          <w:color w:val="auto"/>
        </w:rPr>
        <w:t xml:space="preserve"> </w:t>
      </w:r>
      <w:r>
        <w:rPr>
          <w:rFonts w:ascii="Arial" w:cs="Arial" w:eastAsia="Arial" w:hAnsi="Arial"/>
          <w:sz w:val="17"/>
          <w:szCs w:val="17"/>
          <w:color w:val="auto"/>
        </w:rPr>
        <w:t>the Closing Time, of NautaDutilh N.V., Dutch counsel for the Company, in form and substance satisfactory to counsel for the Underwriters, together with signed or reproduced copies of such letter for each of the other Underwriters to the effect set forth in Exhibit C hereto.</w:t>
      </w:r>
    </w:p>
    <w:p>
      <w:pPr>
        <w:spacing w:after="0" w:line="165" w:lineRule="exact"/>
        <w:rPr>
          <w:rFonts w:ascii="Arial" w:cs="Arial" w:eastAsia="Arial" w:hAnsi="Arial"/>
          <w:sz w:val="17"/>
          <w:szCs w:val="17"/>
          <w:color w:val="auto"/>
        </w:rPr>
      </w:pPr>
    </w:p>
    <w:p>
      <w:pPr>
        <w:ind w:left="-20" w:right="20" w:firstLine="656"/>
        <w:spacing w:after="0" w:line="308" w:lineRule="auto"/>
        <w:tabs>
          <w:tab w:leader="none" w:pos="1502" w:val="left"/>
        </w:tabs>
        <w:numPr>
          <w:ilvl w:val="0"/>
          <w:numId w:val="267"/>
        </w:numPr>
        <w:rPr>
          <w:rFonts w:ascii="Arial" w:cs="Arial" w:eastAsia="Arial" w:hAnsi="Arial"/>
          <w:sz w:val="17"/>
          <w:szCs w:val="17"/>
          <w:color w:val="auto"/>
        </w:rPr>
      </w:pPr>
      <w:r>
        <w:rPr>
          <w:rFonts w:ascii="Arial" w:cs="Arial" w:eastAsia="Arial" w:hAnsi="Arial"/>
          <w:sz w:val="17"/>
          <w:szCs w:val="17"/>
          <w:i w:val="1"/>
          <w:iCs w:val="1"/>
          <w:color w:val="auto"/>
        </w:rPr>
        <w:t>Opinion of Counsel for Underwriters</w:t>
      </w:r>
      <w:r>
        <w:rPr>
          <w:rFonts w:ascii="Arial" w:cs="Arial" w:eastAsia="Arial" w:hAnsi="Arial"/>
          <w:sz w:val="17"/>
          <w:szCs w:val="17"/>
          <w:color w:val="auto"/>
        </w:rPr>
        <w:t>. At the Closing Time, the Representatives shall have received the favorable opinion, dated the</w:t>
      </w:r>
      <w:r>
        <w:rPr>
          <w:rFonts w:ascii="Arial" w:cs="Arial" w:eastAsia="Arial" w:hAnsi="Arial"/>
          <w:sz w:val="17"/>
          <w:szCs w:val="17"/>
          <w:i w:val="1"/>
          <w:iCs w:val="1"/>
          <w:color w:val="auto"/>
        </w:rPr>
        <w:t xml:space="preserve"> </w:t>
      </w:r>
      <w:r>
        <w:rPr>
          <w:rFonts w:ascii="Arial" w:cs="Arial" w:eastAsia="Arial" w:hAnsi="Arial"/>
          <w:sz w:val="17"/>
          <w:szCs w:val="17"/>
          <w:color w:val="auto"/>
        </w:rPr>
        <w:t>Closing Time, of Latham &amp; Watkins LLP, counsel for the Underwriters, in such form and substance as satisfactory to the Underwriters.</w:t>
      </w:r>
    </w:p>
    <w:p>
      <w:pPr>
        <w:spacing w:after="0" w:line="146" w:lineRule="exact"/>
        <w:rPr>
          <w:rFonts w:ascii="Arial" w:cs="Arial" w:eastAsia="Arial" w:hAnsi="Arial"/>
          <w:sz w:val="17"/>
          <w:szCs w:val="17"/>
          <w:color w:val="auto"/>
        </w:rPr>
      </w:pPr>
    </w:p>
    <w:p>
      <w:pPr>
        <w:jc w:val="both"/>
        <w:ind w:left="-20" w:firstLine="656"/>
        <w:spacing w:after="0" w:line="269" w:lineRule="auto"/>
        <w:tabs>
          <w:tab w:leader="none" w:pos="1510" w:val="left"/>
        </w:tabs>
        <w:numPr>
          <w:ilvl w:val="0"/>
          <w:numId w:val="267"/>
        </w:numPr>
        <w:rPr>
          <w:rFonts w:ascii="Arial" w:cs="Arial" w:eastAsia="Arial" w:hAnsi="Arial"/>
          <w:sz w:val="17"/>
          <w:szCs w:val="17"/>
          <w:color w:val="auto"/>
        </w:rPr>
      </w:pPr>
      <w:r>
        <w:rPr>
          <w:rFonts w:ascii="Arial" w:cs="Arial" w:eastAsia="Arial" w:hAnsi="Arial"/>
          <w:sz w:val="17"/>
          <w:szCs w:val="17"/>
          <w:i w:val="1"/>
          <w:iCs w:val="1"/>
          <w:color w:val="auto"/>
        </w:rPr>
        <w:t xml:space="preserve">Officers’ Certificate </w:t>
      </w:r>
      <w:r>
        <w:rPr>
          <w:rFonts w:ascii="Arial" w:cs="Arial" w:eastAsia="Arial" w:hAnsi="Arial"/>
          <w:sz w:val="17"/>
          <w:szCs w:val="17"/>
          <w:color w:val="auto"/>
        </w:rPr>
        <w:t>. At the Closing Time, there shall not have been, since the date hereof or since the respective dates as of which</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and the Representatives shall have received a certificate of the Chief Executive Officer or the President of the Company and of the chief financial or chief accounting officer of the Company, dated the Closing Time, to the effect that (i) there has been no such material adverse change, (ii) the representations and warranties of the Company in this Agreement are true and correct with the same force and effect as though expressly made at and as of the Closing Time, (iii) the Company has complied with all agreements and satisfied all conditions on its part to be performed or satisfied at or prior to the Closing Time, and (iv) no stop order suspending the effectiveness of the Registration Statement under the 1933 Act has been issued, no order preventing or suspending the use of any preliminary prospectus or the Prospectus has been issued and no proceedings for any of those purposes have been instituted or are pending or, to their knowledge, contemplated.</w:t>
      </w:r>
    </w:p>
    <w:p>
      <w:pPr>
        <w:spacing w:after="0" w:line="185" w:lineRule="exact"/>
        <w:rPr>
          <w:rFonts w:ascii="Arial" w:cs="Arial" w:eastAsia="Arial" w:hAnsi="Arial"/>
          <w:sz w:val="17"/>
          <w:szCs w:val="17"/>
          <w:color w:val="auto"/>
        </w:rPr>
      </w:pPr>
    </w:p>
    <w:p>
      <w:pPr>
        <w:jc w:val="both"/>
        <w:ind w:left="-20" w:firstLine="656"/>
        <w:spacing w:after="0" w:line="259" w:lineRule="auto"/>
        <w:tabs>
          <w:tab w:leader="none" w:pos="1418" w:val="left"/>
        </w:tabs>
        <w:numPr>
          <w:ilvl w:val="0"/>
          <w:numId w:val="267"/>
        </w:numPr>
        <w:rPr>
          <w:rFonts w:ascii="Arial" w:cs="Arial" w:eastAsia="Arial" w:hAnsi="Arial"/>
          <w:sz w:val="18"/>
          <w:szCs w:val="18"/>
          <w:color w:val="auto"/>
        </w:rPr>
      </w:pPr>
      <w:r>
        <w:rPr>
          <w:rFonts w:ascii="Arial" w:cs="Arial" w:eastAsia="Arial" w:hAnsi="Arial"/>
          <w:sz w:val="18"/>
          <w:szCs w:val="18"/>
          <w:i w:val="1"/>
          <w:iCs w:val="1"/>
          <w:color w:val="auto"/>
        </w:rPr>
        <w:t xml:space="preserve">Chief Financial Officer’s Certificate. </w:t>
      </w:r>
      <w:r>
        <w:rPr>
          <w:rFonts w:ascii="Arial" w:cs="Arial" w:eastAsia="Arial" w:hAnsi="Arial"/>
          <w:sz w:val="18"/>
          <w:szCs w:val="18"/>
          <w:color w:val="auto"/>
        </w:rPr>
        <w:t>At the time of the execution of this Agreement and at the Closing Time, the Representatives shall</w:t>
      </w:r>
      <w:r>
        <w:rPr>
          <w:rFonts w:ascii="Arial" w:cs="Arial" w:eastAsia="Arial" w:hAnsi="Arial"/>
          <w:sz w:val="18"/>
          <w:szCs w:val="18"/>
          <w:i w:val="1"/>
          <w:iCs w:val="1"/>
          <w:color w:val="auto"/>
        </w:rPr>
        <w:t xml:space="preserve"> </w:t>
      </w:r>
      <w:r>
        <w:rPr>
          <w:rFonts w:ascii="Arial" w:cs="Arial" w:eastAsia="Arial" w:hAnsi="Arial"/>
          <w:sz w:val="18"/>
          <w:szCs w:val="18"/>
          <w:color w:val="auto"/>
        </w:rPr>
        <w:t>have received a certificate of the Chief Financial Officer of the Company, dated the date of this Agreement or the Closing Time, as applicable, reasonably satisfactory to the Representatives, as to the accuracy of certain data contained in the Registration Statement, the General Disclosure Package and the Prospectus;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9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407" w:name="page408"/>
    <w:bookmarkEnd w:id="407"/>
    <w:p>
      <w:pPr>
        <w:jc w:val="both"/>
        <w:ind w:left="-20" w:firstLine="656"/>
        <w:spacing w:after="0" w:line="257" w:lineRule="auto"/>
        <w:tabs>
          <w:tab w:leader="none" w:pos="1539" w:val="left"/>
        </w:tabs>
        <w:numPr>
          <w:ilvl w:val="0"/>
          <w:numId w:val="268"/>
        </w:numPr>
        <w:rPr>
          <w:rFonts w:ascii="Arial" w:cs="Arial" w:eastAsia="Arial" w:hAnsi="Arial"/>
          <w:sz w:val="18"/>
          <w:szCs w:val="18"/>
          <w:color w:val="auto"/>
        </w:rPr>
      </w:pPr>
      <w:r>
        <w:rPr>
          <w:rFonts w:ascii="Arial" w:cs="Arial" w:eastAsia="Arial" w:hAnsi="Arial"/>
          <w:sz w:val="18"/>
          <w:szCs w:val="18"/>
          <w:i w:val="1"/>
          <w:iCs w:val="1"/>
          <w:color w:val="auto"/>
        </w:rPr>
        <w:t>Accountant’s Comfort Letter</w:t>
      </w:r>
      <w:r>
        <w:rPr>
          <w:rFonts w:ascii="Arial" w:cs="Arial" w:eastAsia="Arial" w:hAnsi="Arial"/>
          <w:sz w:val="18"/>
          <w:szCs w:val="18"/>
          <w:color w:val="auto"/>
        </w:rPr>
        <w:t>. At the time of the execution of this Agreement, the Representatives shall have received from Ernst &amp;</w:t>
      </w:r>
      <w:r>
        <w:rPr>
          <w:rFonts w:ascii="Arial" w:cs="Arial" w:eastAsia="Arial" w:hAnsi="Arial"/>
          <w:sz w:val="18"/>
          <w:szCs w:val="18"/>
          <w:i w:val="1"/>
          <w:iCs w:val="1"/>
          <w:color w:val="auto"/>
        </w:rPr>
        <w:t xml:space="preserve"> </w:t>
      </w:r>
      <w:r>
        <w:rPr>
          <w:rFonts w:ascii="Arial" w:cs="Arial" w:eastAsia="Arial" w:hAnsi="Arial"/>
          <w:sz w:val="18"/>
          <w:szCs w:val="18"/>
          <w:color w:val="auto"/>
        </w:rPr>
        <w:t>Young GmbH Wirtschaftsprüfungsgesellschaft a letter, dated such date, in form and substance satisfactory to the Representatives,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the General Disclosure Package and the Prospectus.</w:t>
      </w:r>
    </w:p>
    <w:p>
      <w:pPr>
        <w:spacing w:after="0" w:line="187" w:lineRule="exact"/>
        <w:rPr>
          <w:rFonts w:ascii="Arial" w:cs="Arial" w:eastAsia="Arial" w:hAnsi="Arial"/>
          <w:sz w:val="18"/>
          <w:szCs w:val="18"/>
          <w:color w:val="auto"/>
        </w:rPr>
      </w:pPr>
    </w:p>
    <w:p>
      <w:pPr>
        <w:jc w:val="both"/>
        <w:ind w:left="-20" w:firstLine="656"/>
        <w:spacing w:after="0" w:line="311" w:lineRule="auto"/>
        <w:tabs>
          <w:tab w:leader="none" w:pos="1918" w:val="left"/>
        </w:tabs>
        <w:numPr>
          <w:ilvl w:val="0"/>
          <w:numId w:val="268"/>
        </w:numPr>
        <w:rPr>
          <w:rFonts w:ascii="Arial" w:cs="Arial" w:eastAsia="Arial" w:hAnsi="Arial"/>
          <w:sz w:val="16"/>
          <w:szCs w:val="16"/>
          <w:color w:val="auto"/>
        </w:rPr>
      </w:pPr>
      <w:r>
        <w:rPr>
          <w:rFonts w:ascii="Arial" w:cs="Arial" w:eastAsia="Arial" w:hAnsi="Arial"/>
          <w:sz w:val="16"/>
          <w:szCs w:val="16"/>
          <w:i w:val="1"/>
          <w:iCs w:val="1"/>
          <w:color w:val="auto"/>
        </w:rPr>
        <w:t>Bring-down Comfort Letter</w:t>
      </w:r>
      <w:r>
        <w:rPr>
          <w:rFonts w:ascii="Arial" w:cs="Arial" w:eastAsia="Arial" w:hAnsi="Arial"/>
          <w:sz w:val="16"/>
          <w:szCs w:val="16"/>
          <w:color w:val="auto"/>
        </w:rPr>
        <w:t>. At the Closing Time, the Representatives shall have received from Ernst &amp; Young GmbH</w:t>
      </w:r>
      <w:r>
        <w:rPr>
          <w:rFonts w:ascii="Arial" w:cs="Arial" w:eastAsia="Arial" w:hAnsi="Arial"/>
          <w:sz w:val="16"/>
          <w:szCs w:val="16"/>
          <w:i w:val="1"/>
          <w:iCs w:val="1"/>
          <w:color w:val="auto"/>
        </w:rPr>
        <w:t xml:space="preserve"> </w:t>
      </w:r>
      <w:r>
        <w:rPr>
          <w:rFonts w:ascii="Arial" w:cs="Arial" w:eastAsia="Arial" w:hAnsi="Arial"/>
          <w:sz w:val="16"/>
          <w:szCs w:val="16"/>
          <w:color w:val="auto"/>
        </w:rPr>
        <w:t>Wirtschaftsprüfungsgesellschaft a letter, dated as of the Closing Time, to the effect that they reaffirm the statements made in the letter furnished pursuant to subsection (i) of this Section, except that the specified date referred to shall be a date not more than three business days prior to the Closing Time.</w:t>
      </w:r>
    </w:p>
    <w:p>
      <w:pPr>
        <w:spacing w:after="0" w:line="148" w:lineRule="exact"/>
        <w:rPr>
          <w:rFonts w:ascii="Arial" w:cs="Arial" w:eastAsia="Arial" w:hAnsi="Arial"/>
          <w:sz w:val="16"/>
          <w:szCs w:val="16"/>
          <w:color w:val="auto"/>
        </w:rPr>
      </w:pPr>
    </w:p>
    <w:p>
      <w:pPr>
        <w:ind w:left="1340" w:hanging="704"/>
        <w:spacing w:after="0"/>
        <w:tabs>
          <w:tab w:leader="none" w:pos="1340" w:val="left"/>
        </w:tabs>
        <w:numPr>
          <w:ilvl w:val="0"/>
          <w:numId w:val="268"/>
        </w:numPr>
        <w:rPr>
          <w:rFonts w:ascii="Arial" w:cs="Arial" w:eastAsia="Arial" w:hAnsi="Arial"/>
          <w:sz w:val="18"/>
          <w:szCs w:val="18"/>
          <w:color w:val="auto"/>
        </w:rPr>
      </w:pPr>
      <w:r>
        <w:rPr>
          <w:rFonts w:ascii="Arial" w:cs="Arial" w:eastAsia="Arial" w:hAnsi="Arial"/>
          <w:sz w:val="18"/>
          <w:szCs w:val="18"/>
          <w:i w:val="1"/>
          <w:iCs w:val="1"/>
          <w:color w:val="auto"/>
        </w:rPr>
        <w:t>[Reserved.]</w:t>
      </w:r>
    </w:p>
    <w:p>
      <w:pPr>
        <w:spacing w:after="0" w:line="225" w:lineRule="exact"/>
        <w:rPr>
          <w:rFonts w:ascii="Arial" w:cs="Arial" w:eastAsia="Arial" w:hAnsi="Arial"/>
          <w:sz w:val="18"/>
          <w:szCs w:val="18"/>
          <w:color w:val="auto"/>
        </w:rPr>
      </w:pPr>
    </w:p>
    <w:p>
      <w:pPr>
        <w:ind w:left="-20" w:right="20" w:firstLine="656"/>
        <w:spacing w:after="0" w:line="277" w:lineRule="auto"/>
        <w:tabs>
          <w:tab w:leader="none" w:pos="1674" w:val="left"/>
        </w:tabs>
        <w:numPr>
          <w:ilvl w:val="0"/>
          <w:numId w:val="268"/>
        </w:numPr>
        <w:rPr>
          <w:rFonts w:ascii="Arial" w:cs="Arial" w:eastAsia="Arial" w:hAnsi="Arial"/>
          <w:sz w:val="18"/>
          <w:szCs w:val="18"/>
          <w:color w:val="auto"/>
        </w:rPr>
      </w:pPr>
      <w:r>
        <w:rPr>
          <w:rFonts w:ascii="Arial" w:cs="Arial" w:eastAsia="Arial" w:hAnsi="Arial"/>
          <w:sz w:val="18"/>
          <w:szCs w:val="18"/>
          <w:i w:val="1"/>
          <w:iCs w:val="1"/>
          <w:color w:val="auto"/>
        </w:rPr>
        <w:t>No Objection</w:t>
      </w:r>
      <w:r>
        <w:rPr>
          <w:rFonts w:ascii="Arial" w:cs="Arial" w:eastAsia="Arial" w:hAnsi="Arial"/>
          <w:sz w:val="18"/>
          <w:szCs w:val="18"/>
          <w:color w:val="auto"/>
        </w:rPr>
        <w:t>. FINRA has confirmed that it has not raised any objection with respect to the fairness and reasonableness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underwriting terms and arrangements relating to the offering of the Securities.</w:t>
      </w:r>
    </w:p>
    <w:p>
      <w:pPr>
        <w:spacing w:after="0" w:line="170" w:lineRule="exact"/>
        <w:rPr>
          <w:rFonts w:ascii="Arial" w:cs="Arial" w:eastAsia="Arial" w:hAnsi="Arial"/>
          <w:sz w:val="18"/>
          <w:szCs w:val="18"/>
          <w:color w:val="auto"/>
        </w:rPr>
      </w:pPr>
    </w:p>
    <w:p>
      <w:pPr>
        <w:ind w:left="-20" w:firstLine="656"/>
        <w:spacing w:after="0" w:line="277" w:lineRule="auto"/>
        <w:tabs>
          <w:tab w:leader="none" w:pos="1432" w:val="left"/>
        </w:tabs>
        <w:numPr>
          <w:ilvl w:val="0"/>
          <w:numId w:val="268"/>
        </w:numPr>
        <w:rPr>
          <w:rFonts w:ascii="Arial" w:cs="Arial" w:eastAsia="Arial" w:hAnsi="Arial"/>
          <w:sz w:val="18"/>
          <w:szCs w:val="18"/>
          <w:color w:val="auto"/>
        </w:rPr>
      </w:pPr>
      <w:r>
        <w:rPr>
          <w:rFonts w:ascii="Arial" w:cs="Arial" w:eastAsia="Arial" w:hAnsi="Arial"/>
          <w:sz w:val="18"/>
          <w:szCs w:val="18"/>
          <w:i w:val="1"/>
          <w:iCs w:val="1"/>
          <w:color w:val="auto"/>
        </w:rPr>
        <w:t>Lock-up Agreements</w:t>
      </w:r>
      <w:r>
        <w:rPr>
          <w:rFonts w:ascii="Arial" w:cs="Arial" w:eastAsia="Arial" w:hAnsi="Arial"/>
          <w:sz w:val="18"/>
          <w:szCs w:val="18"/>
          <w:color w:val="auto"/>
        </w:rPr>
        <w:t>. At the date of this Agreement, the Representatives shall have received an agreement substantially in the form of</w:t>
      </w:r>
      <w:r>
        <w:rPr>
          <w:rFonts w:ascii="Arial" w:cs="Arial" w:eastAsia="Arial" w:hAnsi="Arial"/>
          <w:sz w:val="18"/>
          <w:szCs w:val="18"/>
          <w:i w:val="1"/>
          <w:iCs w:val="1"/>
          <w:color w:val="auto"/>
        </w:rPr>
        <w:t xml:space="preserve"> </w:t>
      </w:r>
      <w:r>
        <w:rPr>
          <w:rFonts w:ascii="Arial" w:cs="Arial" w:eastAsia="Arial" w:hAnsi="Arial"/>
          <w:sz w:val="18"/>
          <w:szCs w:val="18"/>
          <w:color w:val="auto"/>
        </w:rPr>
        <w:t>Exhibit D hereto signed by the persons listed on Schedule C hereto.</w:t>
      </w:r>
    </w:p>
    <w:p>
      <w:pPr>
        <w:spacing w:after="0" w:line="170" w:lineRule="exact"/>
        <w:rPr>
          <w:rFonts w:ascii="Arial" w:cs="Arial" w:eastAsia="Arial" w:hAnsi="Arial"/>
          <w:sz w:val="18"/>
          <w:szCs w:val="18"/>
          <w:color w:val="auto"/>
        </w:rPr>
      </w:pPr>
    </w:p>
    <w:p>
      <w:pPr>
        <w:jc w:val="both"/>
        <w:ind w:left="-20" w:firstLine="656"/>
        <w:spacing w:after="0" w:line="259" w:lineRule="auto"/>
        <w:tabs>
          <w:tab w:leader="none" w:pos="1454" w:val="left"/>
        </w:tabs>
        <w:numPr>
          <w:ilvl w:val="0"/>
          <w:numId w:val="268"/>
        </w:numPr>
        <w:rPr>
          <w:rFonts w:ascii="Arial" w:cs="Arial" w:eastAsia="Arial" w:hAnsi="Arial"/>
          <w:sz w:val="18"/>
          <w:szCs w:val="18"/>
          <w:color w:val="auto"/>
        </w:rPr>
      </w:pPr>
      <w:r>
        <w:rPr>
          <w:rFonts w:ascii="Arial" w:cs="Arial" w:eastAsia="Arial" w:hAnsi="Arial"/>
          <w:sz w:val="18"/>
          <w:szCs w:val="18"/>
          <w:i w:val="1"/>
          <w:iCs w:val="1"/>
          <w:color w:val="auto"/>
        </w:rPr>
        <w:t>Conditions to Purchase of Option Securities</w:t>
      </w:r>
      <w:r>
        <w:rPr>
          <w:rFonts w:ascii="Arial" w:cs="Arial" w:eastAsia="Arial" w:hAnsi="Arial"/>
          <w:sz w:val="18"/>
          <w:szCs w:val="18"/>
          <w:color w:val="auto"/>
        </w:rPr>
        <w:t>. In the event that the Underwriters exercise their option provided in Section 2(b) hereof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all or any portion of the Option Securities, the representations and warranties of the Company contained herein and the statements in any certificates furnished by the Company and any of its subsidiaries hereunder shall be true and correct as of each Date of Delivery and, at the relevant Date of Delivery, the Representatives shall have received:</w:t>
      </w:r>
    </w:p>
    <w:p>
      <w:pPr>
        <w:spacing w:after="0" w:line="186" w:lineRule="exact"/>
        <w:rPr>
          <w:rFonts w:ascii="Arial" w:cs="Arial" w:eastAsia="Arial" w:hAnsi="Arial"/>
          <w:sz w:val="18"/>
          <w:szCs w:val="18"/>
          <w:color w:val="auto"/>
        </w:rPr>
      </w:pPr>
    </w:p>
    <w:p>
      <w:pPr>
        <w:jc w:val="both"/>
        <w:ind w:left="640" w:firstLine="644"/>
        <w:spacing w:after="0" w:line="263" w:lineRule="auto"/>
        <w:tabs>
          <w:tab w:leader="none" w:pos="2025" w:val="left"/>
        </w:tabs>
        <w:numPr>
          <w:ilvl w:val="1"/>
          <w:numId w:val="268"/>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A certificate, dated such Date of Delivery, of the President or a Vice President of the Company and of the chief financial or chief accounting officer of the Company confirming that the certificates delivered at the Closing Time pursuant to Section 5(f) hereof remains true and correct as of such Date of Delivery.</w:t>
      </w:r>
    </w:p>
    <w:p>
      <w:pPr>
        <w:spacing w:after="0" w:line="183" w:lineRule="exact"/>
        <w:rPr>
          <w:rFonts w:ascii="Arial" w:cs="Arial" w:eastAsia="Arial" w:hAnsi="Arial"/>
          <w:sz w:val="18"/>
          <w:szCs w:val="18"/>
          <w:color w:val="auto"/>
        </w:rPr>
      </w:pPr>
    </w:p>
    <w:p>
      <w:pPr>
        <w:ind w:left="640" w:firstLine="644"/>
        <w:spacing w:after="0" w:line="342" w:lineRule="auto"/>
        <w:tabs>
          <w:tab w:leader="none" w:pos="2061" w:val="left"/>
        </w:tabs>
        <w:numPr>
          <w:ilvl w:val="1"/>
          <w:numId w:val="268"/>
        </w:numPr>
        <w:rPr>
          <w:rFonts w:ascii="Arial" w:cs="Arial" w:eastAsia="Arial" w:hAnsi="Arial"/>
          <w:sz w:val="16"/>
          <w:szCs w:val="16"/>
          <w:color w:val="auto"/>
        </w:rPr>
      </w:pPr>
      <w:r>
        <w:rPr>
          <w:rFonts w:ascii="Arial" w:cs="Arial" w:eastAsia="Arial" w:hAnsi="Arial"/>
          <w:sz w:val="16"/>
          <w:szCs w:val="16"/>
          <w:u w:val="single" w:color="auto"/>
          <w:color w:val="auto"/>
        </w:rPr>
        <w:t>Chief Financial Officer’s Certificate</w:t>
      </w:r>
      <w:r>
        <w:rPr>
          <w:rFonts w:ascii="Arial" w:cs="Arial" w:eastAsia="Arial" w:hAnsi="Arial"/>
          <w:sz w:val="16"/>
          <w:szCs w:val="16"/>
          <w:color w:val="auto"/>
        </w:rPr>
        <w:t>. A certificate, dated such Date of Delivery, of the Chief Financial Officer of the Company confirming that the certificate delivered at the Closing Time pursuant to Section 5(g) hereof remains true and correct as of such Date of Delivery.</w:t>
      </w:r>
    </w:p>
    <w:p>
      <w:pPr>
        <w:spacing w:after="0" w:line="123" w:lineRule="exact"/>
        <w:rPr>
          <w:rFonts w:ascii="Arial" w:cs="Arial" w:eastAsia="Arial" w:hAnsi="Arial"/>
          <w:sz w:val="16"/>
          <w:szCs w:val="16"/>
          <w:color w:val="auto"/>
        </w:rPr>
      </w:pPr>
    </w:p>
    <w:p>
      <w:pPr>
        <w:jc w:val="both"/>
        <w:ind w:left="640" w:firstLine="644"/>
        <w:spacing w:after="0" w:line="275" w:lineRule="auto"/>
        <w:tabs>
          <w:tab w:leader="none" w:pos="2138" w:val="left"/>
        </w:tabs>
        <w:numPr>
          <w:ilvl w:val="1"/>
          <w:numId w:val="268"/>
        </w:numPr>
        <w:rPr>
          <w:rFonts w:ascii="Arial" w:cs="Arial" w:eastAsia="Arial" w:hAnsi="Arial"/>
          <w:sz w:val="17"/>
          <w:szCs w:val="17"/>
          <w:color w:val="auto"/>
        </w:rPr>
      </w:pPr>
      <w:r>
        <w:rPr>
          <w:rFonts w:ascii="Arial" w:cs="Arial" w:eastAsia="Arial" w:hAnsi="Arial"/>
          <w:sz w:val="17"/>
          <w:szCs w:val="17"/>
          <w:u w:val="single" w:color="auto"/>
          <w:color w:val="auto"/>
        </w:rPr>
        <w:t>Opinion of Counsel for Company</w:t>
      </w:r>
      <w:r>
        <w:rPr>
          <w:rFonts w:ascii="Arial" w:cs="Arial" w:eastAsia="Arial" w:hAnsi="Arial"/>
          <w:sz w:val="17"/>
          <w:szCs w:val="17"/>
          <w:color w:val="auto"/>
        </w:rPr>
        <w:t>. If requested by the Representatives, the favorable opinion of Davis Polk &amp; Wardwell LLP, counsel for the Company, together with the favorable opinion of ParkerHighlander PLLC and Graf von Stosch Patentanwaltsgesellschaft mbH, intellectual property counsel for the Company and NautaDutilh N.V., Dutch counsel for the Company , each in form and substance satisfactory to counsel for the Underwriters, dated such Date of Delivery, relating to the Option Securities to be purchased on such Date of Delivery and otherwise to the same effect as the opinion required by Section 5(b), 5(c) and 5(d) hereof.</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9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408" w:name="page409"/>
    <w:bookmarkEnd w:id="408"/>
    <w:p>
      <w:pPr>
        <w:jc w:val="both"/>
        <w:ind w:left="640" w:firstLine="644"/>
        <w:spacing w:after="0" w:line="263" w:lineRule="auto"/>
        <w:tabs>
          <w:tab w:leader="none" w:pos="2168"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Opinion of Counsel for Underwriters</w:t>
      </w:r>
      <w:r>
        <w:rPr>
          <w:rFonts w:ascii="Arial" w:cs="Arial" w:eastAsia="Arial" w:hAnsi="Arial"/>
          <w:sz w:val="18"/>
          <w:szCs w:val="18"/>
          <w:color w:val="auto"/>
        </w:rPr>
        <w:t>. If requested by the Representatives, the favorable opinion of Latham &amp; Watkins LLP, counsel for the Underwriters, dated such Date of Delivery, relating to the Option Securities to be purchased on such Date of Delivery and otherwise to the same effect as the opinion required by Section 5(e) hereof.</w:t>
      </w:r>
    </w:p>
    <w:p>
      <w:pPr>
        <w:spacing w:after="0" w:line="184" w:lineRule="exact"/>
        <w:rPr>
          <w:sz w:val="20"/>
          <w:szCs w:val="20"/>
          <w:color w:val="auto"/>
        </w:rPr>
      </w:pPr>
    </w:p>
    <w:p>
      <w:pPr>
        <w:jc w:val="both"/>
        <w:ind w:left="640" w:firstLine="648"/>
        <w:spacing w:after="0" w:line="279" w:lineRule="auto"/>
        <w:rPr>
          <w:sz w:val="20"/>
          <w:szCs w:val="20"/>
          <w:color w:val="auto"/>
        </w:rPr>
      </w:pPr>
      <w:r>
        <w:rPr>
          <w:rFonts w:ascii="Arial" w:cs="Arial" w:eastAsia="Arial" w:hAnsi="Arial"/>
          <w:sz w:val="17"/>
          <w:szCs w:val="17"/>
          <w:color w:val="auto"/>
        </w:rPr>
        <w:t xml:space="preserve">(v) </w:t>
      </w:r>
      <w:r>
        <w:rPr>
          <w:rFonts w:ascii="Arial" w:cs="Arial" w:eastAsia="Arial" w:hAnsi="Arial"/>
          <w:sz w:val="17"/>
          <w:szCs w:val="17"/>
          <w:u w:val="single" w:color="auto"/>
          <w:color w:val="auto"/>
        </w:rPr>
        <w:t>Bring-down Comfort Letter</w:t>
      </w:r>
      <w:r>
        <w:rPr>
          <w:rFonts w:ascii="Arial" w:cs="Arial" w:eastAsia="Arial" w:hAnsi="Arial"/>
          <w:sz w:val="17"/>
          <w:szCs w:val="17"/>
          <w:color w:val="auto"/>
        </w:rPr>
        <w:t>. If requested by the Representatives, a letter from Ernst &amp; Young GmbH Wirtschaftsprüfungsgesellschaft, in form and substance satisfactory to the Representatives and dated such Date of Delivery, substantially in the same form and substance as the letter furnished to the Representatives pursuant to Section 5(h) hereof, except that the “specified date” in the letter furnished pursuant to this paragraph shall be a date not more than three business days prior to such Date of Delivery.</w:t>
      </w:r>
    </w:p>
    <w:p>
      <w:pPr>
        <w:spacing w:after="0" w:line="171" w:lineRule="exact"/>
        <w:rPr>
          <w:sz w:val="20"/>
          <w:szCs w:val="20"/>
          <w:color w:val="auto"/>
        </w:rPr>
      </w:pPr>
    </w:p>
    <w:p>
      <w:pPr>
        <w:jc w:val="both"/>
        <w:ind w:left="-20" w:firstLine="656"/>
        <w:spacing w:after="0" w:line="275" w:lineRule="auto"/>
        <w:tabs>
          <w:tab w:leader="none" w:pos="1634" w:val="left"/>
        </w:tabs>
        <w:numPr>
          <w:ilvl w:val="0"/>
          <w:numId w:val="270"/>
        </w:numPr>
        <w:rPr>
          <w:rFonts w:ascii="Arial" w:cs="Arial" w:eastAsia="Arial" w:hAnsi="Arial"/>
          <w:sz w:val="17"/>
          <w:szCs w:val="17"/>
          <w:color w:val="auto"/>
        </w:rPr>
      </w:pPr>
      <w:r>
        <w:rPr>
          <w:rFonts w:ascii="Arial" w:cs="Arial" w:eastAsia="Arial" w:hAnsi="Arial"/>
          <w:sz w:val="17"/>
          <w:szCs w:val="17"/>
          <w:i w:val="1"/>
          <w:iCs w:val="1"/>
          <w:color w:val="auto"/>
        </w:rPr>
        <w:t>Additional Documents</w:t>
      </w:r>
      <w:r>
        <w:rPr>
          <w:rFonts w:ascii="Arial" w:cs="Arial" w:eastAsia="Arial" w:hAnsi="Arial"/>
          <w:sz w:val="17"/>
          <w:szCs w:val="17"/>
          <w:color w:val="auto"/>
        </w:rPr>
        <w:t>. At the Closing Time and at each Date of Delivery (if any) counsel for the Underwriters shall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furnished with such additional customary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in connection with the issuance and sale of the Securities as herein contemplated shall be reasonably satisfactory in form and substance to the Representatives and counsel for the Underwriters.</w:t>
      </w:r>
    </w:p>
    <w:p>
      <w:pPr>
        <w:spacing w:after="0" w:line="176" w:lineRule="exact"/>
        <w:rPr>
          <w:rFonts w:ascii="Arial" w:cs="Arial" w:eastAsia="Arial" w:hAnsi="Arial"/>
          <w:sz w:val="17"/>
          <w:szCs w:val="17"/>
          <w:color w:val="auto"/>
        </w:rPr>
      </w:pPr>
    </w:p>
    <w:p>
      <w:pPr>
        <w:jc w:val="both"/>
        <w:ind w:left="-20" w:firstLine="656"/>
        <w:spacing w:after="0" w:line="296" w:lineRule="auto"/>
        <w:tabs>
          <w:tab w:leader="none" w:pos="1458" w:val="left"/>
        </w:tabs>
        <w:numPr>
          <w:ilvl w:val="0"/>
          <w:numId w:val="270"/>
        </w:numPr>
        <w:rPr>
          <w:rFonts w:ascii="Arial" w:cs="Arial" w:eastAsia="Arial" w:hAnsi="Arial"/>
          <w:sz w:val="16"/>
          <w:szCs w:val="16"/>
          <w:color w:val="auto"/>
        </w:rPr>
      </w:pPr>
      <w:r>
        <w:rPr>
          <w:rFonts w:ascii="Arial" w:cs="Arial" w:eastAsia="Arial" w:hAnsi="Arial"/>
          <w:sz w:val="16"/>
          <w:szCs w:val="16"/>
          <w:i w:val="1"/>
          <w:iCs w:val="1"/>
          <w:color w:val="auto"/>
        </w:rPr>
        <w:t>Termination of Agreement</w:t>
      </w:r>
      <w:r>
        <w:rPr>
          <w:rFonts w:ascii="Arial" w:cs="Arial" w:eastAsia="Arial" w:hAnsi="Arial"/>
          <w:sz w:val="16"/>
          <w:szCs w:val="16"/>
          <w:color w:val="auto"/>
        </w:rPr>
        <w:t>. If any condition specified in this Section shall not have been fulfilled when and as required to be fulfilled,</w:t>
      </w:r>
      <w:r>
        <w:rPr>
          <w:rFonts w:ascii="Arial" w:cs="Arial" w:eastAsia="Arial" w:hAnsi="Arial"/>
          <w:sz w:val="16"/>
          <w:szCs w:val="16"/>
          <w:i w:val="1"/>
          <w:iCs w:val="1"/>
          <w:color w:val="auto"/>
        </w:rPr>
        <w:t xml:space="preserve"> </w:t>
      </w:r>
      <w:r>
        <w:rPr>
          <w:rFonts w:ascii="Arial" w:cs="Arial" w:eastAsia="Arial" w:hAnsi="Arial"/>
          <w:sz w:val="16"/>
          <w:szCs w:val="16"/>
          <w:color w:val="auto"/>
        </w:rPr>
        <w:t>this Agreement, or, in the case of any condition to the purchase of Option Securities on a Date of Delivery which is after the Closing Time, the obligations of the several Underwriters to purchase the relevant Option Securities, may be terminated by the Representatives by notice to the Company at any time at or prior to Closing Time or such Date of Delivery, as the case may be, and such termination shall be without liability of any party to any other party except as provided in Section 4 and except that Sections 1, 6, 7, 8, 13 and 14 shall survive any such termination and remain in full force and effect.</w:t>
      </w:r>
    </w:p>
    <w:p>
      <w:pPr>
        <w:spacing w:after="0" w:line="161" w:lineRule="exact"/>
        <w:rPr>
          <w:sz w:val="20"/>
          <w:szCs w:val="20"/>
          <w:color w:val="auto"/>
        </w:rPr>
      </w:pPr>
    </w:p>
    <w:p>
      <w:pPr>
        <w:ind w:left="640"/>
        <w:spacing w:after="0"/>
        <w:tabs>
          <w:tab w:leader="none" w:pos="182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25" w:lineRule="exact"/>
        <w:rPr>
          <w:sz w:val="20"/>
          <w:szCs w:val="20"/>
          <w:color w:val="auto"/>
        </w:rPr>
      </w:pPr>
    </w:p>
    <w:p>
      <w:pPr>
        <w:jc w:val="both"/>
        <w:ind w:left="-20" w:firstLine="656"/>
        <w:spacing w:after="0" w:line="263" w:lineRule="auto"/>
        <w:tabs>
          <w:tab w:leader="none" w:pos="1435" w:val="left"/>
        </w:tabs>
        <w:numPr>
          <w:ilvl w:val="0"/>
          <w:numId w:val="271"/>
        </w:numPr>
        <w:rPr>
          <w:rFonts w:ascii="Arial" w:cs="Arial" w:eastAsia="Arial" w:hAnsi="Arial"/>
          <w:sz w:val="18"/>
          <w:szCs w:val="18"/>
          <w:color w:val="auto"/>
        </w:rPr>
      </w:pPr>
      <w:r>
        <w:rPr>
          <w:rFonts w:ascii="Arial" w:cs="Arial" w:eastAsia="Arial" w:hAnsi="Arial"/>
          <w:sz w:val="18"/>
          <w:szCs w:val="18"/>
          <w:i w:val="1"/>
          <w:iCs w:val="1"/>
          <w:color w:val="auto"/>
        </w:rPr>
        <w:t>Indemnification of Underwriters</w:t>
      </w:r>
      <w:r>
        <w:rPr>
          <w:rFonts w:ascii="Arial" w:cs="Arial" w:eastAsia="Arial" w:hAnsi="Arial"/>
          <w:sz w:val="18"/>
          <w:szCs w:val="18"/>
          <w:color w:val="auto"/>
        </w:rPr>
        <w:t>. The Company agrees to indemnify and hold harmless each Underwriter, its affiliates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 501(b) under the 1933 Act (each, an “Affiliate”)), its selling agents and each person, if any, who controls any Underwriter within the meaning of Section 15 of the 1933 Act or Section 20 of the 1934 Act as follows:</w:t>
      </w:r>
    </w:p>
    <w:p>
      <w:pPr>
        <w:spacing w:after="0" w:line="183" w:lineRule="exact"/>
        <w:rPr>
          <w:rFonts w:ascii="Arial" w:cs="Arial" w:eastAsia="Arial" w:hAnsi="Arial"/>
          <w:sz w:val="18"/>
          <w:szCs w:val="18"/>
          <w:color w:val="auto"/>
        </w:rPr>
      </w:pPr>
    </w:p>
    <w:p>
      <w:pPr>
        <w:jc w:val="both"/>
        <w:ind w:left="640" w:firstLine="644"/>
        <w:spacing w:after="0" w:line="288" w:lineRule="auto"/>
        <w:tabs>
          <w:tab w:leader="none" w:pos="2118" w:val="left"/>
        </w:tabs>
        <w:numPr>
          <w:ilvl w:val="1"/>
          <w:numId w:val="271"/>
        </w:numPr>
        <w:rPr>
          <w:rFonts w:ascii="Arial" w:cs="Arial" w:eastAsia="Arial" w:hAnsi="Arial"/>
          <w:sz w:val="16"/>
          <w:szCs w:val="16"/>
          <w:color w:val="auto"/>
        </w:rPr>
      </w:pPr>
      <w:r>
        <w:rPr>
          <w:rFonts w:ascii="Arial" w:cs="Arial" w:eastAsia="Arial" w:hAnsi="Arial"/>
          <w:sz w:val="16"/>
          <w:szCs w:val="16"/>
          <w:color w:val="auto"/>
        </w:rPr>
        <w:t>against any and all loss, liability, claim, damage and expense whatsoever, as incurred, arising out of any untrue statement or alleged untrue statement of a material fact contained in the Registration Statement (or any amendment thereto), including the Rule 430A Information, or the omission or alleged omission therefrom of a material fact required to be stated therein or necessary to make the statements therein not misleading or arising out of any untrue statement or alleged untrue statement of a material fact included (A) in any preliminary prospectus, any Issuer Free Writing Prospectus, any Written Testing-the-Waters Communication, the General Disclosure Package or the Prospectus (or any amendment or supplement thereto), or (B) in any materials or information provided to investors by, or with the approval of, the Company in connection with the marketing of the offering of the Securities (“Marketing Materials”), including any roadshow or investor presentations made to investors by the Company (whether in person or electronically), or the omission or alleged omission in any preliminary prospectus, Issuer Free Writing Prospectus, any Written Testing-the-Waters Communication, Prospectus or in any Marketing Materials of a material fact necessary in order to make the statements therein, in the light of the circumstances under which they were made, not misleading;</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9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409" w:name="page410"/>
    <w:bookmarkEnd w:id="409"/>
    <w:p>
      <w:pPr>
        <w:jc w:val="both"/>
        <w:ind w:left="660" w:firstLine="644"/>
        <w:spacing w:after="0" w:line="279" w:lineRule="auto"/>
        <w:tabs>
          <w:tab w:leader="none" w:pos="2177" w:val="left"/>
        </w:tabs>
        <w:numPr>
          <w:ilvl w:val="0"/>
          <w:numId w:val="272"/>
        </w:numPr>
        <w:rPr>
          <w:rFonts w:ascii="Arial" w:cs="Arial" w:eastAsia="Arial" w:hAnsi="Arial"/>
          <w:sz w:val="17"/>
          <w:szCs w:val="17"/>
          <w:color w:val="auto"/>
        </w:rPr>
      </w:pPr>
      <w:r>
        <w:rPr>
          <w:rFonts w:ascii="Arial" w:cs="Arial" w:eastAsia="Arial" w:hAnsi="Arial"/>
          <w:sz w:val="17"/>
          <w:szCs w:val="17"/>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6(c) below) any such settlement is effected with the written consent of the Company;</w:t>
      </w:r>
    </w:p>
    <w:p>
      <w:pPr>
        <w:spacing w:after="0" w:line="171" w:lineRule="exact"/>
        <w:rPr>
          <w:rFonts w:ascii="Arial" w:cs="Arial" w:eastAsia="Arial" w:hAnsi="Arial"/>
          <w:sz w:val="17"/>
          <w:szCs w:val="17"/>
          <w:color w:val="auto"/>
        </w:rPr>
      </w:pPr>
    </w:p>
    <w:p>
      <w:pPr>
        <w:jc w:val="both"/>
        <w:ind w:left="660" w:firstLine="644"/>
        <w:spacing w:after="0" w:line="301" w:lineRule="auto"/>
        <w:tabs>
          <w:tab w:leader="none" w:pos="2123" w:val="left"/>
        </w:tabs>
        <w:numPr>
          <w:ilvl w:val="0"/>
          <w:numId w:val="272"/>
        </w:numPr>
        <w:rPr>
          <w:rFonts w:ascii="Arial" w:cs="Arial" w:eastAsia="Arial" w:hAnsi="Arial"/>
          <w:sz w:val="16"/>
          <w:szCs w:val="16"/>
          <w:color w:val="auto"/>
        </w:rPr>
      </w:pPr>
      <w:r>
        <w:rPr>
          <w:rFonts w:ascii="Arial" w:cs="Arial" w:eastAsia="Arial" w:hAnsi="Arial"/>
          <w:sz w:val="16"/>
          <w:szCs w:val="16"/>
          <w:color w:val="auto"/>
        </w:rPr>
        <w:t>against any and all expense whatsoever, as incurred (including the reasonable fees and disbursements of counsel chosen by the Representatives),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 </w:t>
      </w:r>
      <w:r>
        <w:rPr>
          <w:rFonts w:ascii="Arial" w:cs="Arial" w:eastAsia="Arial" w:hAnsi="Arial"/>
          <w:sz w:val="18"/>
          <w:szCs w:val="18"/>
          <w:color w:val="auto"/>
        </w:rPr>
        <w:t>that this indemnity agreement shall not apply to any loss, liability, claim, damage or expense to the extent arising out of any untrue</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or omission or alleged untrue statement or omission made in the Registration Statement (or any amendment thereto), including the Rule 430A Information, the General Disclosure Package or the Prospectus (or any amendment or supplement thereto) in reliance upon and in conformity with the Underwriter Information.</w:t>
      </w:r>
    </w:p>
    <w:p>
      <w:pPr>
        <w:spacing w:after="0" w:line="187" w:lineRule="exact"/>
        <w:rPr>
          <w:sz w:val="20"/>
          <w:szCs w:val="20"/>
          <w:color w:val="auto"/>
        </w:rPr>
      </w:pPr>
    </w:p>
    <w:p>
      <w:pPr>
        <w:jc w:val="both"/>
        <w:ind w:firstLine="656"/>
        <w:spacing w:after="0" w:line="293" w:lineRule="auto"/>
        <w:tabs>
          <w:tab w:leader="none" w:pos="1451" w:val="left"/>
        </w:tabs>
        <w:numPr>
          <w:ilvl w:val="0"/>
          <w:numId w:val="273"/>
        </w:numPr>
        <w:rPr>
          <w:rFonts w:ascii="Arial" w:cs="Arial" w:eastAsia="Arial" w:hAnsi="Arial"/>
          <w:sz w:val="16"/>
          <w:szCs w:val="16"/>
          <w:color w:val="auto"/>
        </w:rPr>
      </w:pPr>
      <w:r>
        <w:rPr>
          <w:rFonts w:ascii="Arial" w:cs="Arial" w:eastAsia="Arial" w:hAnsi="Arial"/>
          <w:sz w:val="16"/>
          <w:szCs w:val="16"/>
          <w:i w:val="1"/>
          <w:iCs w:val="1"/>
          <w:color w:val="auto"/>
        </w:rPr>
        <w:t>Indemnification of Company, Directors and Officers</w:t>
      </w:r>
      <w:r>
        <w:rPr>
          <w:rFonts w:ascii="Arial" w:cs="Arial" w:eastAsia="Arial" w:hAnsi="Arial"/>
          <w:sz w:val="16"/>
          <w:szCs w:val="16"/>
          <w:color w:val="auto"/>
        </w:rPr>
        <w:t>. Each Underwriter severally agrees to indemnify and hold harmless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its directors, each of its officers who signed the Registration Statement, and each person, if any, who controls the Company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the Rule 430A Information, the General Disclosure Package or the Prospectus (or any amendment or supplement thereto) in reliance upon and in conformity with the Underwriter Information.</w:t>
      </w:r>
    </w:p>
    <w:p>
      <w:pPr>
        <w:spacing w:after="0" w:line="164" w:lineRule="exact"/>
        <w:rPr>
          <w:rFonts w:ascii="Arial" w:cs="Arial" w:eastAsia="Arial" w:hAnsi="Arial"/>
          <w:sz w:val="16"/>
          <w:szCs w:val="16"/>
          <w:color w:val="auto"/>
        </w:rPr>
      </w:pPr>
    </w:p>
    <w:p>
      <w:pPr>
        <w:jc w:val="both"/>
        <w:ind w:firstLine="656"/>
        <w:spacing w:after="0" w:line="286" w:lineRule="auto"/>
        <w:tabs>
          <w:tab w:leader="none" w:pos="1765" w:val="left"/>
        </w:tabs>
        <w:numPr>
          <w:ilvl w:val="0"/>
          <w:numId w:val="273"/>
        </w:numPr>
        <w:rPr>
          <w:rFonts w:ascii="Arial" w:cs="Arial" w:eastAsia="Arial" w:hAnsi="Arial"/>
          <w:sz w:val="16"/>
          <w:szCs w:val="16"/>
          <w:color w:val="auto"/>
        </w:rPr>
      </w:pPr>
      <w:r>
        <w:rPr>
          <w:rFonts w:ascii="Arial" w:cs="Arial" w:eastAsia="Arial" w:hAnsi="Arial"/>
          <w:sz w:val="16"/>
          <w:szCs w:val="16"/>
          <w:i w:val="1"/>
          <w:iCs w:val="1"/>
          <w:color w:val="auto"/>
        </w:rPr>
        <w:t>Actions against Parties; Notification</w:t>
      </w:r>
      <w:r>
        <w:rPr>
          <w:rFonts w:ascii="Arial" w:cs="Arial" w:eastAsia="Arial" w:hAnsi="Arial"/>
          <w:sz w:val="16"/>
          <w:szCs w:val="16"/>
          <w:color w:val="auto"/>
        </w:rPr>
        <w:t>. Each indemnified party shall give notice as promptly as reasonably practicable to each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indemnifying 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6(a) above, counsel to the indemnified parties shall be selected by the Representatives. An indemnifying party may participate at its own expense in the defense of any such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9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0" w:name="page411"/>
    <w:bookmarkEnd w:id="410"/>
    <w:p>
      <w:pPr>
        <w:jc w:val="both"/>
        <w:ind w:firstLine="656"/>
        <w:spacing w:after="0" w:line="255" w:lineRule="auto"/>
        <w:tabs>
          <w:tab w:leader="none" w:pos="1465" w:val="left"/>
        </w:tabs>
        <w:numPr>
          <w:ilvl w:val="0"/>
          <w:numId w:val="274"/>
        </w:numPr>
        <w:rPr>
          <w:rFonts w:ascii="Arial" w:cs="Arial" w:eastAsia="Arial" w:hAnsi="Arial"/>
          <w:sz w:val="18"/>
          <w:szCs w:val="18"/>
          <w:color w:val="auto"/>
        </w:rPr>
      </w:pPr>
      <w:r>
        <w:rPr>
          <w:rFonts w:ascii="Arial" w:cs="Arial" w:eastAsia="Arial" w:hAnsi="Arial"/>
          <w:sz w:val="18"/>
          <w:szCs w:val="18"/>
          <w:i w:val="1"/>
          <w:iCs w:val="1"/>
          <w:color w:val="auto"/>
        </w:rPr>
        <w:t>Settlement without Consent if Failure to Reimburse</w:t>
      </w:r>
      <w:r>
        <w:rPr>
          <w:rFonts w:ascii="Arial" w:cs="Arial" w:eastAsia="Arial" w:hAnsi="Arial"/>
          <w:sz w:val="18"/>
          <w:szCs w:val="18"/>
          <w:color w:val="auto"/>
        </w:rPr>
        <w:t>. If at any time an indemnified party shall have requested an indemnifying party to</w:t>
      </w:r>
      <w:r>
        <w:rPr>
          <w:rFonts w:ascii="Arial" w:cs="Arial" w:eastAsia="Arial" w:hAnsi="Arial"/>
          <w:sz w:val="18"/>
          <w:szCs w:val="18"/>
          <w:i w:val="1"/>
          <w:iCs w:val="1"/>
          <w:color w:val="auto"/>
        </w:rPr>
        <w:t xml:space="preserve"> </w:t>
      </w:r>
      <w:r>
        <w:rPr>
          <w:rFonts w:ascii="Arial" w:cs="Arial" w:eastAsia="Arial" w:hAnsi="Arial"/>
          <w:sz w:val="18"/>
          <w:szCs w:val="18"/>
          <w:color w:val="auto"/>
        </w:rPr>
        <w:t>reimburse the indemnified party for fees and expenses of counsel, such indemnifying party agrees that it shall be liable for any settlement of the nature contemplated by Section 6(a)(ii)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Contribution</w:t>
      </w:r>
      <w:r>
        <w:rPr>
          <w:rFonts w:ascii="Arial" w:cs="Arial" w:eastAsia="Arial" w:hAnsi="Arial"/>
          <w:sz w:val="18"/>
          <w:szCs w:val="18"/>
          <w:color w:val="auto"/>
        </w:rPr>
        <w:t>.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on the one hand, and the Underwriters,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on the one hand, and of the Underwriters, on the other hand, in connection with the statements or omissions that resulted in such losses, liabilities, claims, damages or expenses, as well as any other relevant equitable considerations.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relative benefits received by the Company, on the one hand, and the Underwriters,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on the one hand, and the total underwriting discount received by the Underwriters, on the other hand, in each case as set forth on the cover of the Prospectus, bear to the aggregate public offering price of the Securities as set forth on the cover of the Prospectus.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Notwithstanding the provisions of this Section 7, no Underwriter shall be required to contribute any amount in excess of the underwriting commissions received by such Underwriter in connection with the Shares underwritten by it and distributed to the public.</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9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1" w:name="page412"/>
    <w:bookmarkEnd w:id="411"/>
    <w:p>
      <w:pPr>
        <w:jc w:val="both"/>
        <w:ind w:firstLine="648"/>
        <w:spacing w:after="0" w:line="277" w:lineRule="auto"/>
        <w:rPr>
          <w:sz w:val="20"/>
          <w:szCs w:val="20"/>
          <w:color w:val="auto"/>
        </w:rPr>
      </w:pPr>
      <w:r>
        <w:rPr>
          <w:rFonts w:ascii="Arial" w:cs="Arial" w:eastAsia="Arial" w:hAnsi="Arial"/>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purposes of this Section 7, each person, if any, who controls an Underwriter within the meaning of Section 15 of the 1933 Act or Section 20 of the 1934 Act and each Underwriter’s Affiliates and selling agents shall have the same rights to contribution as such Underwriter, and each director of the Company, each officer of the Company who signed the Registration Statement, and each person, if any, who controls the Company within the meaning of Section 15 of the 1933 Act or Section 20 of the 1934 Act shall have the same rights to contribution as the Company. The Underwriters’ respective obligations to contribute pursuant to this Section 7 are several in proportion to the number of Initial Securities set forth opposite their respective names in Schedule A hereto and not joint.</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Representations, Warranties and Agreements to Survive</w:t>
      </w:r>
      <w:r>
        <w:rPr>
          <w:rFonts w:ascii="Arial" w:cs="Arial" w:eastAsia="Arial" w:hAnsi="Arial"/>
          <w:sz w:val="18"/>
          <w:szCs w:val="18"/>
          <w:color w:val="auto"/>
        </w:rPr>
        <w:t>. All representations, warranties and agreements contained in this Agreement or in certificates of officers of the Company or any of its subsidiaries submitted pursuant hereto, shall remain operative and in full force and effect regardless of (i) any investigation made by or on behalf of any Underwriter or its Affiliates or selling agents, any person controlling any Underwriter, its officers or directors or any person controlling the Company and (ii) delivery of and payment for the Securities.</w:t>
      </w:r>
    </w:p>
    <w:p>
      <w:pPr>
        <w:spacing w:after="0" w:line="187"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u w:val="single" w:color="auto"/>
          <w:color w:val="auto"/>
        </w:rPr>
        <w:t>Termination of Agreement</w:t>
      </w:r>
      <w:r>
        <w:rPr>
          <w:rFonts w:ascii="Arial" w:cs="Arial" w:eastAsia="Arial" w:hAnsi="Arial"/>
          <w:sz w:val="16"/>
          <w:szCs w:val="16"/>
          <w:color w:val="auto"/>
        </w:rPr>
        <w:t>.</w:t>
      </w:r>
    </w:p>
    <w:p>
      <w:pPr>
        <w:spacing w:after="0" w:line="225" w:lineRule="exact"/>
        <w:rPr>
          <w:sz w:val="20"/>
          <w:szCs w:val="20"/>
          <w:color w:val="auto"/>
        </w:rPr>
      </w:pPr>
    </w:p>
    <w:p>
      <w:pPr>
        <w:ind w:left="1440" w:hanging="784"/>
        <w:spacing w:after="0"/>
        <w:tabs>
          <w:tab w:leader="none" w:pos="1440" w:val="left"/>
        </w:tabs>
        <w:numPr>
          <w:ilvl w:val="1"/>
          <w:numId w:val="275"/>
        </w:numPr>
        <w:rPr>
          <w:rFonts w:ascii="Arial" w:cs="Arial" w:eastAsia="Arial" w:hAnsi="Arial"/>
          <w:sz w:val="16"/>
          <w:szCs w:val="16"/>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The Representatives may terminate this Agreement, by notice to the Company, at any time at or prior to the Closing Time</w:t>
      </w:r>
    </w:p>
    <w:p>
      <w:pPr>
        <w:spacing w:after="0" w:line="46" w:lineRule="exact"/>
        <w:rPr>
          <w:rFonts w:ascii="Arial" w:cs="Arial" w:eastAsia="Arial" w:hAnsi="Arial"/>
          <w:sz w:val="16"/>
          <w:szCs w:val="16"/>
          <w:color w:val="auto"/>
        </w:rPr>
      </w:pPr>
    </w:p>
    <w:p>
      <w:pPr>
        <w:jc w:val="both"/>
        <w:ind w:firstLine="8"/>
        <w:spacing w:after="0" w:line="285" w:lineRule="auto"/>
        <w:tabs>
          <w:tab w:leader="none" w:pos="24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if there has been, in the judgment of the Representatives, since the time of execution of this Agreement or since the respective dates as of which information 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Representatives, impracticable or inadvisable to proceed with the completion of the offering or to enforce contracts for the sale of the Securities, or (iii) if trading in any securities of the Company has been suspended or materially limited by the Commission or The Nasdaq Global Select Market, or (iv) if trading generally on The Nasdaq Global Select Market has been suspended or materially limited, or minimum or maximum prices for trading have been fixed, or maximum ranges for prices have been required, by any of said exchanges or by order of the Commission, FINRA or any other governmental authority, or (v) a material disruption has occurred in commercial banking or securities settlement or clearance services in the United States or with respect to Clearstream or Euroclear systems in Europe, or (vi) if a banking moratorium has been declared by either Federal or New York authorities.</w:t>
      </w:r>
    </w:p>
    <w:p>
      <w:pPr>
        <w:spacing w:after="0" w:line="171" w:lineRule="exact"/>
        <w:rPr>
          <w:rFonts w:ascii="Arial" w:cs="Arial" w:eastAsia="Arial" w:hAnsi="Arial"/>
          <w:sz w:val="16"/>
          <w:szCs w:val="16"/>
          <w:color w:val="auto"/>
        </w:rPr>
      </w:pPr>
    </w:p>
    <w:p>
      <w:pPr>
        <w:jc w:val="both"/>
        <w:ind w:firstLine="656"/>
        <w:spacing w:after="0" w:line="263" w:lineRule="auto"/>
        <w:tabs>
          <w:tab w:leader="none" w:pos="1438" w:val="left"/>
        </w:tabs>
        <w:numPr>
          <w:ilvl w:val="1"/>
          <w:numId w:val="276"/>
        </w:numPr>
        <w:rPr>
          <w:rFonts w:ascii="Arial" w:cs="Arial" w:eastAsia="Arial" w:hAnsi="Arial"/>
          <w:sz w:val="18"/>
          <w:szCs w:val="18"/>
          <w:color w:val="auto"/>
        </w:rPr>
      </w:pPr>
      <w:r>
        <w:rPr>
          <w:rFonts w:ascii="Arial" w:cs="Arial" w:eastAsia="Arial" w:hAnsi="Arial"/>
          <w:sz w:val="18"/>
          <w:szCs w:val="18"/>
          <w:i w:val="1"/>
          <w:iCs w:val="1"/>
          <w:color w:val="auto"/>
        </w:rPr>
        <w:t>Liabilities</w:t>
      </w:r>
      <w:r>
        <w:rPr>
          <w:rFonts w:ascii="Arial" w:cs="Arial" w:eastAsia="Arial" w:hAnsi="Arial"/>
          <w:sz w:val="18"/>
          <w:szCs w:val="18"/>
          <w:color w:val="auto"/>
        </w:rPr>
        <w:t>. If this Agreement is terminated pursuant to this Section, such termination shall be without liability of any party to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party except as provided in Section 4 hereof, and provided further that Sections 1, 6, 7, 8, 13 and 14 shall survive such termination and remain in full force and effect.</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Default by One or More of the Underwriters</w:t>
      </w:r>
      <w:r>
        <w:rPr>
          <w:rFonts w:ascii="Arial" w:cs="Arial" w:eastAsia="Arial" w:hAnsi="Arial"/>
          <w:sz w:val="18"/>
          <w:szCs w:val="18"/>
          <w:color w:val="auto"/>
        </w:rPr>
        <w:t>. If one or more of the Underwriters shall fail at the Closing Time or a Date of Delivery to purchase the Securities which it or they are obligated to purchase under this Agreement (the “Defaulted Securities”), the Representatives shall have the right, within 24 hours thereafter, to make arrangements for one or more of the non-defaulting Underwriters, or any other underwriters, to purchase all, but not less than all, of the Defaulted Securities in such amounts as may be agreed upon and upon the terms herein set forth; if, however, the Representatives shall not have completed such arrangements within such 24-hour period, then: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9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2" w:name="page413"/>
    <w:bookmarkEnd w:id="412"/>
    <w:p>
      <w:pPr>
        <w:jc w:val="both"/>
        <w:ind w:left="660" w:firstLine="644"/>
        <w:spacing w:after="0" w:line="286" w:lineRule="auto"/>
        <w:tabs>
          <w:tab w:leader="none" w:pos="1527" w:val="left"/>
        </w:tabs>
        <w:numPr>
          <w:ilvl w:val="0"/>
          <w:numId w:val="277"/>
        </w:numPr>
        <w:rPr>
          <w:rFonts w:ascii="Arial" w:cs="Arial" w:eastAsia="Arial" w:hAnsi="Arial"/>
          <w:sz w:val="17"/>
          <w:szCs w:val="17"/>
          <w:color w:val="auto"/>
        </w:rPr>
      </w:pPr>
      <w:r>
        <w:rPr>
          <w:rFonts w:ascii="Arial" w:cs="Arial" w:eastAsia="Arial" w:hAnsi="Arial"/>
          <w:sz w:val="17"/>
          <w:szCs w:val="17"/>
          <w:color w:val="auto"/>
        </w:rPr>
        <w:t>if the number of Defaulted Securities does not exceed 10% of the number of Securities to be purchased on such date, each of the non-defaulting Underwriters shall be obligated, severally and not jointly, to purchase the full amount thereof in the proportions that their respective underwriting obligations hereunder bear to the underwriting obligations of all non-defaulting Underwriters, or</w:t>
      </w:r>
    </w:p>
    <w:p>
      <w:pPr>
        <w:spacing w:after="0" w:line="165" w:lineRule="exact"/>
        <w:rPr>
          <w:rFonts w:ascii="Arial" w:cs="Arial" w:eastAsia="Arial" w:hAnsi="Arial"/>
          <w:sz w:val="17"/>
          <w:szCs w:val="17"/>
          <w:color w:val="auto"/>
        </w:rPr>
      </w:pPr>
    </w:p>
    <w:p>
      <w:pPr>
        <w:jc w:val="both"/>
        <w:ind w:left="660" w:firstLine="644"/>
        <w:spacing w:after="0" w:line="259" w:lineRule="auto"/>
        <w:tabs>
          <w:tab w:leader="none" w:pos="1577"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if the number of Defaulted Securities exceeds 10% of the number of Securities to be purchased on such date, this Agreement or, with respect to any Date of Delivery which occurs after the Closing Time, the obligation of the Underwriters to purchase, and the Company to sell, the Option Securities to be purchased and sold on such Date of Delivery shall terminate without liability on the part of any non-defaulting Underwriter.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action taken pursuant to this Section shall relieve any defaulting Underwriter from liability in respect of its default.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event of any such default which does not result in a termination of this Agreement or, in the case of a Date of Delivery which is after the Closing Time, which does not result in a termination of the obligation of the Underwriters to purchase and the Company to sell the relevant Option Securities, as the case may be, either the (i) Representatives or (ii) the Company shall have the right to postpone Closing Time or the relevant Date of Delivery, as the case may be, for a period not exceeding seven days in order to effect any required changes in the Registration Statement, the General Disclosure Package or the Prospectus or in any other documents or arrangements. As used herein, the term “Underwriter” includes any person substituted for an Underwriter under this Section 10.</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hereunder shall be in writing and shall be deemed to have been duly given if mailed or transmitted by any standard form of telecommunication. Notices to the Underwriters shall be directed to BofAS at One Bryant Park, New York, New York 10036, attention of Syndicate Department (facsimile: (646) 855-3073), with a copy to ECM Legal (facsimile: (212) 230-8730) or Jefferies at 520 Madison Avenue New York, New York 10022, attention of General Counsel (facsimile: (646) 619-4437); notices to the Company shall be directed to it at Friedrich-Miescher-Strasse 15, 72076, Tübingen, Germany, attention of Mr. Franz-Werner Haas.</w:t>
      </w:r>
    </w:p>
    <w:p>
      <w:pPr>
        <w:spacing w:after="0" w:line="176"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No Advisory or Fiduciary Relationship</w:t>
      </w:r>
      <w:r>
        <w:rPr>
          <w:rFonts w:ascii="Arial" w:cs="Arial" w:eastAsia="Arial" w:hAnsi="Arial"/>
          <w:sz w:val="16"/>
          <w:szCs w:val="16"/>
          <w:color w:val="auto"/>
        </w:rPr>
        <w:t>. The Company acknowledges and agrees that (a) the purchase and sale of the Securities pursuant to this Agreement, including the determination of the public offering price of the Securities and any related discounts and commissions, is an arm’s-length commercial transaction between the Company, on the one hand, and the several Underwriters, on the other hand, (b) in connection with the offering of the Securities and the process leading thereto, each Underwriter is and has been acting solely as a principal and is not the agent or fiduciary of the Company, any of its subsidiaries or their respective shareholders, creditors, employees or any other party, (c) no Underwriter has assumed or will assume an advisory or fiduciary responsibility in favor of the Company with respect to the offering of the Securities or the process leading thereto (irrespective of whether such Underwriter has advised or is currently advising the Company or any of its subsidiaries on other matters) and no Underwriter has any obligation to the Company with respect to the offering of the Securities except the obligations expressly set forth in this Agreement, (d) the Underwriters and their respective affiliates may be engaged in a broad range of transactions that involve interests that differ from those of the Company and</w:t>
      </w:r>
    </w:p>
    <w:p>
      <w:pPr>
        <w:spacing w:after="0" w:line="6" w:lineRule="exact"/>
        <w:rPr>
          <w:sz w:val="20"/>
          <w:szCs w:val="20"/>
          <w:color w:val="auto"/>
        </w:rPr>
      </w:pPr>
    </w:p>
    <w:p>
      <w:pPr>
        <w:ind w:firstLine="8"/>
        <w:spacing w:after="0" w:line="260" w:lineRule="auto"/>
        <w:tabs>
          <w:tab w:leader="none" w:pos="255"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Underwriters have not provided any legal, accounting, regulatory or tax advice with respect to the offering of the Securities and the Company has consulted its own respective legal, accounting, regulatory and tax advisors to the extent it deemed appropriate.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9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3" w:name="page414"/>
    <w:bookmarkEnd w:id="413"/>
    <w:p>
      <w:pPr>
        <w:ind w:left="660"/>
        <w:spacing w:after="0"/>
        <w:tabs>
          <w:tab w:leader="none" w:pos="194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u w:val="single" w:color="auto"/>
          <w:color w:val="auto"/>
        </w:rPr>
        <w:t>Recognition of the U.S. Special Resolution Regimes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59" w:lineRule="auto"/>
        <w:tabs>
          <w:tab w:leader="none" w:pos="1407"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439"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For purposes of this Section 13,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Arial" w:cs="Arial" w:eastAsia="Arial" w:hAnsi="Arial"/>
          <w:sz w:val="18"/>
          <w:szCs w:val="18"/>
          <w:b w:val="1"/>
          <w:bCs w:val="1"/>
          <w:color w:val="auto"/>
        </w:rPr>
        <w:t>“</w:t>
      </w:r>
      <w:r>
        <w:rPr>
          <w:rFonts w:ascii="Arial" w:cs="Arial" w:eastAsia="Arial" w:hAnsi="Arial"/>
          <w:sz w:val="18"/>
          <w:szCs w:val="18"/>
          <w:color w:val="auto"/>
        </w:rPr>
        <w:t>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Parties</w:t>
      </w:r>
      <w:r>
        <w:rPr>
          <w:rFonts w:ascii="Arial" w:cs="Arial" w:eastAsia="Arial" w:hAnsi="Arial"/>
          <w:sz w:val="18"/>
          <w:szCs w:val="18"/>
          <w:color w:val="auto"/>
        </w:rPr>
        <w:t>. This Agreement shall each inure to the benefit of and be binding upon the Underwriters and the Company and their respective successors. Nothing expressed or mentioned in this Agreement is intended or shall be construed to give any person, firm or corporation, other than the Underwriters and the Company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and the Company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Trial by Jury</w:t>
      </w:r>
      <w:r>
        <w:rPr>
          <w:rFonts w:ascii="Arial" w:cs="Arial" w:eastAsia="Arial" w:hAnsi="Arial"/>
          <w:sz w:val="18"/>
          <w:szCs w:val="18"/>
          <w:color w:val="auto"/>
        </w:rPr>
        <w:t>. The Company (on its behalf and, to the extent permitted by applicable law, on behalf of its shareholders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CLAIM, CONTROVERSY OR DISPUTE ARISING UNDER OR RELATED TO THIS AGREEMENT SHALL BE GOVERNED BY, AND CONSTRUED IN ACCORDANCE WITH THE LAWS OF, THE STATE OF NEW YORK WITHOUT REGARD TO ITS CHOICE OF LAW PROVISIONS.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9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4" w:name="page415"/>
    <w:bookmarkEnd w:id="414"/>
    <w:p>
      <w:pPr>
        <w:jc w:val="both"/>
        <w:ind w:firstLine="648"/>
        <w:spacing w:after="0" w:line="285" w:lineRule="auto"/>
        <w:rPr>
          <w:sz w:val="20"/>
          <w:szCs w:val="20"/>
          <w:color w:val="auto"/>
        </w:rPr>
      </w:pPr>
      <w:r>
        <w:rPr>
          <w:rFonts w:ascii="Arial" w:cs="Arial" w:eastAsia="Arial" w:hAnsi="Arial"/>
          <w:sz w:val="16"/>
          <w:szCs w:val="16"/>
          <w:color w:val="auto"/>
        </w:rPr>
        <w:t xml:space="preserve">SECTION 17. </w:t>
      </w:r>
      <w:r>
        <w:rPr>
          <w:rFonts w:ascii="Arial" w:cs="Arial" w:eastAsia="Arial" w:hAnsi="Arial"/>
          <w:sz w:val="16"/>
          <w:szCs w:val="16"/>
          <w:u w:val="single" w:color="auto"/>
          <w:color w:val="auto"/>
        </w:rPr>
        <w:t>Consent to Jurisdiction; Waiver of Immunity</w:t>
      </w:r>
      <w:r>
        <w:rPr>
          <w:rFonts w:ascii="Arial" w:cs="Arial" w:eastAsia="Arial" w:hAnsi="Arial"/>
          <w:sz w:val="16"/>
          <w:szCs w:val="16"/>
          <w:color w:val="auto"/>
        </w:rPr>
        <w:t>. Any legal suit, action or proceeding arising out of or based upon this Agreement or the transactions contemplated hereby (“Related Proceedings”) shall be instituted in (i) the federal courts of the United States of America located in the City and County of New York, Borough of Manhattan or (ii) the courts of the State of New York located in the City and County of New York, Borough of Manhattan (collectively, the “Specified Courts”), and each party irrevocably submits to the exclusive jurisdiction (except for proceedings instituted in regard to the enforcement of a judgment of any such court (a “Related Judgment”),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Each party not located in the United States irrevocably appoints CureVac Inc. as its agent to receive service of process or other legal summons for purposes of any such suit, action or proceeding that may be instituted in any state or federal court in the City and County of New York. With respect to any Related Proceeding, each party irrevocably waives, to the fullest extent permitted by applicable law, all immunity (whether on the basis of sovereignty or otherwise) from jurisdiction, service of process, attachment (both before and after judgment) and execution to which it might otherwise be entitled in the Specified Courts, and with respect to any Related Judgment, each party waives any such immunity in the Specified Courts or any other court of competent jurisdiction, and will not raise or claim or cause to be pleaded any such immunity at or in respect of any such Related Proceeding or Related Judgment, including, without limitation, any immunity pursuant to the United States Foreign Sovereign Immunities Act of 1976, as amended.</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TIME</w:t>
      </w:r>
      <w:r>
        <w:rPr>
          <w:rFonts w:ascii="Arial" w:cs="Arial" w:eastAsia="Arial" w:hAnsi="Arial"/>
          <w:sz w:val="18"/>
          <w:szCs w:val="18"/>
          <w:color w:val="auto"/>
        </w:rPr>
        <w:t>. TIME SHALL BE OF THE ESSENCE OF THIS AGREEMENT. EXCEPT AS OTHERWISE SET FORTH HEREIN, SPECIFIED TIMES OF DAY REFER TO NEW YORK CITY TIME.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to be an original, but all such counterparts shall together constitute one and the same Agreement.</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20.</w:t>
      </w:r>
      <w:r>
        <w:rPr>
          <w:sz w:val="20"/>
          <w:szCs w:val="20"/>
          <w:color w:val="auto"/>
        </w:rPr>
        <w:tab/>
      </w:r>
      <w:r>
        <w:rPr>
          <w:rFonts w:ascii="Arial" w:cs="Arial" w:eastAsia="Arial" w:hAnsi="Arial"/>
          <w:sz w:val="16"/>
          <w:szCs w:val="16"/>
          <w:u w:val="single" w:color="auto"/>
          <w:color w:val="auto"/>
        </w:rPr>
        <w:t>Effect of Headings</w:t>
      </w:r>
      <w:r>
        <w:rPr>
          <w:rFonts w:ascii="Arial" w:cs="Arial" w:eastAsia="Arial" w:hAnsi="Arial"/>
          <w:sz w:val="16"/>
          <w:szCs w:val="16"/>
          <w:color w:val="auto"/>
        </w:rPr>
        <w:t>. The Section headings herein are for convenience only and shall not affect the construction hereof.</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Affiliates</w:t>
      </w:r>
      <w:r>
        <w:rPr>
          <w:rFonts w:ascii="Arial" w:cs="Arial" w:eastAsia="Arial" w:hAnsi="Arial"/>
          <w:sz w:val="18"/>
          <w:szCs w:val="18"/>
          <w:color w:val="auto"/>
        </w:rPr>
        <w:t>. Sales of Common Shares made outside of the United States may be made by affiliates of the Underwriters acting as their agents.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9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5" w:name="page416"/>
    <w:bookmarkEnd w:id="415"/>
    <w:p>
      <w:pPr>
        <w:jc w:val="both"/>
        <w:ind w:firstLine="648"/>
        <w:spacing w:after="0" w:line="263" w:lineRule="auto"/>
        <w:rPr>
          <w:sz w:val="20"/>
          <w:szCs w:val="20"/>
          <w:color w:val="auto"/>
        </w:rPr>
      </w:pPr>
      <w:r>
        <w:rPr>
          <w:rFonts w:ascii="Arial" w:cs="Arial" w:eastAsia="Arial" w:hAnsi="Arial"/>
          <w:sz w:val="18"/>
          <w:szCs w:val="18"/>
          <w:color w:val="auto"/>
        </w:rPr>
        <w:t>If the foregoing is in accordance with your understanding of our agreement, please sign and return to the Company a counterpart hereof, whereupon this instrument, along with all counterparts, will become a binding agreement among the Underwriters and the Company in accordance with its terms.</w:t>
      </w:r>
    </w:p>
    <w:p>
      <w:pPr>
        <w:spacing w:after="0" w:line="40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CureVac N.V.</w:t>
      </w:r>
    </w:p>
    <w:p>
      <w:pPr>
        <w:spacing w:after="0" w:line="200" w:lineRule="exact"/>
        <w:rPr>
          <w:sz w:val="20"/>
          <w:szCs w:val="20"/>
          <w:color w:val="auto"/>
        </w:rPr>
      </w:pPr>
    </w:p>
    <w:p>
      <w:pPr>
        <w:spacing w:after="0" w:line="2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914">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 as of the date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 JEFFERIES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BOFA SECURITIES,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91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By: JEFFERIES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916">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Authorized Signatory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as Representatives of the other Underwriters named in Schedule A hereto.</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9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6" w:name="page417"/>
    <w:bookmarkEnd w:id="416"/>
    <w:p>
      <w:pPr>
        <w:jc w:val="center"/>
        <w:spacing w:after="0"/>
        <w:rPr>
          <w:sz w:val="20"/>
          <w:szCs w:val="20"/>
          <w:color w:val="auto"/>
        </w:rPr>
      </w:pPr>
      <w:r>
        <w:rPr>
          <w:rFonts w:ascii="Arial" w:cs="Arial" w:eastAsia="Arial" w:hAnsi="Arial"/>
          <w:sz w:val="18"/>
          <w:szCs w:val="18"/>
          <w:color w:val="auto"/>
        </w:rPr>
        <w:t>SCHEDULE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public offering price per share for the Securities shall be $[ ● ].</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purchase price per share for the Securities to be paid by the several Underwriters shall be $[ • ], being an amount equal to the public offering price set forth above less $[ ● ] per share.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Number of</w:t>
            </w:r>
          </w:p>
        </w:tc>
      </w:tr>
      <w:tr>
        <w:trPr>
          <w:trHeight w:val="216"/>
        </w:trPr>
        <w:tc>
          <w:tcPr>
            <w:tcW w:w="1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Initial</w:t>
            </w:r>
          </w:p>
        </w:tc>
      </w:tr>
      <w:tr>
        <w:trPr>
          <w:trHeight w:val="230"/>
        </w:trPr>
        <w:tc>
          <w:tcPr>
            <w:tcW w:w="10020" w:type="dxa"/>
            <w:vAlign w:val="bottom"/>
            <w:gridSpan w:val="3"/>
          </w:tcPr>
          <w:p>
            <w:pPr>
              <w:spacing w:after="0"/>
              <w:rPr>
                <w:sz w:val="20"/>
                <w:szCs w:val="20"/>
                <w:color w:val="auto"/>
              </w:rPr>
            </w:pPr>
            <w:r>
              <w:rPr>
                <w:rFonts w:ascii="Arial" w:cs="Arial" w:eastAsia="Arial" w:hAnsi="Arial"/>
                <w:sz w:val="18"/>
                <w:szCs w:val="18"/>
                <w:color w:val="auto"/>
              </w:rPr>
              <w:t>Name of Underwriter</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Securities</w:t>
            </w:r>
          </w:p>
        </w:tc>
      </w:tr>
      <w:tr>
        <w:trPr>
          <w:trHeight w:val="210"/>
        </w:trPr>
        <w:tc>
          <w:tcPr>
            <w:tcW w:w="99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BofA Securities, Inc.</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 ● ]</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3"/>
          </w:tcPr>
          <w:p>
            <w:pPr>
              <w:spacing w:after="0"/>
              <w:rPr>
                <w:sz w:val="20"/>
                <w:szCs w:val="20"/>
                <w:color w:val="auto"/>
              </w:rPr>
            </w:pPr>
            <w:r>
              <w:rPr>
                <w:rFonts w:ascii="Arial" w:cs="Arial" w:eastAsia="Arial" w:hAnsi="Arial"/>
                <w:sz w:val="18"/>
                <w:szCs w:val="18"/>
                <w:color w:val="auto"/>
              </w:rPr>
              <w:t>Jefferies LLC</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 ● ]</w:t>
            </w:r>
          </w:p>
        </w:tc>
      </w:tr>
      <w:tr>
        <w:trPr>
          <w:trHeight w:val="216"/>
        </w:trPr>
        <w:tc>
          <w:tcPr>
            <w:tcW w:w="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 ● ]</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990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 ● ]</w:t>
            </w:r>
          </w:p>
        </w:tc>
      </w:tr>
      <w:tr>
        <w:trPr>
          <w:trHeight w:val="230"/>
        </w:trPr>
        <w:tc>
          <w:tcPr>
            <w:tcW w:w="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 ● ]</w:t>
            </w:r>
          </w:p>
        </w:tc>
      </w:tr>
      <w:tr>
        <w:trPr>
          <w:trHeight w:val="209"/>
        </w:trPr>
        <w:tc>
          <w:tcPr>
            <w:tcW w:w="1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120" w:type="dxa"/>
            <w:vAlign w:val="bottom"/>
            <w:shd w:val="clear" w:color="auto" w:fill="CCEEFF"/>
          </w:tcPr>
          <w:p>
            <w:pPr>
              <w:spacing w:after="0"/>
              <w:rPr>
                <w:sz w:val="21"/>
                <w:szCs w:val="21"/>
                <w:color w:val="auto"/>
              </w:rPr>
            </w:pPr>
          </w:p>
        </w:tc>
        <w:tc>
          <w:tcPr>
            <w:tcW w:w="9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 ● ]</w:t>
            </w: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9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9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7" w:name="page418"/>
    <w:bookmarkEnd w:id="417"/>
    <w:p>
      <w:pPr>
        <w:jc w:val="center"/>
        <w:ind w:right="-731"/>
        <w:spacing w:after="0"/>
        <w:rPr>
          <w:sz w:val="20"/>
          <w:szCs w:val="20"/>
          <w:color w:val="auto"/>
        </w:rPr>
      </w:pPr>
      <w:r>
        <w:rPr>
          <w:rFonts w:ascii="Arial" w:cs="Arial" w:eastAsia="Arial" w:hAnsi="Arial"/>
          <w:sz w:val="18"/>
          <w:szCs w:val="18"/>
          <w:color w:val="auto"/>
        </w:rPr>
        <w:t>SCHEDULE B-1</w:t>
      </w:r>
    </w:p>
    <w:p>
      <w:pPr>
        <w:spacing w:after="0" w:line="225" w:lineRule="exact"/>
        <w:rPr>
          <w:sz w:val="20"/>
          <w:szCs w:val="20"/>
          <w:color w:val="auto"/>
        </w:rPr>
      </w:pPr>
    </w:p>
    <w:p>
      <w:pPr>
        <w:ind w:left="5112"/>
        <w:spacing w:after="0"/>
        <w:rPr>
          <w:sz w:val="20"/>
          <w:szCs w:val="20"/>
          <w:color w:val="auto"/>
        </w:rPr>
      </w:pPr>
      <w:r>
        <w:rPr>
          <w:rFonts w:ascii="Arial" w:cs="Arial" w:eastAsia="Arial" w:hAnsi="Arial"/>
          <w:sz w:val="18"/>
          <w:szCs w:val="18"/>
          <w:u w:val="single" w:color="auto"/>
          <w:color w:val="auto"/>
        </w:rPr>
        <w:t>Pricing Terms</w:t>
      </w:r>
    </w:p>
    <w:p>
      <w:pPr>
        <w:spacing w:after="0" w:line="225" w:lineRule="exact"/>
        <w:rPr>
          <w:sz w:val="20"/>
          <w:szCs w:val="20"/>
          <w:color w:val="auto"/>
        </w:rPr>
      </w:pPr>
    </w:p>
    <w:p>
      <w:pPr>
        <w:ind w:left="672" w:hanging="672"/>
        <w:spacing w:after="0"/>
        <w:tabs>
          <w:tab w:leader="none" w:pos="67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Company is selling [ ● ] Common Shares.</w:t>
      </w:r>
    </w:p>
    <w:p>
      <w:pPr>
        <w:spacing w:after="0" w:line="225" w:lineRule="exact"/>
        <w:rPr>
          <w:rFonts w:ascii="Arial" w:cs="Arial" w:eastAsia="Arial" w:hAnsi="Arial"/>
          <w:sz w:val="18"/>
          <w:szCs w:val="18"/>
          <w:color w:val="auto"/>
        </w:rPr>
      </w:pPr>
    </w:p>
    <w:p>
      <w:pPr>
        <w:ind w:left="672" w:hanging="672"/>
        <w:spacing w:after="0"/>
        <w:tabs>
          <w:tab w:leader="none" w:pos="672" w:val="left"/>
        </w:tabs>
        <w:numPr>
          <w:ilvl w:val="0"/>
          <w:numId w:val="280"/>
        </w:numPr>
        <w:rPr>
          <w:rFonts w:ascii="Arial" w:cs="Arial" w:eastAsia="Arial" w:hAnsi="Arial"/>
          <w:sz w:val="16"/>
          <w:szCs w:val="16"/>
          <w:color w:val="auto"/>
        </w:rPr>
      </w:pPr>
      <w:r>
        <w:rPr>
          <w:rFonts w:ascii="Arial" w:cs="Arial" w:eastAsia="Arial" w:hAnsi="Arial"/>
          <w:sz w:val="16"/>
          <w:szCs w:val="16"/>
          <w:color w:val="auto"/>
        </w:rPr>
        <w:t>The Company has granted an option to the Underwriters, severally and not jointly, to purchase up to an additional [ ● ] Common Shares.</w:t>
      </w:r>
    </w:p>
    <w:p>
      <w:pPr>
        <w:spacing w:after="0" w:line="248" w:lineRule="exact"/>
        <w:rPr>
          <w:rFonts w:ascii="Arial" w:cs="Arial" w:eastAsia="Arial" w:hAnsi="Arial"/>
          <w:sz w:val="16"/>
          <w:szCs w:val="16"/>
          <w:color w:val="auto"/>
        </w:rPr>
      </w:pPr>
    </w:p>
    <w:p>
      <w:pPr>
        <w:ind w:left="672" w:hanging="672"/>
        <w:spacing w:after="0"/>
        <w:tabs>
          <w:tab w:leader="none" w:pos="67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public offering price per share for the Securities shall be $[ ● ].</w:t>
      </w:r>
    </w:p>
    <w:p>
      <w:pPr>
        <w:spacing w:after="0" w:line="200" w:lineRule="exact"/>
        <w:rPr>
          <w:sz w:val="20"/>
          <w:szCs w:val="20"/>
          <w:color w:val="auto"/>
        </w:rPr>
      </w:pPr>
    </w:p>
    <w:p>
      <w:pPr>
        <w:spacing w:after="0" w:line="241" w:lineRule="exact"/>
        <w:rPr>
          <w:sz w:val="20"/>
          <w:szCs w:val="20"/>
          <w:color w:val="auto"/>
        </w:rPr>
      </w:pPr>
    </w:p>
    <w:p>
      <w:pPr>
        <w:ind w:left="5332"/>
        <w:spacing w:after="0"/>
        <w:rPr>
          <w:sz w:val="20"/>
          <w:szCs w:val="20"/>
          <w:color w:val="auto"/>
        </w:rPr>
      </w:pPr>
      <w:r>
        <w:rPr>
          <w:rFonts w:ascii="Arial" w:cs="Arial" w:eastAsia="Arial" w:hAnsi="Arial"/>
          <w:sz w:val="18"/>
          <w:szCs w:val="18"/>
          <w:color w:val="auto"/>
        </w:rPr>
        <w:t>Sch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9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12"/>
          </w:cols>
          <w:pgMar w:left="328" w:top="908" w:right="1059" w:bottom="1440" w:gutter="0" w:footer="0" w:header="0"/>
        </w:sectPr>
      </w:pPr>
    </w:p>
    <w:bookmarkStart w:id="418" w:name="page419"/>
    <w:bookmarkEnd w:id="418"/>
    <w:p>
      <w:pPr>
        <w:jc w:val="center"/>
        <w:ind w:right="-1100"/>
        <w:spacing w:after="0"/>
        <w:rPr>
          <w:sz w:val="20"/>
          <w:szCs w:val="20"/>
          <w:color w:val="auto"/>
        </w:rPr>
      </w:pPr>
      <w:r>
        <w:rPr>
          <w:rFonts w:ascii="Arial" w:cs="Arial" w:eastAsia="Arial" w:hAnsi="Arial"/>
          <w:sz w:val="18"/>
          <w:szCs w:val="18"/>
          <w:color w:val="auto"/>
        </w:rPr>
        <w:t>SCHEDULE B-2</w:t>
      </w:r>
    </w:p>
    <w:p>
      <w:pPr>
        <w:spacing w:after="0" w:line="225" w:lineRule="exact"/>
        <w:rPr>
          <w:sz w:val="20"/>
          <w:szCs w:val="20"/>
          <w:color w:val="auto"/>
        </w:rPr>
      </w:pPr>
    </w:p>
    <w:p>
      <w:pPr>
        <w:jc w:val="right"/>
        <w:ind w:right="3579"/>
        <w:spacing w:after="0"/>
        <w:rPr>
          <w:sz w:val="20"/>
          <w:szCs w:val="20"/>
          <w:color w:val="auto"/>
        </w:rPr>
      </w:pPr>
      <w:r>
        <w:rPr>
          <w:rFonts w:ascii="Arial" w:cs="Arial" w:eastAsia="Arial" w:hAnsi="Arial"/>
          <w:sz w:val="18"/>
          <w:szCs w:val="18"/>
          <w:u w:val="single" w:color="auto"/>
          <w:color w:val="auto"/>
        </w:rPr>
        <w:t>Free Writing Prospectuses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Sch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9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419" w:name="page420"/>
    <w:bookmarkEnd w:id="419"/>
    <w:p>
      <w:pPr>
        <w:jc w:val="center"/>
        <w:ind w:right="-1100"/>
        <w:spacing w:after="0"/>
        <w:rPr>
          <w:sz w:val="20"/>
          <w:szCs w:val="20"/>
          <w:color w:val="auto"/>
        </w:rPr>
      </w:pPr>
      <w:r>
        <w:rPr>
          <w:rFonts w:ascii="Arial" w:cs="Arial" w:eastAsia="Arial" w:hAnsi="Arial"/>
          <w:sz w:val="18"/>
          <w:szCs w:val="18"/>
          <w:color w:val="auto"/>
        </w:rPr>
        <w:t>SCHEDULE C</w:t>
      </w:r>
    </w:p>
    <w:p>
      <w:pPr>
        <w:spacing w:after="0" w:line="225" w:lineRule="exact"/>
        <w:rPr>
          <w:sz w:val="20"/>
          <w:szCs w:val="20"/>
          <w:color w:val="auto"/>
        </w:rPr>
      </w:pPr>
    </w:p>
    <w:p>
      <w:pPr>
        <w:jc w:val="right"/>
        <w:ind w:right="2819"/>
        <w:spacing w:after="0"/>
        <w:rPr>
          <w:sz w:val="20"/>
          <w:szCs w:val="20"/>
          <w:color w:val="auto"/>
        </w:rPr>
      </w:pPr>
      <w:r>
        <w:rPr>
          <w:rFonts w:ascii="Arial" w:cs="Arial" w:eastAsia="Arial" w:hAnsi="Arial"/>
          <w:sz w:val="18"/>
          <w:szCs w:val="18"/>
          <w:u w:val="single" w:color="auto"/>
          <w:color w:val="auto"/>
        </w:rPr>
        <w:t>List of Persons and Entities Subject to Lock-up</w:t>
      </w:r>
    </w:p>
    <w:p>
      <w:pPr>
        <w:spacing w:after="0" w:line="225" w:lineRule="exact"/>
        <w:rPr>
          <w:sz w:val="20"/>
          <w:szCs w:val="20"/>
          <w:color w:val="auto"/>
        </w:rPr>
      </w:pPr>
    </w:p>
    <w:p>
      <w:pPr>
        <w:ind w:left="660" w:hanging="652"/>
        <w:spacing w:after="0"/>
        <w:tabs>
          <w:tab w:leader="none" w:pos="6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Florian von der Mülbe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Mariola Fotin-Mleczek</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Franz-Werner Haas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Pierre Kemula</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Ralf Clemens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Mathias Hothum</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Baron Jean Stéphenne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Hans Cristoph Tanner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Friedrich von Bohlen und Halbach</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Timothy M. Wright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Craig A. Tooman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Bernd Winterhalter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Igor Splawski</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Antony Blanc</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Viola Bronsema</w:t>
      </w:r>
    </w:p>
    <w:p>
      <w:pPr>
        <w:spacing w:after="0" w:line="225"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Sch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9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420" w:name="page421"/>
    <w:bookmarkEnd w:id="420"/>
    <w:p>
      <w:pPr>
        <w:jc w:val="center"/>
        <w:ind w:right="-1100"/>
        <w:spacing w:after="0"/>
        <w:rPr>
          <w:sz w:val="20"/>
          <w:szCs w:val="20"/>
          <w:color w:val="auto"/>
        </w:rPr>
      </w:pPr>
      <w:r>
        <w:rPr>
          <w:rFonts w:ascii="Arial" w:cs="Arial" w:eastAsia="Arial" w:hAnsi="Arial"/>
          <w:sz w:val="18"/>
          <w:szCs w:val="18"/>
          <w:color w:val="auto"/>
        </w:rPr>
        <w:t>SCHEDULE D</w:t>
      </w:r>
    </w:p>
    <w:p>
      <w:pPr>
        <w:spacing w:after="0" w:line="225" w:lineRule="exact"/>
        <w:rPr>
          <w:sz w:val="20"/>
          <w:szCs w:val="20"/>
          <w:color w:val="auto"/>
        </w:rPr>
      </w:pPr>
    </w:p>
    <w:p>
      <w:pPr>
        <w:jc w:val="right"/>
        <w:ind w:right="2939"/>
        <w:spacing w:after="0"/>
        <w:rPr>
          <w:sz w:val="20"/>
          <w:szCs w:val="20"/>
          <w:color w:val="auto"/>
        </w:rPr>
      </w:pPr>
      <w:r>
        <w:rPr>
          <w:rFonts w:ascii="Arial" w:cs="Arial" w:eastAsia="Arial" w:hAnsi="Arial"/>
          <w:sz w:val="18"/>
          <w:szCs w:val="18"/>
          <w:u w:val="single" w:color="auto"/>
          <w:color w:val="auto"/>
        </w:rPr>
        <w:t>Written Testing-the-Water Communications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Sch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9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421" w:name="page422"/>
    <w:bookmarkEnd w:id="421"/>
    <w:p>
      <w:pPr>
        <w:jc w:val="right"/>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FORM OF OPINION OF COMPANY’S AND CUREVAC’S COUNSEL</w:t>
      </w:r>
    </w:p>
    <w:p>
      <w:pPr>
        <w:spacing w:after="0" w:line="3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TO BE DELIVERED PURSUANT TO SECTION 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9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22" w:name="page423"/>
    <w:bookmarkEnd w:id="422"/>
    <w:p>
      <w:pPr>
        <w:ind w:left="10080"/>
        <w:spacing w:after="0"/>
        <w:rPr>
          <w:sz w:val="20"/>
          <w:szCs w:val="20"/>
          <w:color w:val="auto"/>
        </w:rPr>
      </w:pPr>
      <w:r>
        <w:rPr>
          <w:rFonts w:ascii="Arial" w:cs="Arial" w:eastAsia="Arial" w:hAnsi="Arial"/>
          <w:sz w:val="17"/>
          <w:szCs w:val="17"/>
          <w:color w:val="auto"/>
        </w:rPr>
        <w:t>Exhibit B-1</w:t>
      </w:r>
    </w:p>
    <w:p>
      <w:pPr>
        <w:spacing w:after="0" w:line="237" w:lineRule="exact"/>
        <w:rPr>
          <w:sz w:val="20"/>
          <w:szCs w:val="20"/>
          <w:color w:val="auto"/>
        </w:rPr>
      </w:pPr>
    </w:p>
    <w:p>
      <w:pPr>
        <w:jc w:val="center"/>
        <w:ind w:right="320"/>
        <w:spacing w:after="0" w:line="277" w:lineRule="auto"/>
        <w:rPr>
          <w:sz w:val="20"/>
          <w:szCs w:val="20"/>
          <w:color w:val="auto"/>
        </w:rPr>
      </w:pPr>
      <w:r>
        <w:rPr>
          <w:rFonts w:ascii="Arial" w:cs="Arial" w:eastAsia="Arial" w:hAnsi="Arial"/>
          <w:sz w:val="18"/>
          <w:szCs w:val="18"/>
          <w:color w:val="auto"/>
        </w:rPr>
        <w:t>FORM OF OPINION OF PARKERHIGHLANDER PLLC, THE COMPANY’S INTELLECTUAL PROPERTY COUNSEL TO BE DELIVERED PURSUANT TO SECTION 5(c)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408940</wp:posOffset>
            </wp:positionV>
            <wp:extent cx="713232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9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0"/>
          </w:cols>
          <w:pgMar w:left="640" w:top="908" w:right="339" w:bottom="1440" w:gutter="0" w:footer="0" w:header="0"/>
        </w:sectPr>
      </w:pPr>
    </w:p>
    <w:bookmarkStart w:id="423" w:name="page424"/>
    <w:bookmarkEnd w:id="423"/>
    <w:p>
      <w:pPr>
        <w:ind w:left="10140"/>
        <w:spacing w:after="0"/>
        <w:rPr>
          <w:sz w:val="20"/>
          <w:szCs w:val="20"/>
          <w:color w:val="auto"/>
        </w:rPr>
      </w:pPr>
      <w:r>
        <w:rPr>
          <w:rFonts w:ascii="Arial" w:cs="Arial" w:eastAsia="Arial" w:hAnsi="Arial"/>
          <w:sz w:val="17"/>
          <w:szCs w:val="17"/>
          <w:color w:val="auto"/>
        </w:rPr>
        <w:t>Exhibit B-2</w:t>
      </w:r>
    </w:p>
    <w:p>
      <w:pPr>
        <w:spacing w:after="0" w:line="237" w:lineRule="exact"/>
        <w:rPr>
          <w:sz w:val="20"/>
          <w:szCs w:val="20"/>
          <w:color w:val="auto"/>
        </w:rPr>
      </w:pPr>
    </w:p>
    <w:p>
      <w:pPr>
        <w:jc w:val="center"/>
        <w:ind w:right="240"/>
        <w:spacing w:after="0" w:line="277" w:lineRule="auto"/>
        <w:rPr>
          <w:sz w:val="20"/>
          <w:szCs w:val="20"/>
          <w:color w:val="auto"/>
        </w:rPr>
      </w:pPr>
      <w:r>
        <w:rPr>
          <w:rFonts w:ascii="Arial" w:cs="Arial" w:eastAsia="Arial" w:hAnsi="Arial"/>
          <w:sz w:val="18"/>
          <w:szCs w:val="18"/>
          <w:color w:val="auto"/>
        </w:rPr>
        <w:t>FORM OF OPINION OF GRAF VON STOSCH PATENTANWALTSGESELLSCHAFT MBH, THE COMPANY’S INTELLECTUAL PROPERTY COUNSEL TO BE DELIVERED PURSUANT TO SECTION 5(c)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408940</wp:posOffset>
            </wp:positionV>
            <wp:extent cx="713232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9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580" w:top="1124" w:right="339" w:bottom="1440" w:gutter="0" w:footer="0" w:header="0"/>
        </w:sectPr>
      </w:pPr>
    </w:p>
    <w:bookmarkStart w:id="424" w:name="page425"/>
    <w:bookmarkEnd w:id="424"/>
    <w:p>
      <w:pPr>
        <w:ind w:left="10240"/>
        <w:spacing w:after="0"/>
        <w:rPr>
          <w:sz w:val="20"/>
          <w:szCs w:val="20"/>
          <w:color w:val="auto"/>
        </w:rPr>
      </w:pPr>
      <w:r>
        <w:rPr>
          <w:rFonts w:ascii="Arial" w:cs="Arial" w:eastAsia="Arial" w:hAnsi="Arial"/>
          <w:sz w:val="17"/>
          <w:szCs w:val="17"/>
          <w:color w:val="auto"/>
        </w:rPr>
        <w:t>Exhibit C</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FORM OF OPINION OF NAUTADUTILH N.V., THE COMPANY’S DUTCH COUNSEL TO BE DELIVERED PURSUANT TO SECTION 5(d)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450850</wp:posOffset>
            </wp:positionV>
            <wp:extent cx="713232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9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620" w:top="908" w:right="339" w:bottom="1440" w:gutter="0" w:footer="0" w:header="0"/>
        </w:sectPr>
      </w:pPr>
    </w:p>
    <w:bookmarkStart w:id="425" w:name="page426"/>
    <w:bookmarkEnd w:id="425"/>
    <w:p>
      <w:pPr>
        <w:jc w:val="right"/>
        <w:spacing w:after="0"/>
        <w:rPr>
          <w:sz w:val="20"/>
          <w:szCs w:val="20"/>
          <w:color w:val="auto"/>
        </w:rPr>
      </w:pPr>
      <w:r>
        <w:rPr>
          <w:rFonts w:ascii="Arial" w:cs="Arial" w:eastAsia="Arial" w:hAnsi="Arial"/>
          <w:sz w:val="18"/>
          <w:szCs w:val="18"/>
          <w:color w:val="auto"/>
        </w:rPr>
        <w:t>Exhibit D</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FORM OF LOCK-UP FROM DIRECTORS, OFFICERS OR OTHER STOCKHOLDERS</w:t>
      </w:r>
    </w:p>
    <w:p>
      <w:pPr>
        <w:spacing w:after="0" w:line="3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PURSUANT TO SECTION 5(l)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9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26" w:name="page427"/>
    <w:bookmarkEnd w:id="426"/>
    <w:p>
      <w:pPr>
        <w:jc w:val="right"/>
        <w:spacing w:after="0"/>
        <w:rPr>
          <w:sz w:val="20"/>
          <w:szCs w:val="20"/>
          <w:color w:val="auto"/>
        </w:rPr>
      </w:pPr>
      <w:r>
        <w:rPr>
          <w:rFonts w:ascii="Arial" w:cs="Arial" w:eastAsia="Arial" w:hAnsi="Arial"/>
          <w:sz w:val="18"/>
          <w:szCs w:val="18"/>
          <w:b w:val="1"/>
          <w:bCs w:val="1"/>
          <w:color w:val="auto"/>
        </w:rPr>
        <w:t>Exhibit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291465</wp:posOffset>
            </wp:positionV>
            <wp:extent cx="1431290" cy="25717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928">
                      <a:extLst>
                        <a:ext uri="{28A0092B-C50C-407E-A947-70E740481C1C}"/>
                      </a:extLst>
                    </a:blip>
                    <a:srcRect/>
                    <a:stretch>
                      <a:fillRect/>
                    </a:stretch>
                  </pic:blipFill>
                  <pic:spPr bwMode="auto">
                    <a:xfrm>
                      <a:off x="0" y="0"/>
                      <a:ext cx="143129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DEED OF ISSUE OF ORDINARY SHARES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CUREVAC N.V.</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DEED IS ENTERED INTO ON [</w:t>
      </w:r>
      <w:r>
        <w:rPr>
          <w:rFonts w:ascii="Arial" w:cs="Arial" w:eastAsia="Arial" w:hAnsi="Arial"/>
          <w:sz w:val="18"/>
          <w:szCs w:val="18"/>
          <w:b w:val="1"/>
          <w:bCs w:val="1"/>
          <w:i w:val="1"/>
          <w:iCs w:val="1"/>
          <w:color w:val="auto"/>
          <w:highlight w:val="yellow"/>
        </w:rPr>
        <w:t>date</w:t>
      </w:r>
      <w:r>
        <w:rPr>
          <w:rFonts w:ascii="Arial" w:cs="Arial" w:eastAsia="Arial" w:hAnsi="Arial"/>
          <w:sz w:val="18"/>
          <w:szCs w:val="18"/>
          <w:b w:val="1"/>
          <w:bCs w:val="1"/>
          <w:color w:val="auto"/>
        </w:rPr>
        <w:t>] 2021 BY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CureVac N.V., a public company with limited liability, having its corporate seat in Amsterdam (address: Friedrich-Miescher-Strasse 15, 72076 Tübingen,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Germany, trade register number: 77798031)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HEREBY DECLARES THE FOLLOWING</w:t>
      </w:r>
    </w:p>
    <w:p>
      <w:pPr>
        <w:spacing w:after="0" w:line="225" w:lineRule="exact"/>
        <w:rPr>
          <w:sz w:val="20"/>
          <w:szCs w:val="20"/>
          <w:color w:val="auto"/>
        </w:rPr>
      </w:pPr>
    </w:p>
    <w:p>
      <w:pPr>
        <w:ind w:left="640" w:hanging="632"/>
        <w:spacing w:after="0"/>
        <w:tabs>
          <w:tab w:leader="none" w:pos="64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1.1</w:t>
      </w:r>
      <w:r>
        <w:rPr>
          <w:rFonts w:ascii="Arial" w:cs="Arial" w:eastAsia="Arial" w:hAnsi="Arial"/>
          <w:sz w:val="16"/>
          <w:szCs w:val="16"/>
          <w:b w:val="1"/>
          <w:bCs w:val="1"/>
          <w:color w:val="auto"/>
        </w:rPr>
        <w:t>Definitions</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In this Deed the following definitions shall apply: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ind w:left="80"/>
              <w:spacing w:after="0"/>
              <w:rPr>
                <w:sz w:val="20"/>
                <w:szCs w:val="20"/>
                <w:color w:val="auto"/>
              </w:rPr>
            </w:pPr>
            <w:r>
              <w:rPr>
                <w:rFonts w:ascii="Arial" w:cs="Arial" w:eastAsia="Arial" w:hAnsi="Arial"/>
                <w:sz w:val="18"/>
                <w:szCs w:val="18"/>
                <w:b w:val="1"/>
                <w:bCs w:val="1"/>
                <w:color w:val="auto"/>
              </w:rPr>
              <w:t>Deed</w:t>
            </w:r>
          </w:p>
        </w:tc>
        <w:tc>
          <w:tcPr>
            <w:tcW w:w="8540" w:type="dxa"/>
            <w:vAlign w:val="bottom"/>
            <w:gridSpan w:val="9"/>
          </w:tcPr>
          <w:p>
            <w:pPr>
              <w:ind w:left="1460"/>
              <w:spacing w:after="0"/>
              <w:rPr>
                <w:sz w:val="20"/>
                <w:szCs w:val="20"/>
                <w:color w:val="auto"/>
              </w:rPr>
            </w:pPr>
            <w:r>
              <w:rPr>
                <w:rFonts w:ascii="Arial" w:cs="Arial" w:eastAsia="Arial" w:hAnsi="Arial"/>
                <w:sz w:val="18"/>
                <w:szCs w:val="18"/>
                <w:color w:val="auto"/>
              </w:rPr>
              <w:t>This deed of issue.</w:t>
            </w:r>
          </w:p>
        </w:tc>
        <w:tc>
          <w:tcPr>
            <w:tcW w:w="0" w:type="dxa"/>
            <w:vAlign w:val="bottom"/>
          </w:tcPr>
          <w:p>
            <w:pPr>
              <w:spacing w:after="0"/>
              <w:rPr>
                <w:sz w:val="1"/>
                <w:szCs w:val="1"/>
                <w:color w:val="auto"/>
              </w:rPr>
            </w:pPr>
          </w:p>
        </w:tc>
      </w:tr>
      <w:tr>
        <w:trPr>
          <w:trHeight w:val="418"/>
        </w:trPr>
        <w:tc>
          <w:tcPr>
            <w:tcW w:w="2700" w:type="dxa"/>
            <w:vAlign w:val="bottom"/>
          </w:tcPr>
          <w:p>
            <w:pPr>
              <w:ind w:left="80"/>
              <w:spacing w:after="0"/>
              <w:rPr>
                <w:sz w:val="20"/>
                <w:szCs w:val="20"/>
                <w:color w:val="auto"/>
              </w:rPr>
            </w:pPr>
            <w:r>
              <w:rPr>
                <w:rFonts w:ascii="Arial" w:cs="Arial" w:eastAsia="Arial" w:hAnsi="Arial"/>
                <w:sz w:val="18"/>
                <w:szCs w:val="18"/>
                <w:b w:val="1"/>
                <w:bCs w:val="1"/>
                <w:color w:val="auto"/>
              </w:rPr>
              <w:t>DTC</w:t>
            </w:r>
          </w:p>
        </w:tc>
        <w:tc>
          <w:tcPr>
            <w:tcW w:w="8540" w:type="dxa"/>
            <w:vAlign w:val="bottom"/>
            <w:gridSpan w:val="9"/>
          </w:tcPr>
          <w:p>
            <w:pPr>
              <w:ind w:left="1460"/>
              <w:spacing w:after="0"/>
              <w:rPr>
                <w:sz w:val="20"/>
                <w:szCs w:val="20"/>
                <w:color w:val="auto"/>
              </w:rPr>
            </w:pPr>
            <w:r>
              <w:rPr>
                <w:rFonts w:ascii="Arial" w:cs="Arial" w:eastAsia="Arial" w:hAnsi="Arial"/>
                <w:sz w:val="18"/>
                <w:szCs w:val="18"/>
                <w:color w:val="auto"/>
                <w:w w:val="91"/>
              </w:rPr>
              <w:t>Cede &amp; Co., a partnership under the laws of the State of New York, United States of America, as</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8540" w:type="dxa"/>
            <w:vAlign w:val="bottom"/>
            <w:gridSpan w:val="9"/>
          </w:tcPr>
          <w:p>
            <w:pPr>
              <w:ind w:left="1460"/>
              <w:spacing w:after="0"/>
              <w:rPr>
                <w:sz w:val="20"/>
                <w:szCs w:val="20"/>
                <w:color w:val="auto"/>
              </w:rPr>
            </w:pPr>
            <w:r>
              <w:rPr>
                <w:rFonts w:ascii="Arial" w:cs="Arial" w:eastAsia="Arial" w:hAnsi="Arial"/>
                <w:sz w:val="18"/>
                <w:szCs w:val="18"/>
                <w:color w:val="auto"/>
                <w:w w:val="94"/>
              </w:rPr>
              <w:t>nominee for The Depository Trust Company, a corporation under the laws of the State of New</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p>
        </w:tc>
        <w:tc>
          <w:tcPr>
            <w:tcW w:w="8540" w:type="dxa"/>
            <w:vAlign w:val="bottom"/>
            <w:gridSpan w:val="9"/>
          </w:tcPr>
          <w:p>
            <w:pPr>
              <w:ind w:left="1460"/>
              <w:spacing w:after="0"/>
              <w:rPr>
                <w:sz w:val="20"/>
                <w:szCs w:val="20"/>
                <w:color w:val="auto"/>
              </w:rPr>
            </w:pPr>
            <w:r>
              <w:rPr>
                <w:rFonts w:ascii="Arial" w:cs="Arial" w:eastAsia="Arial" w:hAnsi="Arial"/>
                <w:sz w:val="18"/>
                <w:szCs w:val="18"/>
                <w:color w:val="auto"/>
              </w:rPr>
              <w:t>York, United States of America.</w:t>
            </w:r>
          </w:p>
        </w:tc>
        <w:tc>
          <w:tcPr>
            <w:tcW w:w="0" w:type="dxa"/>
            <w:vAlign w:val="bottom"/>
          </w:tcPr>
          <w:p>
            <w:pPr>
              <w:spacing w:after="0"/>
              <w:rPr>
                <w:sz w:val="1"/>
                <w:szCs w:val="1"/>
                <w:color w:val="auto"/>
              </w:rPr>
            </w:pPr>
          </w:p>
        </w:tc>
      </w:tr>
      <w:tr>
        <w:trPr>
          <w:trHeight w:val="216"/>
        </w:trPr>
        <w:tc>
          <w:tcPr>
            <w:tcW w:w="27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Issue Price</w:t>
            </w:r>
          </w:p>
        </w:tc>
        <w:tc>
          <w:tcPr>
            <w:tcW w:w="3980" w:type="dxa"/>
            <w:vAlign w:val="bottom"/>
            <w:gridSpan w:val="3"/>
            <w:vMerge w:val="restart"/>
          </w:tcPr>
          <w:p>
            <w:pPr>
              <w:ind w:left="1460"/>
              <w:spacing w:after="0"/>
              <w:rPr>
                <w:sz w:val="20"/>
                <w:szCs w:val="20"/>
                <w:color w:val="auto"/>
              </w:rPr>
            </w:pPr>
            <w:r>
              <w:rPr>
                <w:rFonts w:ascii="Arial" w:cs="Arial" w:eastAsia="Arial" w:hAnsi="Arial"/>
                <w:sz w:val="18"/>
                <w:szCs w:val="18"/>
                <w:color w:val="auto"/>
                <w:w w:val="89"/>
              </w:rPr>
              <w:t>The issue price per Share of USD [</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vMerge w:val="restart"/>
          </w:tcPr>
          <w:p>
            <w:pPr>
              <w:jc w:val="right"/>
              <w:ind w:right="2170"/>
              <w:spacing w:after="0"/>
              <w:rPr>
                <w:sz w:val="20"/>
                <w:szCs w:val="20"/>
                <w:color w:val="auto"/>
              </w:rPr>
            </w:pPr>
            <w:r>
              <w:rPr>
                <w:rFonts w:ascii="Arial" w:cs="Arial" w:eastAsia="Arial" w:hAnsi="Arial"/>
                <w:sz w:val="18"/>
                <w:szCs w:val="18"/>
                <w:color w:val="auto"/>
                <w:w w:val="99"/>
              </w:rPr>
              <w:t>].</w:t>
            </w:r>
          </w:p>
        </w:tc>
        <w:tc>
          <w:tcPr>
            <w:tcW w:w="320" w:type="dxa"/>
            <w:vAlign w:val="bottom"/>
            <w:vMerge w:val="restart"/>
          </w:tcPr>
          <w:p>
            <w:pPr>
              <w:spacing w:after="0"/>
              <w:rPr>
                <w:sz w:val="18"/>
                <w:szCs w:val="18"/>
                <w:color w:val="auto"/>
              </w:rPr>
            </w:pPr>
          </w:p>
        </w:tc>
        <w:tc>
          <w:tcPr>
            <w:tcW w:w="13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00" w:type="dxa"/>
            <w:vAlign w:val="bottom"/>
            <w:vMerge w:val="continue"/>
          </w:tcPr>
          <w:p>
            <w:pPr>
              <w:spacing w:after="0"/>
              <w:rPr>
                <w:sz w:val="17"/>
                <w:szCs w:val="17"/>
                <w:color w:val="auto"/>
              </w:rPr>
            </w:pPr>
          </w:p>
        </w:tc>
        <w:tc>
          <w:tcPr>
            <w:tcW w:w="3980" w:type="dxa"/>
            <w:vAlign w:val="bottom"/>
            <w:gridSpan w:val="3"/>
            <w:vMerge w:val="continue"/>
          </w:tcPr>
          <w:p>
            <w:pPr>
              <w:spacing w:after="0"/>
              <w:rPr>
                <w:sz w:val="17"/>
                <w:szCs w:val="17"/>
                <w:color w:val="auto"/>
              </w:rPr>
            </w:pPr>
          </w:p>
        </w:tc>
        <w:tc>
          <w:tcPr>
            <w:tcW w:w="560" w:type="dxa"/>
            <w:vAlign w:val="bottom"/>
            <w:gridSpan w:val="3"/>
            <w:shd w:val="clear" w:color="auto" w:fill="FFFF00"/>
          </w:tcPr>
          <w:p>
            <w:pPr>
              <w:spacing w:after="0" w:line="202" w:lineRule="exact"/>
              <w:rPr>
                <w:sz w:val="20"/>
                <w:szCs w:val="20"/>
                <w:color w:val="auto"/>
              </w:rPr>
            </w:pPr>
            <w:r>
              <w:rPr>
                <w:rFonts w:ascii="Arial" w:cs="Arial" w:eastAsia="Arial" w:hAnsi="Arial"/>
                <w:sz w:val="18"/>
                <w:szCs w:val="18"/>
                <w:b w:val="1"/>
                <w:bCs w:val="1"/>
                <w:i w:val="1"/>
                <w:iCs w:val="1"/>
                <w:color w:val="auto"/>
                <w:highlight w:val="yellow"/>
                <w:w w:val="83"/>
              </w:rPr>
              <w:t>amount</w:t>
            </w:r>
          </w:p>
        </w:tc>
        <w:tc>
          <w:tcPr>
            <w:tcW w:w="238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1"/>
        </w:trPr>
        <w:tc>
          <w:tcPr>
            <w:tcW w:w="2700" w:type="dxa"/>
            <w:vAlign w:val="bottom"/>
          </w:tcPr>
          <w:p>
            <w:pPr>
              <w:ind w:left="80"/>
              <w:spacing w:after="0"/>
              <w:rPr>
                <w:sz w:val="20"/>
                <w:szCs w:val="20"/>
                <w:color w:val="auto"/>
              </w:rPr>
            </w:pPr>
            <w:r>
              <w:rPr>
                <w:rFonts w:ascii="Arial" w:cs="Arial" w:eastAsia="Arial" w:hAnsi="Arial"/>
                <w:sz w:val="18"/>
                <w:szCs w:val="18"/>
                <w:b w:val="1"/>
                <w:bCs w:val="1"/>
                <w:color w:val="auto"/>
              </w:rPr>
              <w:t>Offering</w:t>
            </w:r>
          </w:p>
        </w:tc>
        <w:tc>
          <w:tcPr>
            <w:tcW w:w="8540" w:type="dxa"/>
            <w:vAlign w:val="bottom"/>
            <w:gridSpan w:val="9"/>
          </w:tcPr>
          <w:p>
            <w:pPr>
              <w:ind w:left="1460"/>
              <w:spacing w:after="0"/>
              <w:rPr>
                <w:sz w:val="20"/>
                <w:szCs w:val="20"/>
                <w:color w:val="auto"/>
              </w:rPr>
            </w:pPr>
            <w:r>
              <w:rPr>
                <w:rFonts w:ascii="Arial" w:cs="Arial" w:eastAsia="Arial" w:hAnsi="Arial"/>
                <w:sz w:val="18"/>
                <w:szCs w:val="18"/>
                <w:color w:val="auto"/>
                <w:w w:val="94"/>
              </w:rPr>
              <w:t>The follow-on offering of ordinary shares in the Company's capital and the admission to listing</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p>
        </w:tc>
        <w:tc>
          <w:tcPr>
            <w:tcW w:w="8540" w:type="dxa"/>
            <w:vAlign w:val="bottom"/>
            <w:gridSpan w:val="9"/>
          </w:tcPr>
          <w:p>
            <w:pPr>
              <w:ind w:left="1460"/>
              <w:spacing w:after="0"/>
              <w:rPr>
                <w:sz w:val="20"/>
                <w:szCs w:val="20"/>
                <w:color w:val="auto"/>
              </w:rPr>
            </w:pPr>
            <w:r>
              <w:rPr>
                <w:rFonts w:ascii="Arial" w:cs="Arial" w:eastAsia="Arial" w:hAnsi="Arial"/>
                <w:sz w:val="18"/>
                <w:szCs w:val="18"/>
                <w:color w:val="auto"/>
                <w:w w:val="97"/>
              </w:rPr>
              <w:t>and trading of the ordinary shares in the Company's capital on the NASDAQ Stock Market.</w:t>
            </w:r>
          </w:p>
        </w:tc>
        <w:tc>
          <w:tcPr>
            <w:tcW w:w="0" w:type="dxa"/>
            <w:vAlign w:val="bottom"/>
          </w:tcPr>
          <w:p>
            <w:pPr>
              <w:spacing w:after="0"/>
              <w:rPr>
                <w:sz w:val="1"/>
                <w:szCs w:val="1"/>
                <w:color w:val="auto"/>
              </w:rPr>
            </w:pPr>
          </w:p>
        </w:tc>
      </w:tr>
      <w:tr>
        <w:trPr>
          <w:trHeight w:val="216"/>
        </w:trPr>
        <w:tc>
          <w:tcPr>
            <w:tcW w:w="27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Resolutions</w:t>
            </w:r>
          </w:p>
        </w:tc>
        <w:tc>
          <w:tcPr>
            <w:tcW w:w="6920" w:type="dxa"/>
            <w:vAlign w:val="bottom"/>
            <w:gridSpan w:val="7"/>
            <w:vMerge w:val="restart"/>
          </w:tcPr>
          <w:p>
            <w:pPr>
              <w:ind w:left="1460"/>
              <w:spacing w:after="0"/>
              <w:rPr>
                <w:sz w:val="20"/>
                <w:szCs w:val="20"/>
                <w:color w:val="auto"/>
              </w:rPr>
            </w:pPr>
            <w:r>
              <w:rPr>
                <w:rFonts w:ascii="Arial" w:cs="Arial" w:eastAsia="Arial" w:hAnsi="Arial"/>
                <w:sz w:val="18"/>
                <w:szCs w:val="18"/>
                <w:color w:val="auto"/>
                <w:w w:val="99"/>
              </w:rPr>
              <w:t>The written resolutions of the Company's management board dated [</w:t>
            </w:r>
          </w:p>
        </w:tc>
        <w:tc>
          <w:tcPr>
            <w:tcW w:w="320" w:type="dxa"/>
            <w:vAlign w:val="bottom"/>
          </w:tcPr>
          <w:p>
            <w:pPr>
              <w:spacing w:after="0"/>
              <w:rPr>
                <w:sz w:val="18"/>
                <w:szCs w:val="18"/>
                <w:color w:val="auto"/>
              </w:rPr>
            </w:pPr>
          </w:p>
        </w:tc>
        <w:tc>
          <w:tcPr>
            <w:tcW w:w="1300" w:type="dxa"/>
            <w:vAlign w:val="bottom"/>
            <w:vMerge w:val="restart"/>
          </w:tcPr>
          <w:p>
            <w:pPr>
              <w:spacing w:after="0"/>
              <w:rPr>
                <w:sz w:val="20"/>
                <w:szCs w:val="20"/>
                <w:color w:val="auto"/>
              </w:rPr>
            </w:pPr>
            <w:r>
              <w:rPr>
                <w:rFonts w:ascii="Arial" w:cs="Arial" w:eastAsia="Arial" w:hAnsi="Arial"/>
                <w:sz w:val="18"/>
                <w:szCs w:val="18"/>
                <w:color w:val="auto"/>
              </w:rPr>
              <w:t>] 2021 and the</w:t>
            </w:r>
          </w:p>
        </w:tc>
        <w:tc>
          <w:tcPr>
            <w:tcW w:w="0" w:type="dxa"/>
            <w:vAlign w:val="bottom"/>
          </w:tcPr>
          <w:p>
            <w:pPr>
              <w:spacing w:after="0"/>
              <w:rPr>
                <w:sz w:val="1"/>
                <w:szCs w:val="1"/>
                <w:color w:val="auto"/>
              </w:rPr>
            </w:pPr>
          </w:p>
        </w:tc>
      </w:tr>
      <w:tr>
        <w:trPr>
          <w:trHeight w:val="216"/>
        </w:trPr>
        <w:tc>
          <w:tcPr>
            <w:tcW w:w="2700" w:type="dxa"/>
            <w:vAlign w:val="bottom"/>
            <w:vMerge w:val="continue"/>
          </w:tcPr>
          <w:p>
            <w:pPr>
              <w:spacing w:after="0"/>
              <w:rPr>
                <w:sz w:val="18"/>
                <w:szCs w:val="18"/>
                <w:color w:val="auto"/>
              </w:rPr>
            </w:pPr>
          </w:p>
        </w:tc>
        <w:tc>
          <w:tcPr>
            <w:tcW w:w="6920" w:type="dxa"/>
            <w:vAlign w:val="bottom"/>
            <w:gridSpan w:val="7"/>
            <w:vMerge w:val="continue"/>
          </w:tcPr>
          <w:p>
            <w:pPr>
              <w:spacing w:after="0"/>
              <w:rPr>
                <w:sz w:val="18"/>
                <w:szCs w:val="18"/>
                <w:color w:val="auto"/>
              </w:rPr>
            </w:pPr>
          </w:p>
        </w:tc>
        <w:tc>
          <w:tcPr>
            <w:tcW w:w="320" w:type="dxa"/>
            <w:vAlign w:val="bottom"/>
            <w:shd w:val="clear" w:color="auto" w:fill="FFFF00"/>
          </w:tcPr>
          <w:p>
            <w:pPr>
              <w:spacing w:after="0" w:line="202" w:lineRule="exact"/>
              <w:rPr>
                <w:sz w:val="20"/>
                <w:szCs w:val="20"/>
                <w:color w:val="auto"/>
              </w:rPr>
            </w:pPr>
            <w:r>
              <w:rPr>
                <w:rFonts w:ascii="Arial" w:cs="Arial" w:eastAsia="Arial" w:hAnsi="Arial"/>
                <w:sz w:val="18"/>
                <w:szCs w:val="18"/>
                <w:b w:val="1"/>
                <w:bCs w:val="1"/>
                <w:i w:val="1"/>
                <w:iCs w:val="1"/>
                <w:color w:val="auto"/>
                <w:highlight w:val="yellow"/>
                <w:w w:val="80"/>
              </w:rPr>
              <w:t>date</w:t>
            </w: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4160" w:type="dxa"/>
            <w:vAlign w:val="bottom"/>
            <w:gridSpan w:val="4"/>
          </w:tcPr>
          <w:p>
            <w:pPr>
              <w:ind w:left="1460"/>
              <w:spacing w:after="0" w:line="202" w:lineRule="exact"/>
              <w:rPr>
                <w:sz w:val="20"/>
                <w:szCs w:val="20"/>
                <w:color w:val="auto"/>
              </w:rPr>
            </w:pPr>
            <w:r>
              <w:rPr>
                <w:rFonts w:ascii="Arial" w:cs="Arial" w:eastAsia="Arial" w:hAnsi="Arial"/>
                <w:sz w:val="18"/>
                <w:szCs w:val="18"/>
                <w:color w:val="auto"/>
                <w:w w:val="90"/>
              </w:rPr>
              <w:t>Company's pricing committee dated [</w:t>
            </w:r>
          </w:p>
        </w:tc>
        <w:tc>
          <w:tcPr>
            <w:tcW w:w="300" w:type="dxa"/>
            <w:vAlign w:val="bottom"/>
            <w:shd w:val="clear" w:color="auto" w:fill="FFFF00"/>
          </w:tcPr>
          <w:p>
            <w:pPr>
              <w:spacing w:after="0" w:line="202" w:lineRule="exact"/>
              <w:rPr>
                <w:sz w:val="20"/>
                <w:szCs w:val="20"/>
                <w:color w:val="auto"/>
              </w:rPr>
            </w:pPr>
            <w:r>
              <w:rPr>
                <w:rFonts w:ascii="Arial" w:cs="Arial" w:eastAsia="Arial" w:hAnsi="Arial"/>
                <w:sz w:val="18"/>
                <w:szCs w:val="18"/>
                <w:b w:val="1"/>
                <w:bCs w:val="1"/>
                <w:i w:val="1"/>
                <w:iCs w:val="1"/>
                <w:color w:val="auto"/>
                <w:highlight w:val="yellow"/>
                <w:w w:val="75"/>
              </w:rPr>
              <w:t>date</w:t>
            </w:r>
          </w:p>
        </w:tc>
        <w:tc>
          <w:tcPr>
            <w:tcW w:w="2460" w:type="dxa"/>
            <w:vAlign w:val="bottom"/>
            <w:gridSpan w:val="2"/>
          </w:tcPr>
          <w:p>
            <w:pPr>
              <w:jc w:val="right"/>
              <w:ind w:right="1850"/>
              <w:spacing w:after="0" w:line="202" w:lineRule="exact"/>
              <w:rPr>
                <w:sz w:val="20"/>
                <w:szCs w:val="20"/>
                <w:color w:val="auto"/>
              </w:rPr>
            </w:pPr>
            <w:r>
              <w:rPr>
                <w:rFonts w:ascii="Arial" w:cs="Arial" w:eastAsia="Arial" w:hAnsi="Arial"/>
                <w:sz w:val="18"/>
                <w:szCs w:val="18"/>
                <w:color w:val="auto"/>
                <w:w w:val="90"/>
              </w:rPr>
              <w:t>] 2021.</w:t>
            </w: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Shares</w:t>
            </w:r>
          </w:p>
        </w:tc>
        <w:tc>
          <w:tcPr>
            <w:tcW w:w="1520" w:type="dxa"/>
            <w:vAlign w:val="bottom"/>
            <w:vMerge w:val="restart"/>
          </w:tcPr>
          <w:p>
            <w:pPr>
              <w:ind w:left="1460"/>
              <w:spacing w:after="0"/>
              <w:rPr>
                <w:sz w:val="20"/>
                <w:szCs w:val="20"/>
                <w:color w:val="auto"/>
              </w:rPr>
            </w:pPr>
            <w:r>
              <w:rPr>
                <w:rFonts w:ascii="Arial" w:cs="Arial" w:eastAsia="Arial" w:hAnsi="Arial"/>
                <w:sz w:val="18"/>
                <w:szCs w:val="18"/>
                <w:color w:val="auto"/>
                <w:w w:val="78"/>
              </w:rPr>
              <w:t>[</w:t>
            </w:r>
          </w:p>
        </w:tc>
        <w:tc>
          <w:tcPr>
            <w:tcW w:w="580" w:type="dxa"/>
            <w:vAlign w:val="bottom"/>
          </w:tcPr>
          <w:p>
            <w:pPr>
              <w:spacing w:after="0"/>
              <w:rPr>
                <w:sz w:val="19"/>
                <w:szCs w:val="19"/>
                <w:color w:val="auto"/>
              </w:rPr>
            </w:pPr>
          </w:p>
        </w:tc>
        <w:tc>
          <w:tcPr>
            <w:tcW w:w="6440" w:type="dxa"/>
            <w:vAlign w:val="bottom"/>
            <w:gridSpan w:val="7"/>
            <w:vMerge w:val="restart"/>
          </w:tcPr>
          <w:p>
            <w:pPr>
              <w:spacing w:after="0"/>
              <w:rPr>
                <w:sz w:val="20"/>
                <w:szCs w:val="20"/>
                <w:color w:val="auto"/>
              </w:rPr>
            </w:pPr>
            <w:r>
              <w:rPr>
                <w:rFonts w:ascii="Arial" w:cs="Arial" w:eastAsia="Arial" w:hAnsi="Arial"/>
                <w:sz w:val="18"/>
                <w:szCs w:val="18"/>
                <w:color w:val="auto"/>
                <w:w w:val="94"/>
              </w:rPr>
              <w:t>] ordinary shares in the Company's capital, having a nominal value of EUR 0.12 each.</w:t>
            </w:r>
          </w:p>
        </w:tc>
        <w:tc>
          <w:tcPr>
            <w:tcW w:w="0" w:type="dxa"/>
            <w:vAlign w:val="bottom"/>
          </w:tcPr>
          <w:p>
            <w:pPr>
              <w:spacing w:after="0"/>
              <w:rPr>
                <w:sz w:val="1"/>
                <w:szCs w:val="1"/>
                <w:color w:val="auto"/>
              </w:rPr>
            </w:pPr>
          </w:p>
        </w:tc>
      </w:tr>
      <w:tr>
        <w:trPr>
          <w:trHeight w:val="203"/>
        </w:trPr>
        <w:tc>
          <w:tcPr>
            <w:tcW w:w="270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580" w:type="dxa"/>
            <w:vAlign w:val="bottom"/>
            <w:shd w:val="clear" w:color="auto" w:fill="FFFF00"/>
          </w:tcPr>
          <w:p>
            <w:pPr>
              <w:spacing w:after="0" w:line="202" w:lineRule="exact"/>
              <w:rPr>
                <w:sz w:val="20"/>
                <w:szCs w:val="20"/>
                <w:color w:val="auto"/>
              </w:rPr>
            </w:pPr>
            <w:r>
              <w:rPr>
                <w:rFonts w:ascii="Arial" w:cs="Arial" w:eastAsia="Arial" w:hAnsi="Arial"/>
                <w:sz w:val="18"/>
                <w:szCs w:val="18"/>
                <w:b w:val="1"/>
                <w:bCs w:val="1"/>
                <w:i w:val="1"/>
                <w:iCs w:val="1"/>
                <w:color w:val="auto"/>
                <w:highlight w:val="yellow"/>
                <w:w w:val="84"/>
              </w:rPr>
              <w:t>number</w:t>
            </w:r>
          </w:p>
        </w:tc>
        <w:tc>
          <w:tcPr>
            <w:tcW w:w="6440" w:type="dxa"/>
            <w:vAlign w:val="bottom"/>
            <w:gridSpan w:val="7"/>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1"/>
        </w:trPr>
        <w:tc>
          <w:tcPr>
            <w:tcW w:w="2700" w:type="dxa"/>
            <w:vAlign w:val="bottom"/>
          </w:tcPr>
          <w:p>
            <w:pPr>
              <w:ind w:left="80"/>
              <w:spacing w:after="0"/>
              <w:rPr>
                <w:sz w:val="20"/>
                <w:szCs w:val="20"/>
                <w:color w:val="auto"/>
              </w:rPr>
            </w:pPr>
            <w:r>
              <w:rPr>
                <w:rFonts w:ascii="Arial" w:cs="Arial" w:eastAsia="Arial" w:hAnsi="Arial"/>
                <w:sz w:val="18"/>
                <w:szCs w:val="18"/>
                <w:b w:val="1"/>
                <w:bCs w:val="1"/>
                <w:color w:val="auto"/>
              </w:rPr>
              <w:t>Transfer Agent</w:t>
            </w:r>
          </w:p>
        </w:tc>
        <w:tc>
          <w:tcPr>
            <w:tcW w:w="8540" w:type="dxa"/>
            <w:vAlign w:val="bottom"/>
            <w:gridSpan w:val="9"/>
          </w:tcPr>
          <w:p>
            <w:pPr>
              <w:ind w:left="1460"/>
              <w:spacing w:after="0"/>
              <w:rPr>
                <w:sz w:val="20"/>
                <w:szCs w:val="20"/>
                <w:color w:val="auto"/>
              </w:rPr>
            </w:pPr>
            <w:r>
              <w:rPr>
                <w:rFonts w:ascii="Arial" w:cs="Arial" w:eastAsia="Arial" w:hAnsi="Arial"/>
                <w:sz w:val="18"/>
                <w:szCs w:val="18"/>
                <w:color w:val="auto"/>
                <w:w w:val="95"/>
              </w:rPr>
              <w:t>American Stock Transfer &amp; Trust Company, LLC, a limited liability company under the laws of</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p>
        </w:tc>
        <w:tc>
          <w:tcPr>
            <w:tcW w:w="8540" w:type="dxa"/>
            <w:vAlign w:val="bottom"/>
            <w:gridSpan w:val="9"/>
          </w:tcPr>
          <w:p>
            <w:pPr>
              <w:ind w:left="1460"/>
              <w:spacing w:after="0"/>
              <w:rPr>
                <w:sz w:val="20"/>
                <w:szCs w:val="20"/>
                <w:color w:val="auto"/>
              </w:rPr>
            </w:pPr>
            <w:r>
              <w:rPr>
                <w:rFonts w:ascii="Arial" w:cs="Arial" w:eastAsia="Arial" w:hAnsi="Arial"/>
                <w:sz w:val="18"/>
                <w:szCs w:val="18"/>
                <w:color w:val="auto"/>
                <w:w w:val="91"/>
              </w:rPr>
              <w:t>the State of New York, United States of America, in its capacity of the Company's transfer agent.</w:t>
            </w:r>
          </w:p>
        </w:tc>
        <w:tc>
          <w:tcPr>
            <w:tcW w:w="0" w:type="dxa"/>
            <w:vAlign w:val="bottom"/>
          </w:tcPr>
          <w:p>
            <w:pPr>
              <w:spacing w:after="0"/>
              <w:rPr>
                <w:sz w:val="1"/>
                <w:szCs w:val="1"/>
                <w:color w:val="auto"/>
              </w:rPr>
            </w:pPr>
          </w:p>
        </w:tc>
      </w:tr>
      <w:tr>
        <w:trPr>
          <w:trHeight w:val="918"/>
        </w:trPr>
        <w:tc>
          <w:tcPr>
            <w:tcW w:w="27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427" w:name="page428"/>
    <w:bookmarkEnd w:id="42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3045460</wp:posOffset>
            </wp:positionH>
            <wp:positionV relativeFrom="page">
              <wp:posOffset>157480</wp:posOffset>
            </wp:positionV>
            <wp:extent cx="1431290" cy="25717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929">
                      <a:clrChange>
                        <a:clrFrom>
                          <a:srgbClr val="FFFFFF"/>
                        </a:clrFrom>
                        <a:clrTo>
                          <a:srgbClr val="FFFFFF">
                            <a:alpha val="0"/>
                          </a:srgbClr>
                        </a:clrTo>
                      </a:clrChange>
                      <a:extLst>
                        <a:ext uri="{28A0092B-C50C-407E-A947-70E740481C1C}"/>
                      </a:extLst>
                    </a:blip>
                    <a:srcRect/>
                    <a:stretch>
                      <a:fillRect/>
                    </a:stretch>
                  </pic:blipFill>
                  <pic:spPr bwMode="auto">
                    <a:xfrm>
                      <a:off x="0" y="0"/>
                      <a:ext cx="1431290" cy="257175"/>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p>
        </w:tc>
        <w:tc>
          <w:tcPr>
            <w:tcW w:w="3740" w:type="dxa"/>
            <w:vAlign w:val="bottom"/>
          </w:tcPr>
          <w:p>
            <w:pPr>
              <w:jc w:val="right"/>
              <w:ind w:right="107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3000" w:type="dxa"/>
            <w:vAlign w:val="bottom"/>
          </w:tcPr>
          <w:p>
            <w:pPr>
              <w:spacing w:after="0"/>
              <w:rPr>
                <w:sz w:val="20"/>
                <w:szCs w:val="20"/>
                <w:color w:val="auto"/>
              </w:rPr>
            </w:pPr>
            <w:r>
              <w:rPr>
                <w:rFonts w:ascii="Arial" w:cs="Arial" w:eastAsia="Arial" w:hAnsi="Arial"/>
                <w:sz w:val="18"/>
                <w:szCs w:val="18"/>
                <w:b w:val="1"/>
                <w:bCs w:val="1"/>
                <w:color w:val="auto"/>
              </w:rPr>
              <w:t>Underwriters</w:t>
            </w:r>
          </w:p>
        </w:tc>
        <w:tc>
          <w:tcPr>
            <w:tcW w:w="8060" w:type="dxa"/>
            <w:vAlign w:val="bottom"/>
            <w:gridSpan w:val="3"/>
          </w:tcPr>
          <w:p>
            <w:pPr>
              <w:ind w:left="1080"/>
              <w:spacing w:after="0"/>
              <w:rPr>
                <w:sz w:val="20"/>
                <w:szCs w:val="20"/>
                <w:color w:val="auto"/>
              </w:rPr>
            </w:pPr>
            <w:r>
              <w:rPr>
                <w:rFonts w:ascii="Arial" w:cs="Arial" w:eastAsia="Arial" w:hAnsi="Arial"/>
                <w:sz w:val="18"/>
                <w:szCs w:val="18"/>
                <w:color w:val="auto"/>
              </w:rPr>
              <w:t>The underwriters in the Offering, listed in Schedule A to the Underwriting Agreement.</w:t>
            </w:r>
          </w:p>
        </w:tc>
        <w:tc>
          <w:tcPr>
            <w:tcW w:w="0" w:type="dxa"/>
            <w:vAlign w:val="bottom"/>
          </w:tcPr>
          <w:p>
            <w:pPr>
              <w:spacing w:after="0"/>
              <w:rPr>
                <w:sz w:val="1"/>
                <w:szCs w:val="1"/>
                <w:color w:val="auto"/>
              </w:rPr>
            </w:pPr>
          </w:p>
        </w:tc>
      </w:tr>
      <w:tr>
        <w:trPr>
          <w:trHeight w:val="216"/>
        </w:trPr>
        <w:tc>
          <w:tcPr>
            <w:tcW w:w="3000" w:type="dxa"/>
            <w:vAlign w:val="bottom"/>
            <w:vMerge w:val="restart"/>
          </w:tcPr>
          <w:p>
            <w:pPr>
              <w:spacing w:after="0"/>
              <w:rPr>
                <w:sz w:val="20"/>
                <w:szCs w:val="20"/>
                <w:color w:val="auto"/>
              </w:rPr>
            </w:pPr>
            <w:r>
              <w:rPr>
                <w:rFonts w:ascii="Arial" w:cs="Arial" w:eastAsia="Arial" w:hAnsi="Arial"/>
                <w:sz w:val="18"/>
                <w:szCs w:val="18"/>
                <w:b w:val="1"/>
                <w:bCs w:val="1"/>
                <w:color w:val="auto"/>
              </w:rPr>
              <w:t>Underwriting Agreement</w:t>
            </w:r>
          </w:p>
        </w:tc>
        <w:tc>
          <w:tcPr>
            <w:tcW w:w="3740" w:type="dxa"/>
            <w:vAlign w:val="bottom"/>
            <w:vMerge w:val="restart"/>
          </w:tcPr>
          <w:p>
            <w:pPr>
              <w:ind w:left="1080"/>
              <w:spacing w:after="0"/>
              <w:rPr>
                <w:sz w:val="20"/>
                <w:szCs w:val="20"/>
                <w:color w:val="auto"/>
              </w:rPr>
            </w:pPr>
            <w:r>
              <w:rPr>
                <w:rFonts w:ascii="Arial" w:cs="Arial" w:eastAsia="Arial" w:hAnsi="Arial"/>
                <w:sz w:val="18"/>
                <w:szCs w:val="18"/>
                <w:color w:val="auto"/>
                <w:w w:val="92"/>
              </w:rPr>
              <w:t xml:space="preserve">The underwriting agreement dated </w:t>
            </w:r>
            <w:r>
              <w:rPr>
                <w:rFonts w:ascii="Arial" w:cs="Arial" w:eastAsia="Arial" w:hAnsi="Arial"/>
                <w:sz w:val="18"/>
                <w:szCs w:val="18"/>
                <w:b w:val="1"/>
                <w:bCs w:val="1"/>
                <w:color w:val="auto"/>
                <w:w w:val="92"/>
              </w:rPr>
              <w:t>[</w:t>
            </w:r>
          </w:p>
        </w:tc>
        <w:tc>
          <w:tcPr>
            <w:tcW w:w="320" w:type="dxa"/>
            <w:vAlign w:val="bottom"/>
          </w:tcPr>
          <w:p>
            <w:pPr>
              <w:spacing w:after="0"/>
              <w:rPr>
                <w:sz w:val="18"/>
                <w:szCs w:val="18"/>
                <w:color w:val="auto"/>
              </w:rPr>
            </w:pPr>
          </w:p>
        </w:tc>
        <w:tc>
          <w:tcPr>
            <w:tcW w:w="4000" w:type="dxa"/>
            <w:vAlign w:val="bottom"/>
            <w:vMerge w:val="restart"/>
          </w:tcPr>
          <w:p>
            <w:pPr>
              <w:spacing w:after="0"/>
              <w:rPr>
                <w:sz w:val="20"/>
                <w:szCs w:val="20"/>
                <w:color w:val="auto"/>
              </w:rPr>
            </w:pPr>
            <w:r>
              <w:rPr>
                <w:rFonts w:ascii="Arial" w:cs="Arial" w:eastAsia="Arial" w:hAnsi="Arial"/>
                <w:sz w:val="18"/>
                <w:szCs w:val="18"/>
                <w:b w:val="1"/>
                <w:bCs w:val="1"/>
                <w:color w:val="auto"/>
                <w:w w:val="92"/>
              </w:rPr>
              <w:t xml:space="preserve">] </w:t>
            </w:r>
            <w:r>
              <w:rPr>
                <w:rFonts w:ascii="Arial" w:cs="Arial" w:eastAsia="Arial" w:hAnsi="Arial"/>
                <w:sz w:val="18"/>
                <w:szCs w:val="18"/>
                <w:color w:val="auto"/>
                <w:w w:val="92"/>
              </w:rPr>
              <w:t>2021 between the Company and (representatives of)</w:t>
            </w:r>
          </w:p>
        </w:tc>
        <w:tc>
          <w:tcPr>
            <w:tcW w:w="0" w:type="dxa"/>
            <w:vAlign w:val="bottom"/>
          </w:tcPr>
          <w:p>
            <w:pPr>
              <w:spacing w:after="0"/>
              <w:rPr>
                <w:sz w:val="1"/>
                <w:szCs w:val="1"/>
                <w:color w:val="auto"/>
              </w:rPr>
            </w:pPr>
          </w:p>
        </w:tc>
      </w:tr>
      <w:tr>
        <w:trPr>
          <w:trHeight w:val="203"/>
        </w:trPr>
        <w:tc>
          <w:tcPr>
            <w:tcW w:w="3000" w:type="dxa"/>
            <w:vAlign w:val="bottom"/>
            <w:vMerge w:val="continue"/>
          </w:tcPr>
          <w:p>
            <w:pPr>
              <w:spacing w:after="0"/>
              <w:rPr>
                <w:sz w:val="17"/>
                <w:szCs w:val="17"/>
                <w:color w:val="auto"/>
              </w:rPr>
            </w:pPr>
          </w:p>
        </w:tc>
        <w:tc>
          <w:tcPr>
            <w:tcW w:w="3740" w:type="dxa"/>
            <w:vAlign w:val="bottom"/>
            <w:vMerge w:val="continue"/>
          </w:tcPr>
          <w:p>
            <w:pPr>
              <w:spacing w:after="0"/>
              <w:rPr>
                <w:sz w:val="17"/>
                <w:szCs w:val="17"/>
                <w:color w:val="auto"/>
              </w:rPr>
            </w:pPr>
          </w:p>
        </w:tc>
        <w:tc>
          <w:tcPr>
            <w:tcW w:w="320" w:type="dxa"/>
            <w:vAlign w:val="bottom"/>
            <w:shd w:val="clear" w:color="auto" w:fill="FFFF00"/>
          </w:tcPr>
          <w:p>
            <w:pPr>
              <w:spacing w:after="0" w:line="202" w:lineRule="exact"/>
              <w:rPr>
                <w:sz w:val="20"/>
                <w:szCs w:val="20"/>
                <w:color w:val="auto"/>
              </w:rPr>
            </w:pPr>
            <w:r>
              <w:rPr>
                <w:rFonts w:ascii="Arial" w:cs="Arial" w:eastAsia="Arial" w:hAnsi="Arial"/>
                <w:sz w:val="18"/>
                <w:szCs w:val="18"/>
                <w:b w:val="1"/>
                <w:bCs w:val="1"/>
                <w:i w:val="1"/>
                <w:iCs w:val="1"/>
                <w:color w:val="auto"/>
                <w:highlight w:val="yellow"/>
                <w:w w:val="80"/>
              </w:rPr>
              <w:t>date</w:t>
            </w:r>
          </w:p>
        </w:tc>
        <w:tc>
          <w:tcPr>
            <w:tcW w:w="4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p>
        </w:tc>
        <w:tc>
          <w:tcPr>
            <w:tcW w:w="3740" w:type="dxa"/>
            <w:vAlign w:val="bottom"/>
          </w:tcPr>
          <w:p>
            <w:pPr>
              <w:ind w:left="1080"/>
              <w:spacing w:after="0"/>
              <w:rPr>
                <w:sz w:val="20"/>
                <w:szCs w:val="20"/>
                <w:color w:val="auto"/>
              </w:rPr>
            </w:pPr>
            <w:r>
              <w:rPr>
                <w:rFonts w:ascii="Arial" w:cs="Arial" w:eastAsia="Arial" w:hAnsi="Arial"/>
                <w:sz w:val="18"/>
                <w:szCs w:val="18"/>
                <w:color w:val="auto"/>
              </w:rPr>
              <w:t>the Underwriters.</w:t>
            </w:r>
          </w:p>
        </w:tc>
        <w:tc>
          <w:tcPr>
            <w:tcW w:w="3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Interpretation</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Terms that are defined in the singular have a corresponding meaning in the plural and vice versa.</w:t>
      </w:r>
    </w:p>
    <w:p>
      <w:pPr>
        <w:spacing w:after="0" w:line="225" w:lineRule="exact"/>
        <w:rPr>
          <w:sz w:val="20"/>
          <w:szCs w:val="20"/>
          <w:color w:val="auto"/>
        </w:rPr>
      </w:pPr>
    </w:p>
    <w:p>
      <w:pPr>
        <w:ind w:left="640" w:right="20" w:hanging="633"/>
        <w:spacing w:after="0" w:line="277" w:lineRule="auto"/>
        <w:tabs>
          <w:tab w:leader="none" w:pos="6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Although this Deed has been drafted in the English language, this Deed pertains to Dutch legal concepts. Any consequence of the use of English words and expressions in this Deed under any law other than Dutch law shall be disregarded.</w:t>
      </w:r>
    </w:p>
    <w:p>
      <w:pPr>
        <w:spacing w:after="0" w:line="170" w:lineRule="exact"/>
        <w:rPr>
          <w:sz w:val="20"/>
          <w:szCs w:val="20"/>
          <w:color w:val="auto"/>
        </w:rPr>
      </w:pPr>
    </w:p>
    <w:p>
      <w:pPr>
        <w:ind w:left="640" w:hanging="633"/>
        <w:spacing w:after="0" w:line="277" w:lineRule="auto"/>
        <w:tabs>
          <w:tab w:leader="none" w:pos="6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color w:val="auto"/>
        </w:rPr>
        <w:t>The titles and headings in this Deed are for construction purposes as well as for reference. No party may derive any rights from such titles and headings.</w:t>
      </w:r>
    </w:p>
    <w:p>
      <w:pPr>
        <w:spacing w:after="0" w:line="166" w:lineRule="exact"/>
        <w:rPr>
          <w:sz w:val="20"/>
          <w:szCs w:val="20"/>
          <w:color w:val="auto"/>
        </w:rPr>
      </w:pPr>
    </w:p>
    <w:p>
      <w:pPr>
        <w:ind w:left="640" w:hanging="632"/>
        <w:spacing w:after="0"/>
        <w:tabs>
          <w:tab w:leader="none" w:pos="640"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ISSUANCE</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color w:val="auto"/>
        </w:rPr>
        <w:t>Issuance of Shares</w:t>
      </w:r>
    </w:p>
    <w:p>
      <w:pPr>
        <w:spacing w:after="0" w:line="229" w:lineRule="exact"/>
        <w:rPr>
          <w:sz w:val="20"/>
          <w:szCs w:val="20"/>
          <w:color w:val="auto"/>
        </w:rPr>
      </w:pPr>
    </w:p>
    <w:p>
      <w:pPr>
        <w:ind w:left="640" w:hanging="633"/>
        <w:spacing w:after="0" w:line="342" w:lineRule="auto"/>
        <w:tabs>
          <w:tab w:leader="none" w:pos="6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In giving effect to the Resolutions and the Company's obligations under the Underwriting Agreement, the Company issues the Shares to DTC, for further credit to, or as directed by, the several Underwriters in accordance with the terms and conditions of the Underwriting Agreement.</w:t>
      </w:r>
    </w:p>
    <w:p>
      <w:pPr>
        <w:spacing w:after="0" w:line="124" w:lineRule="exact"/>
        <w:rPr>
          <w:sz w:val="20"/>
          <w:szCs w:val="20"/>
          <w:color w:val="auto"/>
        </w:rPr>
      </w:pPr>
    </w:p>
    <w:p>
      <w:pPr>
        <w:ind w:left="640" w:hanging="633"/>
        <w:spacing w:after="0" w:line="277" w:lineRule="auto"/>
        <w:tabs>
          <w:tab w:leader="none" w:pos="62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color w:val="auto"/>
        </w:rPr>
        <w:t>Upon the Shares being credited to the several Underwriters in the book-entry systems of DTC, DTC shall be considered to have accepted the Shares.</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Payment</w:t>
      </w:r>
    </w:p>
    <w:p>
      <w:pPr>
        <w:spacing w:after="0" w:line="229" w:lineRule="exact"/>
        <w:rPr>
          <w:sz w:val="20"/>
          <w:szCs w:val="20"/>
          <w:color w:val="auto"/>
        </w:rPr>
      </w:pPr>
    </w:p>
    <w:p>
      <w:pPr>
        <w:ind w:left="640" w:hanging="633"/>
        <w:spacing w:after="0" w:line="277" w:lineRule="auto"/>
        <w:tabs>
          <w:tab w:leader="none" w:pos="62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8"/>
          <w:szCs w:val="18"/>
          <w:color w:val="auto"/>
        </w:rPr>
        <w:t>The aggregate Issue Price for the Shares has been satisfied in accordance with the terms of the Underwriting Agreement and the Company grants a discharge for the payment thereof.</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The Company approves payment of the aggregate Issue Price in a currency other than euro.</w:t>
      </w:r>
    </w:p>
    <w:p>
      <w:pPr>
        <w:spacing w:after="0" w:line="225" w:lineRule="exact"/>
        <w:rPr>
          <w:sz w:val="20"/>
          <w:szCs w:val="20"/>
          <w:color w:val="auto"/>
        </w:rPr>
      </w:pPr>
    </w:p>
    <w:p>
      <w:pPr>
        <w:ind w:left="640" w:hanging="633"/>
        <w:spacing w:after="0" w:line="308" w:lineRule="auto"/>
        <w:tabs>
          <w:tab w:leader="none" w:pos="62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7"/>
          <w:szCs w:val="17"/>
          <w:color w:val="auto"/>
        </w:rPr>
        <w:t>To the extent that the aggregate Issue Price for the Shares exceeds the aggregate nominal value of the Shares, such excess shall be considered to be share premium and shall be added to the share premium reserve attached to the ordinary shares in the Company's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9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28" w:name="page429"/>
    <w:bookmarkEnd w:id="42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3045460</wp:posOffset>
            </wp:positionH>
            <wp:positionV relativeFrom="page">
              <wp:posOffset>157480</wp:posOffset>
            </wp:positionV>
            <wp:extent cx="1431290" cy="25717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931">
                      <a:clrChange>
                        <a:clrFrom>
                          <a:srgbClr val="FFFFFF"/>
                        </a:clrFrom>
                        <a:clrTo>
                          <a:srgbClr val="FFFFFF">
                            <a:alpha val="0"/>
                          </a:srgbClr>
                        </a:clrTo>
                      </a:clrChange>
                      <a:extLst>
                        <a:ext uri="{28A0092B-C50C-407E-A947-70E740481C1C}"/>
                      </a:extLst>
                    </a:blip>
                    <a:srcRect/>
                    <a:stretch>
                      <a:fillRect/>
                    </a:stretch>
                  </pic:blipFill>
                  <pic:spPr bwMode="auto">
                    <a:xfrm>
                      <a:off x="0" y="0"/>
                      <a:ext cx="1431290" cy="257175"/>
                    </a:xfrm>
                    <a:prstGeom prst="rect">
                      <a:avLst/>
                    </a:prstGeom>
                    <a:noFill/>
                  </pic:spPr>
                </pic:pic>
              </a:graphicData>
            </a:graphic>
          </wp:anchor>
        </w:drawing>
        <w:t>3</w:t>
      </w:r>
    </w:p>
    <w:p>
      <w:pPr>
        <w:spacing w:after="0" w:line="200" w:lineRule="exact"/>
        <w:rPr>
          <w:sz w:val="20"/>
          <w:szCs w:val="20"/>
          <w:color w:val="auto"/>
        </w:rPr>
      </w:pPr>
    </w:p>
    <w:p>
      <w:pPr>
        <w:spacing w:after="0" w:line="23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Registration</w:t>
      </w:r>
    </w:p>
    <w:p>
      <w:pPr>
        <w:spacing w:after="0" w:line="229"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Promptly following the execution of this Deed, the Company shall (i) register the present issuance of the Shares in its register within the meaning of Section 2:85 of the Dutch Civil Code and (ii) cause the Transfer Agent to register the Shares in the register maintained by the Transfer Agent in respect of the ordinary shares in the Company's capital.</w:t>
      </w:r>
    </w:p>
    <w:p>
      <w:pPr>
        <w:spacing w:after="0" w:line="180" w:lineRule="exact"/>
        <w:rPr>
          <w:sz w:val="20"/>
          <w:szCs w:val="20"/>
          <w:color w:val="auto"/>
        </w:rPr>
      </w:pPr>
    </w:p>
    <w:p>
      <w:pPr>
        <w:ind w:left="640" w:hanging="632"/>
        <w:spacing w:after="0"/>
        <w:tabs>
          <w:tab w:leader="none" w:pos="640"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PROVISIONS</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3.1</w:t>
      </w:r>
      <w:r>
        <w:rPr>
          <w:rFonts w:ascii="Arial" w:cs="Arial" w:eastAsia="Arial" w:hAnsi="Arial"/>
          <w:sz w:val="16"/>
          <w:szCs w:val="16"/>
          <w:b w:val="1"/>
          <w:bCs w:val="1"/>
          <w:color w:val="auto"/>
        </w:rPr>
        <w:t>No rescission or nullification</w:t>
      </w:r>
    </w:p>
    <w:p>
      <w:pPr>
        <w:spacing w:after="0" w:line="229" w:lineRule="exact"/>
        <w:rPr>
          <w:sz w:val="20"/>
          <w:szCs w:val="20"/>
          <w:color w:val="auto"/>
        </w:rPr>
      </w:pPr>
    </w:p>
    <w:p>
      <w:pPr>
        <w:ind w:left="640" w:hanging="633"/>
        <w:spacing w:after="0" w:line="277" w:lineRule="auto"/>
        <w:tabs>
          <w:tab w:leader="none" w:pos="6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To the extent permitted by law, the Company waives its rights to rescind or nullify or to demand the rescission, nullification or amendment of this Deed, in whole or in part, on any grounds whatsoever.</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Governing law</w:t>
      </w:r>
    </w:p>
    <w:p>
      <w:pPr>
        <w:spacing w:after="0" w:line="229" w:lineRule="exact"/>
        <w:rPr>
          <w:sz w:val="20"/>
          <w:szCs w:val="20"/>
          <w:color w:val="auto"/>
        </w:rPr>
      </w:pPr>
    </w:p>
    <w:p>
      <w:pPr>
        <w:ind w:left="640" w:hanging="633"/>
        <w:spacing w:after="0" w:line="277" w:lineRule="auto"/>
        <w:tabs>
          <w:tab w:leader="none" w:pos="6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Without prejudice to the relevant provisions of Chapters 4 and 5 of Title 10 of Book 10 of the Dutch Civil Code, this Deed shall be governed by and construed in accordance with the laws of the Netherlands.</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Jurisdiction</w:t>
      </w:r>
    </w:p>
    <w:p>
      <w:pPr>
        <w:spacing w:after="0" w:line="229" w:lineRule="exact"/>
        <w:rPr>
          <w:sz w:val="20"/>
          <w:szCs w:val="20"/>
          <w:color w:val="auto"/>
        </w:rPr>
      </w:pPr>
    </w:p>
    <w:p>
      <w:pPr>
        <w:jc w:val="center"/>
        <w:ind w:right="200"/>
        <w:spacing w:after="0"/>
        <w:tabs>
          <w:tab w:leader="none" w:pos="26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6"/>
          <w:szCs w:val="16"/>
          <w:color w:val="auto"/>
        </w:rPr>
        <w:t>Any dispute in connection with this Deed shall be submitted to the exclusive jurisdiction of the competent court in Amsterdam, the Netherlands.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9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29" w:name="page430"/>
    <w:bookmarkEnd w:id="429"/>
    <w:p>
      <w:pPr>
        <w:jc w:val="right"/>
        <w:ind w:right="44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3045460</wp:posOffset>
            </wp:positionH>
            <wp:positionV relativeFrom="page">
              <wp:posOffset>157480</wp:posOffset>
            </wp:positionV>
            <wp:extent cx="1431290" cy="25717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933">
                      <a:clrChange>
                        <a:clrFrom>
                          <a:srgbClr val="FFFFFF"/>
                        </a:clrFrom>
                        <a:clrTo>
                          <a:srgbClr val="FFFFFF">
                            <a:alpha val="0"/>
                          </a:srgbClr>
                        </a:clrTo>
                      </a:clrChange>
                      <a:extLst>
                        <a:ext uri="{28A0092B-C50C-407E-A947-70E740481C1C}"/>
                      </a:extLst>
                    </a:blip>
                    <a:srcRect/>
                    <a:stretch>
                      <a:fillRect/>
                    </a:stretch>
                  </pic:blipFill>
                  <pic:spPr bwMode="auto">
                    <a:xfrm>
                      <a:off x="0" y="0"/>
                      <a:ext cx="1431290" cy="257175"/>
                    </a:xfrm>
                    <a:prstGeom prst="rect">
                      <a:avLst/>
                    </a:prstGeom>
                    <a:noFill/>
                  </pic:spPr>
                </pic:pic>
              </a:graphicData>
            </a:graphic>
          </wp:anchor>
        </w:drawing>
        <w:t>4</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page to the deed of issue</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CureVac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93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F.W. Haas</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9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92" w:right="1440" w:bottom="1440" w:gutter="0" w:footer="0" w:header="0"/>
        </w:sectPr>
      </w:pPr>
    </w:p>
    <w:bookmarkStart w:id="430" w:name="page431"/>
    <w:bookmarkEnd w:id="430"/>
    <w:p>
      <w:pPr>
        <w:jc w:val="right"/>
        <w:spacing w:after="0"/>
        <w:rPr>
          <w:sz w:val="20"/>
          <w:szCs w:val="20"/>
          <w:color w:val="auto"/>
        </w:rPr>
      </w:pPr>
      <w:r>
        <w:rPr>
          <w:rFonts w:ascii="Arial" w:cs="Arial" w:eastAsia="Arial" w:hAnsi="Arial"/>
          <w:sz w:val="18"/>
          <w:szCs w:val="18"/>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1345565" cy="21463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936">
                      <a:extLst>
                        <a:ext uri="{28A0092B-C50C-407E-A947-70E740481C1C}"/>
                      </a:extLst>
                    </a:blip>
                    <a:srcRect/>
                    <a:stretch>
                      <a:fillRect/>
                    </a:stretch>
                  </pic:blipFill>
                  <pic:spPr bwMode="auto">
                    <a:xfrm>
                      <a:off x="0" y="0"/>
                      <a:ext cx="1345565" cy="214630"/>
                    </a:xfrm>
                    <a:prstGeom prst="rect">
                      <a:avLst/>
                    </a:prstGeom>
                    <a:noFill/>
                  </pic:spPr>
                </pic:pic>
              </a:graphicData>
            </a:graphic>
          </wp:anchor>
        </w:drawing>
      </w:r>
    </w:p>
    <w:p>
      <w:pPr>
        <w:spacing w:after="0" w:line="3" w:lineRule="exact"/>
        <w:rPr>
          <w:sz w:val="20"/>
          <w:szCs w:val="20"/>
          <w:color w:val="auto"/>
        </w:rPr>
      </w:pPr>
    </w:p>
    <w:p>
      <w:pPr>
        <w:ind w:right="6760"/>
        <w:spacing w:after="0" w:line="320" w:lineRule="auto"/>
        <w:rPr>
          <w:sz w:val="20"/>
          <w:szCs w:val="20"/>
          <w:color w:val="auto"/>
        </w:rPr>
      </w:pPr>
      <w:r>
        <w:rPr>
          <w:rFonts w:ascii="Arial" w:cs="Arial" w:eastAsia="Arial" w:hAnsi="Arial"/>
          <w:sz w:val="18"/>
          <w:szCs w:val="18"/>
          <w:color w:val="auto"/>
        </w:rPr>
        <w:t>ATTORNEYS • CIVIL LAW NOTARIES • TAX ADVISERS P.O. Box 7113</w:t>
      </w:r>
    </w:p>
    <w:p>
      <w:pPr>
        <w:sectPr>
          <w:pgSz w:w="11900" w:h="16838" w:orient="portrait"/>
          <w:cols w:equalWidth="0" w:num="1">
            <w:col w:w="11240"/>
          </w:cols>
          <w:pgMar w:left="320" w:top="368"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1007 JC Amsterdam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Amsterdam, January 25, 2021</w:t>
      </w:r>
    </w:p>
    <w:p>
      <w:pPr>
        <w:spacing w:after="0" w:line="32" w:lineRule="exact"/>
        <w:rPr>
          <w:sz w:val="20"/>
          <w:szCs w:val="20"/>
          <w:color w:val="auto"/>
        </w:rPr>
      </w:pPr>
    </w:p>
    <w:p>
      <w:pPr>
        <w:sectPr>
          <w:pgSz w:w="11900" w:h="16838" w:orient="portrait"/>
          <w:cols w:equalWidth="0" w:num="2">
            <w:col w:w="4900" w:space="720"/>
            <w:col w:w="5620"/>
          </w:cols>
          <w:pgMar w:left="320" w:top="368" w:right="339" w:bottom="1440" w:gutter="0" w:footer="0" w:header="0"/>
          <w:type w:val="continuous"/>
        </w:sectPr>
      </w:pPr>
    </w:p>
    <w:p>
      <w:pPr>
        <w:spacing w:after="0"/>
        <w:rPr>
          <w:sz w:val="20"/>
          <w:szCs w:val="20"/>
          <w:color w:val="auto"/>
        </w:rPr>
      </w:pPr>
      <w:r>
        <w:rPr>
          <w:rFonts w:ascii="Arial" w:cs="Arial" w:eastAsia="Arial" w:hAnsi="Arial"/>
          <w:sz w:val="16"/>
          <w:szCs w:val="16"/>
          <w:color w:val="auto"/>
        </w:rPr>
        <w:t>Beethovenstraat 400</w:t>
      </w:r>
    </w:p>
    <w:p>
      <w:pPr>
        <w:sectPr>
          <w:pgSz w:w="11900" w:h="16838" w:orient="portrait"/>
          <w:cols w:equalWidth="0" w:num="1">
            <w:col w:w="11240"/>
          </w:cols>
          <w:pgMar w:left="320" w:top="368" w:right="33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1082 PR Amsterdam</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jc w:val="center"/>
        <w:ind w:right="4420"/>
        <w:spacing w:after="0"/>
        <w:rPr>
          <w:sz w:val="20"/>
          <w:szCs w:val="20"/>
          <w:color w:val="auto"/>
        </w:rPr>
      </w:pPr>
      <w:r>
        <w:rPr>
          <w:rFonts w:ascii="Arial" w:cs="Arial" w:eastAsia="Arial" w:hAnsi="Arial"/>
          <w:sz w:val="16"/>
          <w:szCs w:val="16"/>
          <w:color w:val="auto"/>
        </w:rPr>
        <w:t>To the Company</w:t>
      </w:r>
    </w:p>
    <w:p>
      <w:pPr>
        <w:spacing w:after="0" w:line="32" w:lineRule="exact"/>
        <w:rPr>
          <w:sz w:val="20"/>
          <w:szCs w:val="20"/>
          <w:color w:val="auto"/>
        </w:rPr>
      </w:pPr>
    </w:p>
    <w:p>
      <w:pPr>
        <w:sectPr>
          <w:pgSz w:w="11900" w:h="16838" w:orient="portrait"/>
          <w:cols w:equalWidth="0" w:num="2">
            <w:col w:w="4900" w:space="720"/>
            <w:col w:w="5620"/>
          </w:cols>
          <w:pgMar w:left="320" w:top="368" w:right="339" w:bottom="1440" w:gutter="0" w:footer="0" w:header="0"/>
          <w:type w:val="continuous"/>
        </w:sectPr>
      </w:pPr>
    </w:p>
    <w:p>
      <w:pPr>
        <w:spacing w:after="0"/>
        <w:rPr>
          <w:sz w:val="20"/>
          <w:szCs w:val="20"/>
          <w:color w:val="auto"/>
        </w:rPr>
      </w:pPr>
      <w:r>
        <w:rPr>
          <w:rFonts w:ascii="Arial" w:cs="Arial" w:eastAsia="Arial" w:hAnsi="Arial"/>
          <w:sz w:val="16"/>
          <w:szCs w:val="16"/>
          <w:color w:val="auto"/>
        </w:rPr>
        <w:t>T +31 20 71 71 000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 +31 20 71 71 111</w:t>
      </w:r>
    </w:p>
    <w:p>
      <w:pPr>
        <w:sectPr>
          <w:pgSz w:w="11900" w:h="16838" w:orient="portrait"/>
          <w:cols w:equalWidth="0" w:num="1">
            <w:col w:w="11240"/>
          </w:cols>
          <w:pgMar w:left="320" w:top="368" w:right="33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Ladies and Gentlemen: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9240" w:type="dxa"/>
            <w:vAlign w:val="bottom"/>
          </w:tcPr>
          <w:p>
            <w:pPr>
              <w:ind w:left="1160"/>
              <w:spacing w:after="0"/>
              <w:rPr>
                <w:sz w:val="20"/>
                <w:szCs w:val="20"/>
                <w:color w:val="auto"/>
              </w:rPr>
            </w:pPr>
            <w:r>
              <w:rPr>
                <w:rFonts w:ascii="Arial" w:cs="Arial" w:eastAsia="Arial" w:hAnsi="Arial"/>
                <w:sz w:val="18"/>
                <w:szCs w:val="18"/>
                <w:color w:val="auto"/>
                <w:w w:val="92"/>
              </w:rPr>
              <w:t>We have acted as legal counsel as to Dutch law to the Company in connection with the Offering. This opinion</w:t>
            </w:r>
          </w:p>
        </w:tc>
      </w:tr>
      <w:tr>
        <w:trPr>
          <w:trHeight w:val="230"/>
        </w:trPr>
        <w:tc>
          <w:tcPr>
            <w:tcW w:w="2000" w:type="dxa"/>
            <w:vAlign w:val="bottom"/>
          </w:tcPr>
          <w:p>
            <w:pPr>
              <w:spacing w:after="0"/>
              <w:rPr>
                <w:sz w:val="20"/>
                <w:szCs w:val="20"/>
                <w:color w:val="auto"/>
              </w:rPr>
            </w:pPr>
          </w:p>
        </w:tc>
        <w:tc>
          <w:tcPr>
            <w:tcW w:w="9240" w:type="dxa"/>
            <w:vAlign w:val="bottom"/>
          </w:tcPr>
          <w:p>
            <w:pPr>
              <w:ind w:left="1160"/>
              <w:spacing w:after="0"/>
              <w:rPr>
                <w:sz w:val="20"/>
                <w:szCs w:val="20"/>
                <w:color w:val="auto"/>
              </w:rPr>
            </w:pPr>
            <w:r>
              <w:rPr>
                <w:rFonts w:ascii="Arial" w:cs="Arial" w:eastAsia="Arial" w:hAnsi="Arial"/>
                <w:sz w:val="18"/>
                <w:szCs w:val="18"/>
                <w:color w:val="auto"/>
              </w:rPr>
              <w:t>letter is rendered to you in order to be filed with the SEC as an exhibit to the Registration Statement.</w:t>
            </w:r>
          </w:p>
        </w:tc>
      </w:tr>
      <w:tr>
        <w:trPr>
          <w:trHeight w:val="418"/>
        </w:trPr>
        <w:tc>
          <w:tcPr>
            <w:tcW w:w="2000" w:type="dxa"/>
            <w:vAlign w:val="bottom"/>
          </w:tcPr>
          <w:p>
            <w:pPr>
              <w:spacing w:after="0"/>
              <w:rPr>
                <w:sz w:val="24"/>
                <w:szCs w:val="24"/>
                <w:color w:val="auto"/>
              </w:rPr>
            </w:pPr>
          </w:p>
        </w:tc>
        <w:tc>
          <w:tcPr>
            <w:tcW w:w="9240" w:type="dxa"/>
            <w:vAlign w:val="bottom"/>
          </w:tcPr>
          <w:p>
            <w:pPr>
              <w:ind w:left="1160"/>
              <w:spacing w:after="0"/>
              <w:rPr>
                <w:sz w:val="20"/>
                <w:szCs w:val="20"/>
                <w:color w:val="auto"/>
              </w:rPr>
            </w:pPr>
            <w:r>
              <w:rPr>
                <w:rFonts w:ascii="Arial" w:cs="Arial" w:eastAsia="Arial" w:hAnsi="Arial"/>
                <w:sz w:val="18"/>
                <w:szCs w:val="18"/>
                <w:color w:val="auto"/>
                <w:w w:val="92"/>
              </w:rPr>
              <w:t>Capitalised terms used in this opinion letter have the meanings set forth in Exhibit A to this opinion letter. The</w:t>
            </w:r>
          </w:p>
        </w:tc>
      </w:tr>
      <w:tr>
        <w:trPr>
          <w:trHeight w:val="216"/>
        </w:trPr>
        <w:tc>
          <w:tcPr>
            <w:tcW w:w="2000" w:type="dxa"/>
            <w:vAlign w:val="bottom"/>
          </w:tcPr>
          <w:p>
            <w:pPr>
              <w:spacing w:after="0"/>
              <w:rPr>
                <w:sz w:val="18"/>
                <w:szCs w:val="18"/>
                <w:color w:val="auto"/>
              </w:rPr>
            </w:pPr>
          </w:p>
        </w:tc>
        <w:tc>
          <w:tcPr>
            <w:tcW w:w="9240" w:type="dxa"/>
            <w:vAlign w:val="bottom"/>
          </w:tcPr>
          <w:p>
            <w:pPr>
              <w:ind w:left="1160"/>
              <w:spacing w:after="0"/>
              <w:rPr>
                <w:sz w:val="20"/>
                <w:szCs w:val="20"/>
                <w:color w:val="auto"/>
              </w:rPr>
            </w:pPr>
            <w:r>
              <w:rPr>
                <w:rFonts w:ascii="Arial" w:cs="Arial" w:eastAsia="Arial" w:hAnsi="Arial"/>
                <w:sz w:val="18"/>
                <w:szCs w:val="18"/>
                <w:color w:val="auto"/>
                <w:w w:val="97"/>
              </w:rPr>
              <w:t>section headings used in this opinion letter are for convenience of reference only and are not to affect its</w:t>
            </w:r>
          </w:p>
        </w:tc>
      </w:tr>
      <w:tr>
        <w:trPr>
          <w:trHeight w:val="230"/>
        </w:trPr>
        <w:tc>
          <w:tcPr>
            <w:tcW w:w="2000" w:type="dxa"/>
            <w:vAlign w:val="bottom"/>
          </w:tcPr>
          <w:p>
            <w:pPr>
              <w:spacing w:after="0"/>
              <w:rPr>
                <w:sz w:val="20"/>
                <w:szCs w:val="20"/>
                <w:color w:val="auto"/>
              </w:rPr>
            </w:pPr>
          </w:p>
        </w:tc>
        <w:tc>
          <w:tcPr>
            <w:tcW w:w="9240" w:type="dxa"/>
            <w:vAlign w:val="bottom"/>
          </w:tcPr>
          <w:p>
            <w:pPr>
              <w:ind w:left="1160"/>
              <w:spacing w:after="0"/>
              <w:rPr>
                <w:sz w:val="20"/>
                <w:szCs w:val="20"/>
                <w:color w:val="auto"/>
              </w:rPr>
            </w:pPr>
            <w:r>
              <w:rPr>
                <w:rFonts w:ascii="Arial" w:cs="Arial" w:eastAsia="Arial" w:hAnsi="Arial"/>
                <w:sz w:val="18"/>
                <w:szCs w:val="18"/>
                <w:color w:val="auto"/>
              </w:rPr>
              <w:t>construction or to be taken into consideration in its interpretation.</w:t>
            </w:r>
          </w:p>
        </w:tc>
      </w:tr>
      <w:tr>
        <w:trPr>
          <w:trHeight w:val="418"/>
        </w:trPr>
        <w:tc>
          <w:tcPr>
            <w:tcW w:w="2000" w:type="dxa"/>
            <w:vAlign w:val="bottom"/>
          </w:tcPr>
          <w:p>
            <w:pPr>
              <w:spacing w:after="0"/>
              <w:rPr>
                <w:sz w:val="24"/>
                <w:szCs w:val="24"/>
                <w:color w:val="auto"/>
              </w:rPr>
            </w:pPr>
          </w:p>
        </w:tc>
        <w:tc>
          <w:tcPr>
            <w:tcW w:w="9240" w:type="dxa"/>
            <w:vAlign w:val="bottom"/>
          </w:tcPr>
          <w:p>
            <w:pPr>
              <w:ind w:left="1160"/>
              <w:spacing w:after="0"/>
              <w:rPr>
                <w:sz w:val="20"/>
                <w:szCs w:val="20"/>
                <w:color w:val="auto"/>
              </w:rPr>
            </w:pPr>
            <w:r>
              <w:rPr>
                <w:rFonts w:ascii="Arial" w:cs="Arial" w:eastAsia="Arial" w:hAnsi="Arial"/>
                <w:sz w:val="18"/>
                <w:szCs w:val="18"/>
                <w:color w:val="auto"/>
                <w:w w:val="93"/>
              </w:rPr>
              <w:t>This opinion letter is strictly limited to the matters stated in it and may not be read as extending by implication</w:t>
            </w:r>
          </w:p>
        </w:tc>
      </w:tr>
      <w:tr>
        <w:trPr>
          <w:trHeight w:val="216"/>
        </w:trPr>
        <w:tc>
          <w:tcPr>
            <w:tcW w:w="2000" w:type="dxa"/>
            <w:vAlign w:val="bottom"/>
          </w:tcPr>
          <w:p>
            <w:pPr>
              <w:spacing w:after="0"/>
              <w:rPr>
                <w:sz w:val="18"/>
                <w:szCs w:val="18"/>
                <w:color w:val="auto"/>
              </w:rPr>
            </w:pPr>
          </w:p>
        </w:tc>
        <w:tc>
          <w:tcPr>
            <w:tcW w:w="9240" w:type="dxa"/>
            <w:vAlign w:val="bottom"/>
          </w:tcPr>
          <w:p>
            <w:pPr>
              <w:ind w:left="1160"/>
              <w:spacing w:after="0"/>
              <w:rPr>
                <w:sz w:val="20"/>
                <w:szCs w:val="20"/>
                <w:color w:val="auto"/>
              </w:rPr>
            </w:pPr>
            <w:r>
              <w:rPr>
                <w:rFonts w:ascii="Arial" w:cs="Arial" w:eastAsia="Arial" w:hAnsi="Arial"/>
                <w:sz w:val="18"/>
                <w:szCs w:val="18"/>
                <w:color w:val="auto"/>
                <w:w w:val="93"/>
              </w:rPr>
              <w:t>to any matters not specifically referred to in it. Nothing in this opinion letter should be taken as expressing an</w:t>
            </w:r>
          </w:p>
        </w:tc>
      </w:tr>
      <w:tr>
        <w:trPr>
          <w:trHeight w:val="216"/>
        </w:trPr>
        <w:tc>
          <w:tcPr>
            <w:tcW w:w="2000" w:type="dxa"/>
            <w:vAlign w:val="bottom"/>
          </w:tcPr>
          <w:p>
            <w:pPr>
              <w:spacing w:after="0"/>
              <w:rPr>
                <w:sz w:val="18"/>
                <w:szCs w:val="18"/>
                <w:color w:val="auto"/>
              </w:rPr>
            </w:pPr>
          </w:p>
        </w:tc>
        <w:tc>
          <w:tcPr>
            <w:tcW w:w="9240" w:type="dxa"/>
            <w:vAlign w:val="bottom"/>
          </w:tcPr>
          <w:p>
            <w:pPr>
              <w:ind w:left="1160"/>
              <w:spacing w:after="0"/>
              <w:rPr>
                <w:sz w:val="20"/>
                <w:szCs w:val="20"/>
                <w:color w:val="auto"/>
              </w:rPr>
            </w:pPr>
            <w:r>
              <w:rPr>
                <w:rFonts w:ascii="Arial" w:cs="Arial" w:eastAsia="Arial" w:hAnsi="Arial"/>
                <w:sz w:val="18"/>
                <w:szCs w:val="18"/>
                <w:color w:val="auto"/>
                <w:w w:val="98"/>
              </w:rPr>
              <w:t>opinion in respect of any representations or warranties, or other information, contained in the Reviewed</w:t>
            </w:r>
          </w:p>
        </w:tc>
      </w:tr>
      <w:tr>
        <w:trPr>
          <w:trHeight w:val="230"/>
        </w:trPr>
        <w:tc>
          <w:tcPr>
            <w:tcW w:w="2000" w:type="dxa"/>
            <w:vAlign w:val="bottom"/>
          </w:tcPr>
          <w:p>
            <w:pPr>
              <w:spacing w:after="0"/>
              <w:rPr>
                <w:sz w:val="20"/>
                <w:szCs w:val="20"/>
                <w:color w:val="auto"/>
              </w:rPr>
            </w:pPr>
          </w:p>
        </w:tc>
        <w:tc>
          <w:tcPr>
            <w:tcW w:w="9240" w:type="dxa"/>
            <w:vAlign w:val="bottom"/>
          </w:tcPr>
          <w:p>
            <w:pPr>
              <w:ind w:left="1160"/>
              <w:spacing w:after="0"/>
              <w:rPr>
                <w:sz w:val="20"/>
                <w:szCs w:val="20"/>
                <w:color w:val="auto"/>
              </w:rPr>
            </w:pPr>
            <w:r>
              <w:rPr>
                <w:rFonts w:ascii="Arial" w:cs="Arial" w:eastAsia="Arial" w:hAnsi="Arial"/>
                <w:sz w:val="18"/>
                <w:szCs w:val="18"/>
                <w:color w:val="auto"/>
              </w:rPr>
              <w:t>Documents.</w:t>
            </w:r>
          </w:p>
        </w:tc>
      </w:tr>
      <w:tr>
        <w:trPr>
          <w:trHeight w:val="418"/>
        </w:trPr>
        <w:tc>
          <w:tcPr>
            <w:tcW w:w="2000" w:type="dxa"/>
            <w:vAlign w:val="bottom"/>
          </w:tcPr>
          <w:p>
            <w:pPr>
              <w:spacing w:after="0"/>
              <w:rPr>
                <w:sz w:val="24"/>
                <w:szCs w:val="24"/>
                <w:color w:val="auto"/>
              </w:rPr>
            </w:pPr>
          </w:p>
        </w:tc>
        <w:tc>
          <w:tcPr>
            <w:tcW w:w="9240" w:type="dxa"/>
            <w:vAlign w:val="bottom"/>
          </w:tcPr>
          <w:p>
            <w:pPr>
              <w:ind w:left="1160"/>
              <w:spacing w:after="0"/>
              <w:rPr>
                <w:sz w:val="20"/>
                <w:szCs w:val="20"/>
                <w:color w:val="auto"/>
              </w:rPr>
            </w:pPr>
            <w:r>
              <w:rPr>
                <w:rFonts w:ascii="Arial" w:cs="Arial" w:eastAsia="Arial" w:hAnsi="Arial"/>
                <w:sz w:val="18"/>
                <w:szCs w:val="18"/>
                <w:color w:val="auto"/>
                <w:w w:val="97"/>
              </w:rPr>
              <w:t>In rendering the opinions expressed in this opinion letter, we have reviewed and relied upon drafts of the</w:t>
            </w:r>
          </w:p>
        </w:tc>
      </w:tr>
      <w:tr>
        <w:trPr>
          <w:trHeight w:val="216"/>
        </w:trPr>
        <w:tc>
          <w:tcPr>
            <w:tcW w:w="2000" w:type="dxa"/>
            <w:vAlign w:val="bottom"/>
          </w:tcPr>
          <w:p>
            <w:pPr>
              <w:spacing w:after="0"/>
              <w:rPr>
                <w:sz w:val="18"/>
                <w:szCs w:val="18"/>
                <w:color w:val="auto"/>
              </w:rPr>
            </w:pPr>
          </w:p>
        </w:tc>
        <w:tc>
          <w:tcPr>
            <w:tcW w:w="9240" w:type="dxa"/>
            <w:vAlign w:val="bottom"/>
          </w:tcPr>
          <w:p>
            <w:pPr>
              <w:ind w:left="1160"/>
              <w:spacing w:after="0"/>
              <w:rPr>
                <w:sz w:val="20"/>
                <w:szCs w:val="20"/>
                <w:color w:val="auto"/>
              </w:rPr>
            </w:pPr>
            <w:r>
              <w:rPr>
                <w:rFonts w:ascii="Arial" w:cs="Arial" w:eastAsia="Arial" w:hAnsi="Arial"/>
                <w:sz w:val="18"/>
                <w:szCs w:val="18"/>
                <w:color w:val="auto"/>
                <w:w w:val="91"/>
              </w:rPr>
              <w:t>Reviewed Documents and pdf copies or drafts, as the case may be, of the Corporate Documents and we have</w:t>
            </w:r>
          </w:p>
        </w:tc>
      </w:tr>
      <w:tr>
        <w:trPr>
          <w:trHeight w:val="216"/>
        </w:trPr>
        <w:tc>
          <w:tcPr>
            <w:tcW w:w="2000" w:type="dxa"/>
            <w:vAlign w:val="bottom"/>
          </w:tcPr>
          <w:p>
            <w:pPr>
              <w:spacing w:after="0"/>
              <w:rPr>
                <w:sz w:val="18"/>
                <w:szCs w:val="18"/>
                <w:color w:val="auto"/>
              </w:rPr>
            </w:pPr>
          </w:p>
        </w:tc>
        <w:tc>
          <w:tcPr>
            <w:tcW w:w="9240" w:type="dxa"/>
            <w:vAlign w:val="bottom"/>
          </w:tcPr>
          <w:p>
            <w:pPr>
              <w:ind w:left="1160"/>
              <w:spacing w:after="0"/>
              <w:rPr>
                <w:sz w:val="20"/>
                <w:szCs w:val="20"/>
                <w:color w:val="auto"/>
              </w:rPr>
            </w:pPr>
            <w:r>
              <w:rPr>
                <w:rFonts w:ascii="Arial" w:cs="Arial" w:eastAsia="Arial" w:hAnsi="Arial"/>
                <w:sz w:val="18"/>
                <w:szCs w:val="18"/>
                <w:color w:val="auto"/>
                <w:w w:val="92"/>
              </w:rPr>
              <w:t>assumed that the Reviewed Documents shall be entered into for bona fide commercial reasons. We have not</w:t>
            </w:r>
          </w:p>
        </w:tc>
      </w:tr>
      <w:tr>
        <w:trPr>
          <w:trHeight w:val="230"/>
        </w:trPr>
        <w:tc>
          <w:tcPr>
            <w:tcW w:w="2000" w:type="dxa"/>
            <w:vAlign w:val="bottom"/>
          </w:tcPr>
          <w:p>
            <w:pPr>
              <w:spacing w:after="0"/>
              <w:rPr>
                <w:sz w:val="20"/>
                <w:szCs w:val="20"/>
                <w:color w:val="auto"/>
              </w:rPr>
            </w:pPr>
          </w:p>
        </w:tc>
        <w:tc>
          <w:tcPr>
            <w:tcW w:w="9240" w:type="dxa"/>
            <w:vAlign w:val="bottom"/>
          </w:tcPr>
          <w:p>
            <w:pPr>
              <w:ind w:left="1160"/>
              <w:spacing w:after="0"/>
              <w:rPr>
                <w:sz w:val="20"/>
                <w:szCs w:val="20"/>
                <w:color w:val="auto"/>
              </w:rPr>
            </w:pPr>
            <w:r>
              <w:rPr>
                <w:rFonts w:ascii="Arial" w:cs="Arial" w:eastAsia="Arial" w:hAnsi="Arial"/>
                <w:sz w:val="18"/>
                <w:szCs w:val="18"/>
                <w:color w:val="auto"/>
              </w:rPr>
              <w:t>investigated or verified any factual matter disclosed to us in the course of our review.</w:t>
            </w:r>
          </w:p>
        </w:tc>
      </w:tr>
      <w:tr>
        <w:trPr>
          <w:trHeight w:val="418"/>
        </w:trPr>
        <w:tc>
          <w:tcPr>
            <w:tcW w:w="2000" w:type="dxa"/>
            <w:vAlign w:val="bottom"/>
          </w:tcPr>
          <w:p>
            <w:pPr>
              <w:spacing w:after="0"/>
              <w:rPr>
                <w:sz w:val="24"/>
                <w:szCs w:val="24"/>
                <w:color w:val="auto"/>
              </w:rPr>
            </w:pPr>
          </w:p>
        </w:tc>
        <w:tc>
          <w:tcPr>
            <w:tcW w:w="9240" w:type="dxa"/>
            <w:vAlign w:val="bottom"/>
          </w:tcPr>
          <w:p>
            <w:pPr>
              <w:ind w:left="1160"/>
              <w:spacing w:after="0"/>
              <w:rPr>
                <w:sz w:val="20"/>
                <w:szCs w:val="20"/>
                <w:color w:val="auto"/>
              </w:rPr>
            </w:pPr>
            <w:r>
              <w:rPr>
                <w:rFonts w:ascii="Arial" w:cs="Arial" w:eastAsia="Arial" w:hAnsi="Arial"/>
                <w:sz w:val="18"/>
                <w:szCs w:val="18"/>
                <w:color w:val="auto"/>
              </w:rPr>
              <w:t>This opinion letter sets out our opinion on certain matters of the laws with general applicability of the</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Amsterdam</w:t>
            </w:r>
          </w:p>
        </w:tc>
        <w:tc>
          <w:tcPr>
            <w:tcW w:w="9240" w:type="dxa"/>
            <w:vAlign w:val="bottom"/>
          </w:tcPr>
          <w:p>
            <w:pPr>
              <w:ind w:left="1160"/>
              <w:spacing w:after="0"/>
              <w:rPr>
                <w:sz w:val="20"/>
                <w:szCs w:val="20"/>
                <w:color w:val="auto"/>
              </w:rPr>
            </w:pPr>
            <w:r>
              <w:rPr>
                <w:rFonts w:ascii="Arial" w:cs="Arial" w:eastAsia="Arial" w:hAnsi="Arial"/>
                <w:sz w:val="18"/>
                <w:szCs w:val="18"/>
                <w:color w:val="auto"/>
                <w:w w:val="96"/>
              </w:rPr>
              <w:t>Netherlands, and, insofar as they are directly applicable in the Netherlands, of the European Union, as at</w:t>
            </w:r>
          </w:p>
        </w:tc>
      </w:tr>
      <w:tr>
        <w:trPr>
          <w:trHeight w:val="216"/>
        </w:trPr>
        <w:tc>
          <w:tcPr>
            <w:tcW w:w="2000" w:type="dxa"/>
            <w:vAlign w:val="bottom"/>
          </w:tcPr>
          <w:p>
            <w:pPr>
              <w:spacing w:after="0"/>
              <w:rPr>
                <w:sz w:val="18"/>
                <w:szCs w:val="18"/>
                <w:color w:val="auto"/>
              </w:rPr>
            </w:pPr>
          </w:p>
        </w:tc>
        <w:tc>
          <w:tcPr>
            <w:tcW w:w="9240" w:type="dxa"/>
            <w:vAlign w:val="bottom"/>
          </w:tcPr>
          <w:p>
            <w:pPr>
              <w:ind w:left="1160"/>
              <w:spacing w:after="0"/>
              <w:rPr>
                <w:sz w:val="20"/>
                <w:szCs w:val="20"/>
                <w:color w:val="auto"/>
              </w:rPr>
            </w:pPr>
            <w:r>
              <w:rPr>
                <w:rFonts w:ascii="Arial" w:cs="Arial" w:eastAsia="Arial" w:hAnsi="Arial"/>
                <w:sz w:val="18"/>
                <w:szCs w:val="18"/>
                <w:color w:val="auto"/>
                <w:w w:val="97"/>
              </w:rPr>
              <w:t>today's date and as presently interpreted under published authoritative case law of the Dutch courts, the</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Brussels</w:t>
            </w:r>
          </w:p>
        </w:tc>
        <w:tc>
          <w:tcPr>
            <w:tcW w:w="9240" w:type="dxa"/>
            <w:vAlign w:val="bottom"/>
          </w:tcPr>
          <w:p>
            <w:pPr>
              <w:ind w:left="1160"/>
              <w:spacing w:after="0"/>
              <w:rPr>
                <w:sz w:val="20"/>
                <w:szCs w:val="20"/>
                <w:color w:val="auto"/>
              </w:rPr>
            </w:pPr>
            <w:r>
              <w:rPr>
                <w:rFonts w:ascii="Arial" w:cs="Arial" w:eastAsia="Arial" w:hAnsi="Arial"/>
                <w:sz w:val="18"/>
                <w:szCs w:val="18"/>
                <w:color w:val="auto"/>
                <w:w w:val="94"/>
              </w:rPr>
              <w:t>General Court and the Court of Justice of the European Union. We do not express any opinion on Dutch or</w:t>
            </w:r>
          </w:p>
        </w:tc>
      </w:tr>
      <w:tr>
        <w:trPr>
          <w:trHeight w:val="216"/>
        </w:trPr>
        <w:tc>
          <w:tcPr>
            <w:tcW w:w="2000" w:type="dxa"/>
            <w:vAlign w:val="bottom"/>
          </w:tcPr>
          <w:p>
            <w:pPr>
              <w:spacing w:after="0"/>
              <w:rPr>
                <w:sz w:val="18"/>
                <w:szCs w:val="18"/>
                <w:color w:val="auto"/>
              </w:rPr>
            </w:pPr>
          </w:p>
        </w:tc>
        <w:tc>
          <w:tcPr>
            <w:tcW w:w="9240" w:type="dxa"/>
            <w:vAlign w:val="bottom"/>
          </w:tcPr>
          <w:p>
            <w:pPr>
              <w:ind w:left="1160"/>
              <w:spacing w:after="0"/>
              <w:rPr>
                <w:sz w:val="20"/>
                <w:szCs w:val="20"/>
                <w:color w:val="auto"/>
              </w:rPr>
            </w:pPr>
            <w:r>
              <w:rPr>
                <w:rFonts w:ascii="Arial" w:cs="Arial" w:eastAsia="Arial" w:hAnsi="Arial"/>
                <w:sz w:val="18"/>
                <w:szCs w:val="18"/>
                <w:color w:val="auto"/>
                <w:w w:val="94"/>
              </w:rPr>
              <w:t>European competition law, data protection law, tax law or regulatory law. No undertaking is assumed on our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London</w:t>
            </w:r>
          </w:p>
        </w:tc>
        <w:tc>
          <w:tcPr>
            <w:tcW w:w="9240" w:type="dxa"/>
            <w:vAlign w:val="bottom"/>
          </w:tcPr>
          <w:p>
            <w:pPr>
              <w:ind w:left="1160"/>
              <w:spacing w:after="0"/>
              <w:rPr>
                <w:sz w:val="20"/>
                <w:szCs w:val="20"/>
                <w:color w:val="auto"/>
              </w:rPr>
            </w:pPr>
            <w:r>
              <w:rPr>
                <w:rFonts w:ascii="Arial" w:cs="Arial" w:eastAsia="Arial" w:hAnsi="Arial"/>
                <w:sz w:val="18"/>
                <w:szCs w:val="18"/>
                <w:color w:val="auto"/>
              </w:rPr>
              <w:t>part to revise, update or amend this opinion letter in connection with or to notify or inform you of, any</w:t>
            </w:r>
          </w:p>
        </w:tc>
      </w:tr>
      <w:tr>
        <w:trPr>
          <w:trHeight w:val="216"/>
        </w:trPr>
        <w:tc>
          <w:tcPr>
            <w:tcW w:w="2000" w:type="dxa"/>
            <w:vAlign w:val="bottom"/>
          </w:tcPr>
          <w:p>
            <w:pPr>
              <w:spacing w:after="0"/>
              <w:rPr>
                <w:sz w:val="18"/>
                <w:szCs w:val="18"/>
                <w:color w:val="auto"/>
              </w:rPr>
            </w:pPr>
          </w:p>
        </w:tc>
        <w:tc>
          <w:tcPr>
            <w:tcW w:w="9240" w:type="dxa"/>
            <w:vAlign w:val="bottom"/>
          </w:tcPr>
          <w:p>
            <w:pPr>
              <w:ind w:left="1160"/>
              <w:spacing w:after="0"/>
              <w:rPr>
                <w:sz w:val="20"/>
                <w:szCs w:val="20"/>
                <w:color w:val="auto"/>
              </w:rPr>
            </w:pPr>
            <w:r>
              <w:rPr>
                <w:rFonts w:ascii="Arial" w:cs="Arial" w:eastAsia="Arial" w:hAnsi="Arial"/>
                <w:sz w:val="18"/>
                <w:szCs w:val="18"/>
                <w:color w:val="auto"/>
                <w:w w:val="95"/>
              </w:rPr>
              <w:t>developments and/or changes of Dutch law subsequent to today's date. We do not purport to opine on the</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Luxemburg</w:t>
            </w:r>
          </w:p>
        </w:tc>
        <w:tc>
          <w:tcPr>
            <w:tcW w:w="9240" w:type="dxa"/>
            <w:vAlign w:val="bottom"/>
          </w:tcPr>
          <w:p>
            <w:pPr>
              <w:ind w:left="1160"/>
              <w:spacing w:after="0"/>
              <w:rPr>
                <w:sz w:val="20"/>
                <w:szCs w:val="20"/>
                <w:color w:val="auto"/>
              </w:rPr>
            </w:pPr>
            <w:r>
              <w:rPr>
                <w:rFonts w:ascii="Arial" w:cs="Arial" w:eastAsia="Arial" w:hAnsi="Arial"/>
                <w:sz w:val="18"/>
                <w:szCs w:val="18"/>
                <w:color w:val="auto"/>
                <w:w w:val="90"/>
              </w:rPr>
              <w:t>consequences of amendments to the Reviewed Documents or the Corporate Documents subsequent to the date</w:t>
            </w:r>
          </w:p>
        </w:tc>
      </w:tr>
      <w:tr>
        <w:trPr>
          <w:trHeight w:val="230"/>
        </w:trPr>
        <w:tc>
          <w:tcPr>
            <w:tcW w:w="2000" w:type="dxa"/>
            <w:vAlign w:val="bottom"/>
          </w:tcPr>
          <w:p>
            <w:pPr>
              <w:spacing w:after="0"/>
              <w:rPr>
                <w:sz w:val="20"/>
                <w:szCs w:val="20"/>
                <w:color w:val="auto"/>
              </w:rPr>
            </w:pPr>
          </w:p>
        </w:tc>
        <w:tc>
          <w:tcPr>
            <w:tcW w:w="9240" w:type="dxa"/>
            <w:vAlign w:val="bottom"/>
          </w:tcPr>
          <w:p>
            <w:pPr>
              <w:ind w:left="1160"/>
              <w:spacing w:after="0"/>
              <w:rPr>
                <w:sz w:val="20"/>
                <w:szCs w:val="20"/>
                <w:color w:val="auto"/>
              </w:rPr>
            </w:pPr>
            <w:r>
              <w:rPr>
                <w:rFonts w:ascii="Arial" w:cs="Arial" w:eastAsia="Arial" w:hAnsi="Arial"/>
                <w:sz w:val="18"/>
                <w:szCs w:val="18"/>
                <w:color w:val="auto"/>
              </w:rPr>
              <w:t>of this opinion letter.</w:t>
            </w:r>
          </w:p>
        </w:tc>
      </w:tr>
      <w:tr>
        <w:trPr>
          <w:trHeight w:val="243"/>
        </w:trPr>
        <w:tc>
          <w:tcPr>
            <w:tcW w:w="2000" w:type="dxa"/>
            <w:vAlign w:val="bottom"/>
          </w:tcPr>
          <w:p>
            <w:pPr>
              <w:spacing w:after="0"/>
              <w:rPr>
                <w:sz w:val="20"/>
                <w:szCs w:val="20"/>
                <w:color w:val="auto"/>
              </w:rPr>
            </w:pPr>
            <w:r>
              <w:rPr>
                <w:rFonts w:ascii="Arial" w:cs="Arial" w:eastAsia="Arial" w:hAnsi="Arial"/>
                <w:sz w:val="18"/>
                <w:szCs w:val="18"/>
                <w:color w:val="auto"/>
              </w:rPr>
              <w:t>New York</w:t>
            </w:r>
          </w:p>
        </w:tc>
        <w:tc>
          <w:tcPr>
            <w:tcW w:w="9240" w:type="dxa"/>
            <w:vAlign w:val="bottom"/>
          </w:tcPr>
          <w:p>
            <w:pPr>
              <w:spacing w:after="0"/>
              <w:rPr>
                <w:sz w:val="21"/>
                <w:szCs w:val="21"/>
                <w:color w:val="auto"/>
              </w:rPr>
            </w:pPr>
          </w:p>
        </w:tc>
      </w:tr>
      <w:tr>
        <w:trPr>
          <w:trHeight w:val="432"/>
        </w:trPr>
        <w:tc>
          <w:tcPr>
            <w:tcW w:w="2000" w:type="dxa"/>
            <w:vAlign w:val="bottom"/>
          </w:tcPr>
          <w:p>
            <w:pPr>
              <w:spacing w:after="0"/>
              <w:rPr>
                <w:sz w:val="20"/>
                <w:szCs w:val="20"/>
                <w:color w:val="auto"/>
              </w:rPr>
            </w:pPr>
            <w:r>
              <w:rPr>
                <w:rFonts w:ascii="Arial" w:cs="Arial" w:eastAsia="Arial" w:hAnsi="Arial"/>
                <w:sz w:val="18"/>
                <w:szCs w:val="18"/>
                <w:color w:val="auto"/>
              </w:rPr>
              <w:t>Rotterdam</w:t>
            </w:r>
          </w:p>
        </w:tc>
        <w:tc>
          <w:tcPr>
            <w:tcW w:w="9240" w:type="dxa"/>
            <w:vAlign w:val="bottom"/>
          </w:tcPr>
          <w:p>
            <w:pPr>
              <w:spacing w:after="0"/>
              <w:rPr>
                <w:sz w:val="24"/>
                <w:szCs w:val="24"/>
                <w:color w:val="auto"/>
              </w:rPr>
            </w:pPr>
          </w:p>
        </w:tc>
      </w:tr>
      <w:tr>
        <w:trPr>
          <w:trHeight w:val="891"/>
        </w:trPr>
        <w:tc>
          <w:tcPr>
            <w:tcW w:w="200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8" w:right="339" w:bottom="1440" w:gutter="0" w:footer="0" w:header="0"/>
          <w:type w:val="continuous"/>
        </w:sectPr>
      </w:pPr>
    </w:p>
    <w:bookmarkStart w:id="431" w:name="page432"/>
    <w:bookmarkEnd w:id="43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3088640</wp:posOffset>
            </wp:positionH>
            <wp:positionV relativeFrom="page">
              <wp:posOffset>226060</wp:posOffset>
            </wp:positionV>
            <wp:extent cx="1345565" cy="21463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937">
                      <a:clrChange>
                        <a:clrFrom>
                          <a:srgbClr val="FFFFFF"/>
                        </a:clrFrom>
                        <a:clrTo>
                          <a:srgbClr val="FFFFFF">
                            <a:alpha val="0"/>
                          </a:srgbClr>
                        </a:clrTo>
                      </a:clrChange>
                      <a:extLst>
                        <a:ext uri="{28A0092B-C50C-407E-A947-70E740481C1C}"/>
                      </a:extLst>
                    </a:blip>
                    <a:srcRect/>
                    <a:stretch>
                      <a:fillRect/>
                    </a:stretch>
                  </pic:blipFill>
                  <pic:spPr bwMode="auto">
                    <a:xfrm>
                      <a:off x="0" y="0"/>
                      <a:ext cx="1345565" cy="214630"/>
                    </a:xfrm>
                    <a:prstGeom prst="rect">
                      <a:avLst/>
                    </a:prstGeom>
                    <a:noFill/>
                  </pic:spPr>
                </pic:pic>
              </a:graphicData>
            </a:graphic>
          </wp:anchor>
        </w:drawing>
        <w:t>2</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opinions expressed in this opinion letter are to be construed and interpreted in accordance with Dutch law. The competent courts at Amsterdam, the Netherlands, have exclusive jurisdiction to settle any issues of interpretation or liability arising out of or in connection with this opinion letter. Any legal relationship arising out of or in connection with this opinion letter (whether contractual or non-contractual), including the above submission to jurisdiction, is governed by Dutch law and shall be subject to the general terms and conditions of NautaDutilh. Any liability arising out of or in connection with this opinion letter shall be limited to the amount which is paid out under NautaDutilh's insurance policy in the matter concerned. No person other than NautaDutilh may be held liable in connection with this opinion letter.</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this opinion letter, legal concepts are expressed in English terms. The Dutch legal concepts concerned may not be identical in meaning to the concepts described by the English terms as they exist under the law of other jurisdictions. In the event of a conflict or inconsistency, the relevant expression shall be deemed to refer only to the Dutch legal concepts described by the English terms.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this opinion letter, we have assumed that:</w:t>
      </w:r>
    </w:p>
    <w:p>
      <w:pPr>
        <w:spacing w:after="0" w:line="225" w:lineRule="exact"/>
        <w:rPr>
          <w:sz w:val="20"/>
          <w:szCs w:val="20"/>
          <w:color w:val="auto"/>
        </w:rPr>
      </w:pPr>
    </w:p>
    <w:p>
      <w:pPr>
        <w:ind w:left="340" w:hanging="332"/>
        <w:spacing w:after="0" w:line="277" w:lineRule="auto"/>
        <w:tabs>
          <w:tab w:leader="none" w:pos="34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drafts of documents reviewed by us will be signed in the form of those drafts, each copy of a document conforms to the original, each original is authentic, and each signature is the genuine signature of the individual purported to have placed that signature;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Registration Statement has been declared effective by the SEC in the form reviewed by us;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 no internal regulations (</w:t>
      </w:r>
      <w:r>
        <w:rPr>
          <w:rFonts w:ascii="Arial" w:cs="Arial" w:eastAsia="Arial" w:hAnsi="Arial"/>
          <w:sz w:val="18"/>
          <w:szCs w:val="18"/>
          <w:i w:val="1"/>
          <w:iCs w:val="1"/>
          <w:color w:val="auto"/>
        </w:rPr>
        <w:t>reglementen</w:t>
      </w:r>
      <w:r>
        <w:rPr>
          <w:rFonts w:ascii="Arial" w:cs="Arial" w:eastAsia="Arial" w:hAnsi="Arial"/>
          <w:sz w:val="18"/>
          <w:szCs w:val="18"/>
          <w:color w:val="auto"/>
        </w:rPr>
        <w:t>) have been adopted by any corporate body of the Company which would affect the validity of the resolutions recorded in the Resolutions and (ii) the Current Articles are the Articles of Association currently in force;</w:t>
      </w:r>
    </w:p>
    <w:p>
      <w:pPr>
        <w:spacing w:after="0" w:line="170"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the resolutions recorded in the Resolutions are in full force and effect, the factual statements made and the confirmations given in the Resolutions and each Deed of Issue are complete and correct at each Relevant Moment and the Resolutions correctly reflect the resolutions recorded therein;</w:t>
      </w:r>
    </w:p>
    <w:p>
      <w:pPr>
        <w:spacing w:after="0" w:line="123" w:lineRule="exact"/>
        <w:rPr>
          <w:rFonts w:ascii="Arial" w:cs="Arial" w:eastAsia="Arial" w:hAnsi="Arial"/>
          <w:sz w:val="16"/>
          <w:szCs w:val="16"/>
          <w:color w:val="auto"/>
        </w:rPr>
      </w:pPr>
    </w:p>
    <w:p>
      <w:pPr>
        <w:ind w:left="340" w:hanging="332"/>
        <w:spacing w:after="0"/>
        <w:tabs>
          <w:tab w:leader="none" w:pos="34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each Deed of Issue has been validly signed and executed on behalf of the Company;</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Offering, to the extent made in the Netherlands, has been, is and will be made in conformity with the Prospectus Regulation, the DFSA and the rules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9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32" w:name="page433"/>
    <w:bookmarkEnd w:id="43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3088640</wp:posOffset>
            </wp:positionH>
            <wp:positionV relativeFrom="page">
              <wp:posOffset>226060</wp:posOffset>
            </wp:positionV>
            <wp:extent cx="1345565" cy="21463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939">
                      <a:clrChange>
                        <a:clrFrom>
                          <a:srgbClr val="FFFFFF"/>
                        </a:clrFrom>
                        <a:clrTo>
                          <a:srgbClr val="FFFFFF">
                            <a:alpha val="0"/>
                          </a:srgbClr>
                        </a:clrTo>
                      </a:clrChange>
                      <a:extLst>
                        <a:ext uri="{28A0092B-C50C-407E-A947-70E740481C1C}"/>
                      </a:extLst>
                    </a:blip>
                    <a:srcRect/>
                    <a:stretch>
                      <a:fillRect/>
                    </a:stretch>
                  </pic:blipFill>
                  <pic:spPr bwMode="auto">
                    <a:xfrm>
                      <a:off x="0" y="0"/>
                      <a:ext cx="1345565" cy="214630"/>
                    </a:xfrm>
                    <a:prstGeom prst="rect">
                      <a:avLst/>
                    </a:prstGeom>
                    <a:noFill/>
                  </pic:spPr>
                </pic:pic>
              </a:graphicData>
            </a:graphic>
          </wp:anchor>
        </w:drawing>
        <w:t>3</w:t>
      </w:r>
    </w:p>
    <w:p>
      <w:pPr>
        <w:spacing w:after="0" w:line="225" w:lineRule="exact"/>
        <w:rPr>
          <w:sz w:val="20"/>
          <w:szCs w:val="20"/>
          <w:color w:val="auto"/>
        </w:rPr>
      </w:pPr>
    </w:p>
    <w:p>
      <w:pPr>
        <w:ind w:left="340" w:right="20" w:hanging="332"/>
        <w:spacing w:after="0" w:line="308" w:lineRule="auto"/>
        <w:tabs>
          <w:tab w:leader="none" w:pos="34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the Option (i) has been validly granted as a right to subscribe for Common Shares (</w:t>
      </w:r>
      <w:r>
        <w:rPr>
          <w:rFonts w:ascii="Arial" w:cs="Arial" w:eastAsia="Arial" w:hAnsi="Arial"/>
          <w:sz w:val="17"/>
          <w:szCs w:val="17"/>
          <w:i w:val="1"/>
          <w:iCs w:val="1"/>
          <w:color w:val="auto"/>
        </w:rPr>
        <w:t>recht tot het nemen van aandelen</w:t>
      </w:r>
      <w:r>
        <w:rPr>
          <w:rFonts w:ascii="Arial" w:cs="Arial" w:eastAsia="Arial" w:hAnsi="Arial"/>
          <w:sz w:val="17"/>
          <w:szCs w:val="17"/>
          <w:color w:val="auto"/>
        </w:rPr>
        <w:t>), (ii) shall be in full force and effect upon being exercised and (iii) shall have been validly exercised in accordance with the terms of the Underwriting Agreement; and</w:t>
      </w:r>
    </w:p>
    <w:p>
      <w:pPr>
        <w:spacing w:after="0" w:line="146"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at the Relevant Moment, each of the assumptions made in this opinion letter will be correct in all aspects by reference to the facts and circumstances then existing.</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upon and subject to the foregoing and subject to the qualifications set forth in this opinion letter and to any matters, documents or events not disclosed to us, we express the following opinions: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Corporate Status</w:t>
      </w:r>
    </w:p>
    <w:p>
      <w:pPr>
        <w:spacing w:after="0" w:line="229" w:lineRule="exact"/>
        <w:rPr>
          <w:sz w:val="20"/>
          <w:szCs w:val="20"/>
          <w:color w:val="auto"/>
        </w:rPr>
      </w:pPr>
    </w:p>
    <w:p>
      <w:pPr>
        <w:ind w:left="640" w:hanging="632"/>
        <w:spacing w:after="0" w:line="277" w:lineRule="auto"/>
        <w:tabs>
          <w:tab w:leader="none" w:pos="6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 xml:space="preserve">The Company has been duly incorporated as a </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xml:space="preserve"> and is validly existing as a </w:t>
      </w:r>
      <w:r>
        <w:rPr>
          <w:rFonts w:ascii="Arial" w:cs="Arial" w:eastAsia="Arial" w:hAnsi="Arial"/>
          <w:sz w:val="18"/>
          <w:szCs w:val="18"/>
          <w:i w:val="1"/>
          <w:iCs w:val="1"/>
          <w:color w:val="auto"/>
        </w:rPr>
        <w:t>naamloze</w:t>
      </w:r>
      <w:r>
        <w:rPr>
          <w:rFonts w:ascii="Arial" w:cs="Arial" w:eastAsia="Arial" w:hAnsi="Arial"/>
          <w:sz w:val="18"/>
          <w:szCs w:val="18"/>
          <w:color w:val="auto"/>
        </w:rPr>
        <w:t xml:space="preserve"> </w:t>
      </w:r>
      <w:r>
        <w:rPr>
          <w:rFonts w:ascii="Arial" w:cs="Arial" w:eastAsia="Arial" w:hAnsi="Arial"/>
          <w:sz w:val="18"/>
          <w:szCs w:val="18"/>
          <w:i w:val="1"/>
          <w:iCs w:val="1"/>
          <w:color w:val="auto"/>
        </w:rPr>
        <w:t>vennootschap</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b w:val="1"/>
          <w:bCs w:val="1"/>
          <w:color w:val="auto"/>
        </w:rPr>
        <w:t>Offer Shares and Option Shares</w:t>
      </w:r>
    </w:p>
    <w:p>
      <w:pPr>
        <w:spacing w:after="0" w:line="229" w:lineRule="exact"/>
        <w:rPr>
          <w:rFonts w:ascii="Arial" w:cs="Arial" w:eastAsia="Arial" w:hAnsi="Arial"/>
          <w:sz w:val="18"/>
          <w:szCs w:val="18"/>
          <w:color w:val="auto"/>
        </w:rPr>
      </w:pPr>
    </w:p>
    <w:p>
      <w:pPr>
        <w:jc w:val="both"/>
        <w:ind w:left="640" w:hanging="632"/>
        <w:spacing w:after="0" w:line="263" w:lineRule="auto"/>
        <w:tabs>
          <w:tab w:leader="none" w:pos="6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Subject to receipt by the Company of payment in full for the Offer Shares and the Option Shares as provided for in the Reviewed Documents, and when issued and accepted in accordance with the Resolutions and the Reviewed Documents, the Offer Shares and the Option Shares shall be validly issued, fully paid and non-assessable.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opinions expressed above are subject to the following qualifications:</w:t>
      </w:r>
    </w:p>
    <w:p>
      <w:pPr>
        <w:spacing w:after="0" w:line="225" w:lineRule="exact"/>
        <w:rPr>
          <w:sz w:val="20"/>
          <w:szCs w:val="20"/>
          <w:color w:val="auto"/>
        </w:rPr>
      </w:pPr>
    </w:p>
    <w:p>
      <w:pPr>
        <w:jc w:val="both"/>
        <w:ind w:left="640" w:hanging="632"/>
        <w:spacing w:after="0" w:line="259" w:lineRule="auto"/>
        <w:tabs>
          <w:tab w:leader="none" w:pos="64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Opinion 1 must not be read to imply that the Company cannot be dissolved (</w:t>
      </w:r>
      <w:r>
        <w:rPr>
          <w:rFonts w:ascii="Arial" w:cs="Arial" w:eastAsia="Arial" w:hAnsi="Arial"/>
          <w:sz w:val="18"/>
          <w:szCs w:val="18"/>
          <w:i w:val="1"/>
          <w:iCs w:val="1"/>
          <w:color w:val="auto"/>
        </w:rPr>
        <w:t>ontbonden</w:t>
      </w:r>
      <w:r>
        <w:rPr>
          <w:rFonts w:ascii="Arial" w:cs="Arial" w:eastAsia="Arial" w:hAnsi="Arial"/>
          <w:sz w:val="18"/>
          <w:szCs w:val="18"/>
          <w:color w:val="auto"/>
        </w:rPr>
        <w:t>). A company such as the Company may be dissolved, inter alia by the competent court at the request of the company's board of directors, any interested party (</w:t>
      </w:r>
      <w:r>
        <w:rPr>
          <w:rFonts w:ascii="Arial" w:cs="Arial" w:eastAsia="Arial" w:hAnsi="Arial"/>
          <w:sz w:val="18"/>
          <w:szCs w:val="18"/>
          <w:i w:val="1"/>
          <w:iCs w:val="1"/>
          <w:color w:val="auto"/>
        </w:rPr>
        <w:t>belanghebbende</w:t>
      </w:r>
      <w:r>
        <w:rPr>
          <w:rFonts w:ascii="Arial" w:cs="Arial" w:eastAsia="Arial" w:hAnsi="Arial"/>
          <w:sz w:val="18"/>
          <w:szCs w:val="18"/>
          <w:color w:val="auto"/>
        </w:rPr>
        <w:t>) or the public prosecution office in certain circumstances, such as when there are certain defects in the incorporation of the company. Any such dissolution will not have retro-active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9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33" w:name="page434"/>
    <w:bookmarkEnd w:id="43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3088640</wp:posOffset>
            </wp:positionH>
            <wp:positionV relativeFrom="page">
              <wp:posOffset>226060</wp:posOffset>
            </wp:positionV>
            <wp:extent cx="1345565" cy="21463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941">
                      <a:clrChange>
                        <a:clrFrom>
                          <a:srgbClr val="FFFFFF"/>
                        </a:clrFrom>
                        <a:clrTo>
                          <a:srgbClr val="FFFFFF">
                            <a:alpha val="0"/>
                          </a:srgbClr>
                        </a:clrTo>
                      </a:clrChange>
                      <a:extLst>
                        <a:ext uri="{28A0092B-C50C-407E-A947-70E740481C1C}"/>
                      </a:extLst>
                    </a:blip>
                    <a:srcRect/>
                    <a:stretch>
                      <a:fillRect/>
                    </a:stretch>
                  </pic:blipFill>
                  <pic:spPr bwMode="auto">
                    <a:xfrm>
                      <a:off x="0" y="0"/>
                      <a:ext cx="1345565" cy="214630"/>
                    </a:xfrm>
                    <a:prstGeom prst="rect">
                      <a:avLst/>
                    </a:prstGeom>
                    <a:noFill/>
                  </pic:spPr>
                </pic:pic>
              </a:graphicData>
            </a:graphic>
          </wp:anchor>
        </w:drawing>
        <w:t>4</w:t>
      </w:r>
    </w:p>
    <w:p>
      <w:pPr>
        <w:spacing w:after="0" w:line="225" w:lineRule="exact"/>
        <w:rPr>
          <w:sz w:val="20"/>
          <w:szCs w:val="20"/>
          <w:color w:val="auto"/>
        </w:rPr>
      </w:pPr>
    </w:p>
    <w:p>
      <w:pPr>
        <w:jc w:val="both"/>
        <w:ind w:left="640" w:hanging="632"/>
        <w:spacing w:after="0" w:line="289" w:lineRule="auto"/>
        <w:tabs>
          <w:tab w:leader="none" w:pos="64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Pursuant to Section 2:7 DCC, any transaction entered into by a legal entity may be nullified by the legal entity itself or its liquidator in bankruptcy proceedings (</w:t>
      </w:r>
      <w:r>
        <w:rPr>
          <w:rFonts w:ascii="Arial" w:cs="Arial" w:eastAsia="Arial" w:hAnsi="Arial"/>
          <w:sz w:val="16"/>
          <w:szCs w:val="16"/>
          <w:i w:val="1"/>
          <w:iCs w:val="1"/>
          <w:color w:val="auto"/>
        </w:rPr>
        <w:t>curator</w:t>
      </w:r>
      <w:r>
        <w:rPr>
          <w:rFonts w:ascii="Arial" w:cs="Arial" w:eastAsia="Arial" w:hAnsi="Arial"/>
          <w:sz w:val="16"/>
          <w:szCs w:val="16"/>
          <w:color w:val="auto"/>
        </w:rPr>
        <w:t>) if the objects of that entity were transgressed by the transaction and the other party to the transaction knew or should have known this without independent investigation (</w:t>
      </w:r>
      <w:r>
        <w:rPr>
          <w:rFonts w:ascii="Arial" w:cs="Arial" w:eastAsia="Arial" w:hAnsi="Arial"/>
          <w:sz w:val="16"/>
          <w:szCs w:val="16"/>
          <w:i w:val="1"/>
          <w:iCs w:val="1"/>
          <w:color w:val="auto"/>
        </w:rPr>
        <w:t>wist of zonder eigen onderzoek moest weten</w:t>
      </w:r>
      <w:r>
        <w:rPr>
          <w:rFonts w:ascii="Arial" w:cs="Arial" w:eastAsia="Arial" w:hAnsi="Arial"/>
          <w:sz w:val="16"/>
          <w:szCs w:val="16"/>
          <w:color w:val="auto"/>
        </w:rPr>
        <w:t>). The Dutch Supreme Court (</w:t>
      </w:r>
      <w:r>
        <w:rPr>
          <w:rFonts w:ascii="Arial" w:cs="Arial" w:eastAsia="Arial" w:hAnsi="Arial"/>
          <w:sz w:val="16"/>
          <w:szCs w:val="16"/>
          <w:i w:val="1"/>
          <w:iCs w:val="1"/>
          <w:color w:val="auto"/>
        </w:rPr>
        <w:t>Hoge Raad der</w:t>
      </w:r>
      <w:r>
        <w:rPr>
          <w:rFonts w:ascii="Arial" w:cs="Arial" w:eastAsia="Arial" w:hAnsi="Arial"/>
          <w:sz w:val="16"/>
          <w:szCs w:val="16"/>
          <w:color w:val="auto"/>
        </w:rPr>
        <w:t xml:space="preserve"> </w:t>
      </w:r>
      <w:r>
        <w:rPr>
          <w:rFonts w:ascii="Arial" w:cs="Arial" w:eastAsia="Arial" w:hAnsi="Arial"/>
          <w:sz w:val="16"/>
          <w:szCs w:val="16"/>
          <w:i w:val="1"/>
          <w:iCs w:val="1"/>
          <w:color w:val="auto"/>
        </w:rPr>
        <w:t>Nederlanden</w:t>
      </w:r>
      <w:r>
        <w:rPr>
          <w:rFonts w:ascii="Arial" w:cs="Arial" w:eastAsia="Arial" w:hAnsi="Arial"/>
          <w:sz w:val="16"/>
          <w:szCs w:val="16"/>
          <w:color w:val="auto"/>
        </w:rPr>
        <w:t>) has ruled that in determining whether the objects of a legal entity are transgressed, not only the description of the objects in that</w:t>
      </w:r>
      <w:r>
        <w:rPr>
          <w:rFonts w:ascii="Arial" w:cs="Arial" w:eastAsia="Arial" w:hAnsi="Arial"/>
          <w:sz w:val="16"/>
          <w:szCs w:val="16"/>
          <w:i w:val="1"/>
          <w:iCs w:val="1"/>
          <w:color w:val="auto"/>
        </w:rPr>
        <w:t xml:space="preserve"> </w:t>
      </w:r>
      <w:r>
        <w:rPr>
          <w:rFonts w:ascii="Arial" w:cs="Arial" w:eastAsia="Arial" w:hAnsi="Arial"/>
          <w:sz w:val="16"/>
          <w:szCs w:val="16"/>
          <w:color w:val="auto"/>
        </w:rPr>
        <w:t>legal entity's articles of association (</w:t>
      </w:r>
      <w:r>
        <w:rPr>
          <w:rFonts w:ascii="Arial" w:cs="Arial" w:eastAsia="Arial" w:hAnsi="Arial"/>
          <w:sz w:val="16"/>
          <w:szCs w:val="16"/>
          <w:i w:val="1"/>
          <w:iCs w:val="1"/>
          <w:color w:val="auto"/>
        </w:rPr>
        <w:t>statuten</w:t>
      </w:r>
      <w:r>
        <w:rPr>
          <w:rFonts w:ascii="Arial" w:cs="Arial" w:eastAsia="Arial" w:hAnsi="Arial"/>
          <w:sz w:val="16"/>
          <w:szCs w:val="16"/>
          <w:color w:val="auto"/>
        </w:rPr>
        <w:t>) is decisive, but all (relevant) circumstances must be taken into account, in particular whether the interests of the legal entity were served by the transaction. Based on the objects clause contained in the Current Articles, we have no reason to believe that, by entering into the Reviewed Documents, the Company would transgress the description of the objects contained in its Articles of Association. However, we cannot assess whether there are other relevant circumstances that must be taken into account, in particular whether the interests of the Company are served by entering into the Reviewed Documents since this is a matter of fact.</w:t>
      </w:r>
    </w:p>
    <w:p>
      <w:pPr>
        <w:spacing w:after="0" w:line="382" w:lineRule="exact"/>
        <w:rPr>
          <w:rFonts w:ascii="Arial" w:cs="Arial" w:eastAsia="Arial" w:hAnsi="Arial"/>
          <w:sz w:val="16"/>
          <w:szCs w:val="16"/>
          <w:color w:val="auto"/>
        </w:rPr>
      </w:pPr>
    </w:p>
    <w:p>
      <w:pPr>
        <w:jc w:val="both"/>
        <w:ind w:left="640" w:hanging="632"/>
        <w:spacing w:after="0" w:line="269" w:lineRule="auto"/>
        <w:tabs>
          <w:tab w:leader="none" w:pos="640" w:val="left"/>
        </w:tabs>
        <w:numPr>
          <w:ilvl w:val="0"/>
          <w:numId w:val="289"/>
        </w:numPr>
        <w:rPr>
          <w:rFonts w:ascii="Arial" w:cs="Arial" w:eastAsia="Arial" w:hAnsi="Arial"/>
          <w:sz w:val="17"/>
          <w:szCs w:val="17"/>
          <w:color w:val="auto"/>
        </w:rPr>
      </w:pPr>
      <w:r>
        <w:rPr>
          <w:rFonts w:ascii="Arial" w:cs="Arial" w:eastAsia="Arial" w:hAnsi="Arial"/>
          <w:sz w:val="17"/>
          <w:szCs w:val="17"/>
          <w:color w:val="auto"/>
        </w:rPr>
        <w:t xml:space="preserve">Pursuant to Section 2:98c DCC, a </w:t>
      </w:r>
      <w:r>
        <w:rPr>
          <w:rFonts w:ascii="Arial" w:cs="Arial" w:eastAsia="Arial" w:hAnsi="Arial"/>
          <w:sz w:val="17"/>
          <w:szCs w:val="17"/>
          <w:i w:val="1"/>
          <w:iCs w:val="1"/>
          <w:color w:val="auto"/>
        </w:rPr>
        <w:t>naamloze vennootschap</w:t>
      </w:r>
      <w:r>
        <w:rPr>
          <w:rFonts w:ascii="Arial" w:cs="Arial" w:eastAsia="Arial" w:hAnsi="Arial"/>
          <w:sz w:val="17"/>
          <w:szCs w:val="17"/>
          <w:color w:val="auto"/>
        </w:rPr>
        <w:t xml:space="preserve"> may grant loans (</w:t>
      </w:r>
      <w:r>
        <w:rPr>
          <w:rFonts w:ascii="Arial" w:cs="Arial" w:eastAsia="Arial" w:hAnsi="Arial"/>
          <w:sz w:val="17"/>
          <w:szCs w:val="17"/>
          <w:i w:val="1"/>
          <w:iCs w:val="1"/>
          <w:color w:val="auto"/>
        </w:rPr>
        <w:t>leningen verstrekken</w:t>
      </w:r>
      <w:r>
        <w:rPr>
          <w:rFonts w:ascii="Arial" w:cs="Arial" w:eastAsia="Arial" w:hAnsi="Arial"/>
          <w:sz w:val="17"/>
          <w:szCs w:val="17"/>
          <w:color w:val="auto"/>
        </w:rPr>
        <w:t>) only in accordance with the restrictions set out in Section 2:98c DCC, and may not provide security (</w:t>
      </w:r>
      <w:r>
        <w:rPr>
          <w:rFonts w:ascii="Arial" w:cs="Arial" w:eastAsia="Arial" w:hAnsi="Arial"/>
          <w:sz w:val="17"/>
          <w:szCs w:val="17"/>
          <w:i w:val="1"/>
          <w:iCs w:val="1"/>
          <w:color w:val="auto"/>
        </w:rPr>
        <w:t>zekerheid stellen</w:t>
      </w:r>
      <w:r>
        <w:rPr>
          <w:rFonts w:ascii="Arial" w:cs="Arial" w:eastAsia="Arial" w:hAnsi="Arial"/>
          <w:sz w:val="17"/>
          <w:szCs w:val="17"/>
          <w:color w:val="auto"/>
        </w:rPr>
        <w:t>), give a price guarantee (</w:t>
      </w:r>
      <w:r>
        <w:rPr>
          <w:rFonts w:ascii="Arial" w:cs="Arial" w:eastAsia="Arial" w:hAnsi="Arial"/>
          <w:sz w:val="17"/>
          <w:szCs w:val="17"/>
          <w:i w:val="1"/>
          <w:iCs w:val="1"/>
          <w:color w:val="auto"/>
        </w:rPr>
        <w:t>koersgarantie geven</w:t>
      </w:r>
      <w:r>
        <w:rPr>
          <w:rFonts w:ascii="Arial" w:cs="Arial" w:eastAsia="Arial" w:hAnsi="Arial"/>
          <w:sz w:val="17"/>
          <w:szCs w:val="17"/>
          <w:color w:val="auto"/>
        </w:rPr>
        <w:t>) or otherwise bind itself, whether jointly and severally or otherwise with or for third parties (</w:t>
      </w:r>
      <w:r>
        <w:rPr>
          <w:rFonts w:ascii="Arial" w:cs="Arial" w:eastAsia="Arial" w:hAnsi="Arial"/>
          <w:sz w:val="17"/>
          <w:szCs w:val="17"/>
          <w:i w:val="1"/>
          <w:iCs w:val="1"/>
          <w:color w:val="auto"/>
        </w:rPr>
        <w:t>zich op andere wijze sterk maken of zich hoofdelijk of anderszins naast of voor</w:t>
      </w:r>
      <w:r>
        <w:rPr>
          <w:rFonts w:ascii="Arial" w:cs="Arial" w:eastAsia="Arial" w:hAnsi="Arial"/>
          <w:sz w:val="17"/>
          <w:szCs w:val="17"/>
          <w:color w:val="auto"/>
        </w:rPr>
        <w:t xml:space="preserve"> </w:t>
      </w:r>
      <w:r>
        <w:rPr>
          <w:rFonts w:ascii="Arial" w:cs="Arial" w:eastAsia="Arial" w:hAnsi="Arial"/>
          <w:sz w:val="17"/>
          <w:szCs w:val="17"/>
          <w:i w:val="1"/>
          <w:iCs w:val="1"/>
          <w:color w:val="auto"/>
        </w:rPr>
        <w:t>anderen verbinden</w:t>
      </w:r>
      <w:r>
        <w:rPr>
          <w:rFonts w:ascii="Arial" w:cs="Arial" w:eastAsia="Arial" w:hAnsi="Arial"/>
          <w:sz w:val="17"/>
          <w:szCs w:val="17"/>
          <w:color w:val="auto"/>
        </w:rPr>
        <w:t>) with a view to (</w:t>
      </w:r>
      <w:r>
        <w:rPr>
          <w:rFonts w:ascii="Arial" w:cs="Arial" w:eastAsia="Arial" w:hAnsi="Arial"/>
          <w:sz w:val="17"/>
          <w:szCs w:val="17"/>
          <w:i w:val="1"/>
          <w:iCs w:val="1"/>
          <w:color w:val="auto"/>
        </w:rPr>
        <w:t>met het oog op</w:t>
      </w:r>
      <w:r>
        <w:rPr>
          <w:rFonts w:ascii="Arial" w:cs="Arial" w:eastAsia="Arial" w:hAnsi="Arial"/>
          <w:sz w:val="17"/>
          <w:szCs w:val="17"/>
          <w:color w:val="auto"/>
        </w:rPr>
        <w:t>) the subscription or acquisition by third parties of shares in its share capital or depository</w:t>
      </w:r>
      <w:r>
        <w:rPr>
          <w:rFonts w:ascii="Arial" w:cs="Arial" w:eastAsia="Arial" w:hAnsi="Arial"/>
          <w:sz w:val="17"/>
          <w:szCs w:val="17"/>
          <w:i w:val="1"/>
          <w:iCs w:val="1"/>
          <w:color w:val="auto"/>
        </w:rPr>
        <w:t xml:space="preserve"> </w:t>
      </w:r>
      <w:r>
        <w:rPr>
          <w:rFonts w:ascii="Arial" w:cs="Arial" w:eastAsia="Arial" w:hAnsi="Arial"/>
          <w:sz w:val="17"/>
          <w:szCs w:val="17"/>
          <w:color w:val="auto"/>
        </w:rPr>
        <w:t>receipts. This prohibition also applies to its subsidiaries (</w:t>
      </w:r>
      <w:r>
        <w:rPr>
          <w:rFonts w:ascii="Arial" w:cs="Arial" w:eastAsia="Arial" w:hAnsi="Arial"/>
          <w:sz w:val="17"/>
          <w:szCs w:val="17"/>
          <w:i w:val="1"/>
          <w:iCs w:val="1"/>
          <w:color w:val="auto"/>
        </w:rPr>
        <w:t>dochtervennootschappen</w:t>
      </w:r>
      <w:r>
        <w:rPr>
          <w:rFonts w:ascii="Arial" w:cs="Arial" w:eastAsia="Arial" w:hAnsi="Arial"/>
          <w:sz w:val="17"/>
          <w:szCs w:val="17"/>
          <w:color w:val="auto"/>
        </w:rPr>
        <w:t>). It is generally assumed that a transaction entered into in violation of Section 2:98c DCC is null and void (</w:t>
      </w:r>
      <w:r>
        <w:rPr>
          <w:rFonts w:ascii="Arial" w:cs="Arial" w:eastAsia="Arial" w:hAnsi="Arial"/>
          <w:sz w:val="17"/>
          <w:szCs w:val="17"/>
          <w:i w:val="1"/>
          <w:iCs w:val="1"/>
          <w:color w:val="auto"/>
        </w:rPr>
        <w:t>nietig</w:t>
      </w:r>
      <w:r>
        <w:rPr>
          <w:rFonts w:ascii="Arial" w:cs="Arial" w:eastAsia="Arial" w:hAnsi="Arial"/>
          <w:sz w:val="17"/>
          <w:szCs w:val="17"/>
          <w:color w:val="auto"/>
        </w:rPr>
        <w:t>). Based on the content of the Reviewed Documents, we have no reason to believe that the Company or its subsidiaries will violate Section 2:98c DCC in connection with the issue of the Offer Shares or the Option Shares. However, we cannot confirm this definitively, since the determination of whether a company (or a subsidiary) has provided security, has given a price guarantee or has otherwise bound itself, with a view to the subscription or acquisition by third parties of shares in its share capital or depository receipts, as described above, is a matter of fact.</w:t>
      </w:r>
    </w:p>
    <w:p>
      <w:pPr>
        <w:spacing w:after="0" w:line="185" w:lineRule="exact"/>
        <w:rPr>
          <w:rFonts w:ascii="Arial" w:cs="Arial" w:eastAsia="Arial" w:hAnsi="Arial"/>
          <w:sz w:val="17"/>
          <w:szCs w:val="17"/>
          <w:color w:val="auto"/>
        </w:rPr>
      </w:pPr>
    </w:p>
    <w:p>
      <w:pPr>
        <w:ind w:left="640" w:hanging="632"/>
        <w:spacing w:after="0"/>
        <w:tabs>
          <w:tab w:leader="none" w:pos="64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opinions expressed in this opinion letter may be limited or affected by:</w:t>
      </w:r>
    </w:p>
    <w:p>
      <w:pPr>
        <w:spacing w:after="0" w:line="225" w:lineRule="exact"/>
        <w:rPr>
          <w:rFonts w:ascii="Arial" w:cs="Arial" w:eastAsia="Arial" w:hAnsi="Arial"/>
          <w:sz w:val="18"/>
          <w:szCs w:val="18"/>
          <w:color w:val="auto"/>
        </w:rPr>
      </w:pPr>
    </w:p>
    <w:p>
      <w:pPr>
        <w:ind w:left="1280" w:hanging="638"/>
        <w:spacing w:after="0" w:line="277" w:lineRule="auto"/>
        <w:tabs>
          <w:tab w:leader="none" w:pos="128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any applicable bankruptcy, insolvency, reorganisation, moratorium or other similar laws or procedures now or hereafter in effect, relating to or affecting the enforcement or protection of creditors' rights generally;</w:t>
      </w:r>
    </w:p>
    <w:p>
      <w:pPr>
        <w:spacing w:after="0" w:line="170" w:lineRule="exact"/>
        <w:rPr>
          <w:rFonts w:ascii="Arial" w:cs="Arial" w:eastAsia="Arial" w:hAnsi="Arial"/>
          <w:sz w:val="18"/>
          <w:szCs w:val="18"/>
          <w:color w:val="auto"/>
        </w:rPr>
      </w:pPr>
    </w:p>
    <w:p>
      <w:pPr>
        <w:ind w:left="1280" w:right="20" w:hanging="638"/>
        <w:spacing w:after="0" w:line="277" w:lineRule="auto"/>
        <w:tabs>
          <w:tab w:leader="none" w:pos="128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the provisions of fraudulent preference and fraudulent conveyance (</w:t>
      </w:r>
      <w:r>
        <w:rPr>
          <w:rFonts w:ascii="Arial" w:cs="Arial" w:eastAsia="Arial" w:hAnsi="Arial"/>
          <w:sz w:val="18"/>
          <w:szCs w:val="18"/>
          <w:i w:val="1"/>
          <w:iCs w:val="1"/>
          <w:color w:val="auto"/>
        </w:rPr>
        <w:t>Actio Pauliana</w:t>
      </w:r>
      <w:r>
        <w:rPr>
          <w:rFonts w:ascii="Arial" w:cs="Arial" w:eastAsia="Arial" w:hAnsi="Arial"/>
          <w:sz w:val="18"/>
          <w:szCs w:val="18"/>
          <w:color w:val="auto"/>
        </w:rPr>
        <w:t>) and similar rights available in other jurisdictions to insolvency practitioners and insolvency office holders in bankruptcy proceedings or creditors;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9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34" w:name="page435"/>
    <w:bookmarkEnd w:id="43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3088640</wp:posOffset>
            </wp:positionH>
            <wp:positionV relativeFrom="page">
              <wp:posOffset>226060</wp:posOffset>
            </wp:positionV>
            <wp:extent cx="1345565" cy="21463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943">
                      <a:clrChange>
                        <a:clrFrom>
                          <a:srgbClr val="FFFFFF"/>
                        </a:clrFrom>
                        <a:clrTo>
                          <a:srgbClr val="FFFFFF">
                            <a:alpha val="0"/>
                          </a:srgbClr>
                        </a:clrTo>
                      </a:clrChange>
                      <a:extLst>
                        <a:ext uri="{28A0092B-C50C-407E-A947-70E740481C1C}"/>
                      </a:extLst>
                    </a:blip>
                    <a:srcRect/>
                    <a:stretch>
                      <a:fillRect/>
                    </a:stretch>
                  </pic:blipFill>
                  <pic:spPr bwMode="auto">
                    <a:xfrm>
                      <a:off x="0" y="0"/>
                      <a:ext cx="1345565" cy="214630"/>
                    </a:xfrm>
                    <a:prstGeom prst="rect">
                      <a:avLst/>
                    </a:prstGeom>
                    <a:noFill/>
                  </pic:spPr>
                </pic:pic>
              </a:graphicData>
            </a:graphic>
          </wp:anchor>
        </w:drawing>
        <w:t>5</w:t>
      </w:r>
    </w:p>
    <w:p>
      <w:pPr>
        <w:spacing w:after="0" w:line="225" w:lineRule="exact"/>
        <w:rPr>
          <w:sz w:val="20"/>
          <w:szCs w:val="20"/>
          <w:color w:val="auto"/>
        </w:rPr>
      </w:pPr>
    </w:p>
    <w:p>
      <w:pPr>
        <w:ind w:left="1280" w:hanging="638"/>
        <w:spacing w:after="0"/>
        <w:tabs>
          <w:tab w:leader="none" w:pos="128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claims based on tort (</w:t>
      </w:r>
      <w:r>
        <w:rPr>
          <w:rFonts w:ascii="Arial" w:cs="Arial" w:eastAsia="Arial" w:hAnsi="Arial"/>
          <w:sz w:val="18"/>
          <w:szCs w:val="18"/>
          <w:i w:val="1"/>
          <w:iCs w:val="1"/>
          <w:color w:val="auto"/>
        </w:rPr>
        <w:t>onrechtmatige daad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80" w:hanging="638"/>
        <w:spacing w:after="0" w:line="277" w:lineRule="auto"/>
        <w:tabs>
          <w:tab w:leader="none" w:pos="128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sanctions and measures, including but not limited to those concerning export control, pursuant to European Union regulations, under the Sanctions Act 1977 (</w:t>
      </w:r>
      <w:r>
        <w:rPr>
          <w:rFonts w:ascii="Arial" w:cs="Arial" w:eastAsia="Arial" w:hAnsi="Arial"/>
          <w:sz w:val="18"/>
          <w:szCs w:val="18"/>
          <w:i w:val="1"/>
          <w:iCs w:val="1"/>
          <w:color w:val="auto"/>
        </w:rPr>
        <w:t>Sanctiewet 1977</w:t>
      </w:r>
      <w:r>
        <w:rPr>
          <w:rFonts w:ascii="Arial" w:cs="Arial" w:eastAsia="Arial" w:hAnsi="Arial"/>
          <w:sz w:val="18"/>
          <w:szCs w:val="18"/>
          <w:color w:val="auto"/>
        </w:rPr>
        <w:t>) or other legislation;</w:t>
      </w:r>
    </w:p>
    <w:p>
      <w:pPr>
        <w:spacing w:after="0" w:line="170" w:lineRule="exact"/>
        <w:rPr>
          <w:rFonts w:ascii="Arial" w:cs="Arial" w:eastAsia="Arial" w:hAnsi="Arial"/>
          <w:sz w:val="18"/>
          <w:szCs w:val="18"/>
          <w:color w:val="auto"/>
        </w:rPr>
      </w:pPr>
    </w:p>
    <w:p>
      <w:pPr>
        <w:ind w:left="1280" w:hanging="638"/>
        <w:spacing w:after="0"/>
        <w:tabs>
          <w:tab w:leader="none" w:pos="128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the Anti-Boycott Regulation and related legislation; and</w:t>
      </w:r>
    </w:p>
    <w:p>
      <w:pPr>
        <w:spacing w:after="0" w:line="225" w:lineRule="exact"/>
        <w:rPr>
          <w:rFonts w:ascii="Arial" w:cs="Arial" w:eastAsia="Arial" w:hAnsi="Arial"/>
          <w:sz w:val="18"/>
          <w:szCs w:val="18"/>
          <w:color w:val="auto"/>
        </w:rPr>
      </w:pPr>
    </w:p>
    <w:p>
      <w:pPr>
        <w:jc w:val="both"/>
        <w:ind w:left="1280" w:hanging="638"/>
        <w:spacing w:after="0" w:line="259" w:lineRule="auto"/>
        <w:tabs>
          <w:tab w:leader="none" w:pos="128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the rules of force majeure (</w:t>
      </w:r>
      <w:r>
        <w:rPr>
          <w:rFonts w:ascii="Arial" w:cs="Arial" w:eastAsia="Arial" w:hAnsi="Arial"/>
          <w:sz w:val="18"/>
          <w:szCs w:val="18"/>
          <w:i w:val="1"/>
          <w:iCs w:val="1"/>
          <w:color w:val="auto"/>
        </w:rPr>
        <w:t>niet toerekenbare tekortkoming</w:t>
      </w:r>
      <w:r>
        <w:rPr>
          <w:rFonts w:ascii="Arial" w:cs="Arial" w:eastAsia="Arial" w:hAnsi="Arial"/>
          <w:sz w:val="18"/>
          <w:szCs w:val="18"/>
          <w:color w:val="auto"/>
        </w:rPr>
        <w:t>), reasonableness and fairness (</w:t>
      </w:r>
      <w:r>
        <w:rPr>
          <w:rFonts w:ascii="Arial" w:cs="Arial" w:eastAsia="Arial" w:hAnsi="Arial"/>
          <w:sz w:val="18"/>
          <w:szCs w:val="18"/>
          <w:i w:val="1"/>
          <w:iCs w:val="1"/>
          <w:color w:val="auto"/>
        </w:rPr>
        <w:t>redelijkheid en billijkheid</w:t>
      </w:r>
      <w:r>
        <w:rPr>
          <w:rFonts w:ascii="Arial" w:cs="Arial" w:eastAsia="Arial" w:hAnsi="Arial"/>
          <w:sz w:val="18"/>
          <w:szCs w:val="18"/>
          <w:color w:val="auto"/>
        </w:rPr>
        <w:t>), suspension (</w:t>
      </w:r>
      <w:r>
        <w:rPr>
          <w:rFonts w:ascii="Arial" w:cs="Arial" w:eastAsia="Arial" w:hAnsi="Arial"/>
          <w:sz w:val="18"/>
          <w:szCs w:val="18"/>
          <w:i w:val="1"/>
          <w:iCs w:val="1"/>
          <w:color w:val="auto"/>
        </w:rPr>
        <w:t>opschorting</w:t>
      </w:r>
      <w:r>
        <w:rPr>
          <w:rFonts w:ascii="Arial" w:cs="Arial" w:eastAsia="Arial" w:hAnsi="Arial"/>
          <w:sz w:val="18"/>
          <w:szCs w:val="18"/>
          <w:color w:val="auto"/>
        </w:rPr>
        <w:t>), dissolution (</w:t>
      </w:r>
      <w:r>
        <w:rPr>
          <w:rFonts w:ascii="Arial" w:cs="Arial" w:eastAsia="Arial" w:hAnsi="Arial"/>
          <w:sz w:val="18"/>
          <w:szCs w:val="18"/>
          <w:i w:val="1"/>
          <w:iCs w:val="1"/>
          <w:color w:val="auto"/>
        </w:rPr>
        <w:t>ontbinding</w:t>
      </w:r>
      <w:r>
        <w:rPr>
          <w:rFonts w:ascii="Arial" w:cs="Arial" w:eastAsia="Arial" w:hAnsi="Arial"/>
          <w:sz w:val="18"/>
          <w:szCs w:val="18"/>
          <w:color w:val="auto"/>
        </w:rPr>
        <w:t>), unforeseen circumstances (</w:t>
      </w:r>
      <w:r>
        <w:rPr>
          <w:rFonts w:ascii="Arial" w:cs="Arial" w:eastAsia="Arial" w:hAnsi="Arial"/>
          <w:sz w:val="18"/>
          <w:szCs w:val="18"/>
          <w:i w:val="1"/>
          <w:iCs w:val="1"/>
          <w:color w:val="auto"/>
        </w:rPr>
        <w:t>onvoorziene omstandigheden</w:t>
      </w:r>
      <w:r>
        <w:rPr>
          <w:rFonts w:ascii="Arial" w:cs="Arial" w:eastAsia="Arial" w:hAnsi="Arial"/>
          <w:sz w:val="18"/>
          <w:szCs w:val="18"/>
          <w:color w:val="auto"/>
        </w:rPr>
        <w:t>) and vitiated consent (i.e., duress (</w:t>
      </w:r>
      <w:r>
        <w:rPr>
          <w:rFonts w:ascii="Arial" w:cs="Arial" w:eastAsia="Arial" w:hAnsi="Arial"/>
          <w:sz w:val="18"/>
          <w:szCs w:val="18"/>
          <w:i w:val="1"/>
          <w:iCs w:val="1"/>
          <w:color w:val="auto"/>
        </w:rPr>
        <w:t>bedreiging</w:t>
      </w:r>
      <w:r>
        <w:rPr>
          <w:rFonts w:ascii="Arial" w:cs="Arial" w:eastAsia="Arial" w:hAnsi="Arial"/>
          <w:sz w:val="18"/>
          <w:szCs w:val="18"/>
          <w:color w:val="auto"/>
        </w:rPr>
        <w:t>), fraud (</w:t>
      </w:r>
      <w:r>
        <w:rPr>
          <w:rFonts w:ascii="Arial" w:cs="Arial" w:eastAsia="Arial" w:hAnsi="Arial"/>
          <w:sz w:val="18"/>
          <w:szCs w:val="18"/>
          <w:i w:val="1"/>
          <w:iCs w:val="1"/>
          <w:color w:val="auto"/>
        </w:rPr>
        <w:t>bedrog</w:t>
      </w:r>
      <w:r>
        <w:rPr>
          <w:rFonts w:ascii="Arial" w:cs="Arial" w:eastAsia="Arial" w:hAnsi="Arial"/>
          <w:sz w:val="18"/>
          <w:szCs w:val="18"/>
          <w:color w:val="auto"/>
        </w:rPr>
        <w:t>), abuse of circumstances (</w:t>
      </w:r>
      <w:r>
        <w:rPr>
          <w:rFonts w:ascii="Arial" w:cs="Arial" w:eastAsia="Arial" w:hAnsi="Arial"/>
          <w:sz w:val="18"/>
          <w:szCs w:val="18"/>
          <w:i w:val="1"/>
          <w:iCs w:val="1"/>
          <w:color w:val="auto"/>
        </w:rPr>
        <w:t>misbruik van omstandigheden</w:t>
      </w:r>
      <w:r>
        <w:rPr>
          <w:rFonts w:ascii="Arial" w:cs="Arial" w:eastAsia="Arial" w:hAnsi="Arial"/>
          <w:sz w:val="18"/>
          <w:szCs w:val="18"/>
          <w:color w:val="auto"/>
        </w:rPr>
        <w:t>) and error (</w:t>
      </w:r>
      <w:r>
        <w:rPr>
          <w:rFonts w:ascii="Arial" w:cs="Arial" w:eastAsia="Arial" w:hAnsi="Arial"/>
          <w:sz w:val="18"/>
          <w:szCs w:val="18"/>
          <w:i w:val="1"/>
          <w:iCs w:val="1"/>
          <w:color w:val="auto"/>
        </w:rPr>
        <w:t>dwaling</w:t>
      </w:r>
      <w:r>
        <w:rPr>
          <w:rFonts w:ascii="Arial" w:cs="Arial" w:eastAsia="Arial" w:hAnsi="Arial"/>
          <w:sz w:val="18"/>
          <w:szCs w:val="18"/>
          <w:color w:val="auto"/>
        </w:rPr>
        <w:t>)) or a difference of intention (</w:t>
      </w:r>
      <w:r>
        <w:rPr>
          <w:rFonts w:ascii="Arial" w:cs="Arial" w:eastAsia="Arial" w:hAnsi="Arial"/>
          <w:sz w:val="18"/>
          <w:szCs w:val="18"/>
          <w:i w:val="1"/>
          <w:iCs w:val="1"/>
          <w:color w:val="auto"/>
        </w:rPr>
        <w:t>wil</w:t>
      </w:r>
      <w:r>
        <w:rPr>
          <w:rFonts w:ascii="Arial" w:cs="Arial" w:eastAsia="Arial" w:hAnsi="Arial"/>
          <w:sz w:val="18"/>
          <w:szCs w:val="18"/>
          <w:color w:val="auto"/>
        </w:rPr>
        <w:t>) and declaration (</w:t>
      </w:r>
      <w:r>
        <w:rPr>
          <w:rFonts w:ascii="Arial" w:cs="Arial" w:eastAsia="Arial" w:hAnsi="Arial"/>
          <w:sz w:val="18"/>
          <w:szCs w:val="18"/>
          <w:i w:val="1"/>
          <w:iCs w:val="1"/>
          <w:color w:val="auto"/>
        </w:rPr>
        <w:t>verklaring</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640" w:hanging="632"/>
        <w:spacing w:after="0" w:line="263" w:lineRule="auto"/>
        <w:tabs>
          <w:tab w:leader="none" w:pos="64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term "non-assessable" has no equivalent in the Dutch language and for purposes of this opinion letter such term should be interpreted to mean that a holder of a share will not by reason of merely being such a holder be subject to assessment or calls by the Company or its creditors for further payment on such share.</w:t>
      </w:r>
    </w:p>
    <w:p>
      <w:pPr>
        <w:spacing w:after="0" w:line="183" w:lineRule="exact"/>
        <w:rPr>
          <w:rFonts w:ascii="Arial" w:cs="Arial" w:eastAsia="Arial" w:hAnsi="Arial"/>
          <w:sz w:val="18"/>
          <w:szCs w:val="18"/>
          <w:color w:val="auto"/>
        </w:rPr>
      </w:pPr>
    </w:p>
    <w:p>
      <w:pPr>
        <w:ind w:left="640" w:right="20" w:hanging="632"/>
        <w:spacing w:after="0" w:line="277" w:lineRule="auto"/>
        <w:tabs>
          <w:tab w:leader="none" w:pos="64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This opinion letter does not purport to express any opinion or view on the operational rules and procedures of any clearing or settlement system or agency.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consent to the filing of this opinion letter as an exhibit to the Registration Statement and also consent to the reference to NautaDutilh in the Registration Statement under the caption "Legal Matters". In giving this consent we do not admit or imply that we are a person whose consent is required under Section 7 of the United States Securities Act of 1933, as amended, or any rules and regulations promulgated thereunder.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NautaDutilh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9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35" w:name="page436"/>
    <w:bookmarkEnd w:id="435"/>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p>
        </w:tc>
        <w:tc>
          <w:tcPr>
            <w:tcW w:w="8020" w:type="dxa"/>
            <w:vAlign w:val="bottom"/>
          </w:tcPr>
          <w:p>
            <w:pPr>
              <w:ind w:left="2360"/>
              <w:spacing w:after="0"/>
              <w:rPr>
                <w:sz w:val="20"/>
                <w:szCs w:val="20"/>
                <w:color w:val="auto"/>
              </w:rPr>
            </w:pPr>
            <w:r>
              <w:rPr>
                <w:rFonts w:ascii="Arial" w:cs="Arial" w:eastAsia="Arial" w:hAnsi="Arial"/>
                <w:sz w:val="18"/>
                <w:szCs w:val="18"/>
                <w:color w:val="auto"/>
              </w:rPr>
              <w:t>6</w:t>
            </w:r>
          </w:p>
        </w:tc>
      </w:tr>
      <w:tr>
        <w:trPr>
          <w:trHeight w:val="414"/>
        </w:trPr>
        <w:tc>
          <w:tcPr>
            <w:tcW w:w="3220" w:type="dxa"/>
            <w:vAlign w:val="bottom"/>
          </w:tcPr>
          <w:p>
            <w:pPr>
              <w:spacing w:after="0"/>
              <w:rPr>
                <w:sz w:val="20"/>
                <w:szCs w:val="20"/>
                <w:color w:val="auto"/>
              </w:rPr>
            </w:pPr>
            <w:r>
              <w:rPr>
                <w:rFonts w:ascii="Arial" w:cs="Arial" w:eastAsia="Arial" w:hAnsi="Arial"/>
                <w:sz w:val="18"/>
                <w:szCs w:val="18"/>
                <w:b w:val="1"/>
                <w:bCs w:val="1"/>
                <w:color w:val="auto"/>
              </w:rPr>
              <w:t>EXHIBIT A</w:t>
            </w:r>
          </w:p>
        </w:tc>
        <w:tc>
          <w:tcPr>
            <w:tcW w:w="8020" w:type="dxa"/>
            <w:vAlign w:val="bottom"/>
          </w:tcPr>
          <w:p>
            <w:pPr>
              <w:spacing w:after="0"/>
              <w:rPr>
                <w:sz w:val="24"/>
                <w:szCs w:val="24"/>
                <w:color w:val="auto"/>
              </w:rPr>
            </w:pPr>
          </w:p>
        </w:tc>
      </w:tr>
      <w:tr>
        <w:trPr>
          <w:trHeight w:val="234"/>
        </w:trPr>
        <w:tc>
          <w:tcPr>
            <w:tcW w:w="3220" w:type="dxa"/>
            <w:vAlign w:val="bottom"/>
          </w:tcPr>
          <w:p>
            <w:pPr>
              <w:spacing w:after="0"/>
              <w:rPr>
                <w:sz w:val="20"/>
                <w:szCs w:val="20"/>
                <w:color w:val="auto"/>
              </w:rPr>
            </w:pPr>
            <w:r>
              <w:rPr>
                <w:rFonts w:ascii="Arial" w:cs="Arial" w:eastAsia="Arial" w:hAnsi="Arial"/>
                <w:sz w:val="18"/>
                <w:szCs w:val="18"/>
                <w:b w:val="1"/>
                <w:bCs w:val="1"/>
                <w:color w:val="auto"/>
              </w:rPr>
              <w:t>LIST OF DEFINITIONS</w:t>
            </w:r>
          </w:p>
        </w:tc>
        <w:tc>
          <w:tcPr>
            <w:tcW w:w="8020" w:type="dxa"/>
            <w:vAlign w:val="bottom"/>
          </w:tcPr>
          <w:p>
            <w:pPr>
              <w:spacing w:after="0"/>
              <w:rPr>
                <w:sz w:val="20"/>
                <w:szCs w:val="20"/>
                <w:color w:val="auto"/>
              </w:rPr>
            </w:pPr>
          </w:p>
        </w:tc>
      </w:tr>
      <w:tr>
        <w:trPr>
          <w:trHeight w:val="418"/>
        </w:trPr>
        <w:tc>
          <w:tcPr>
            <w:tcW w:w="32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Anti-Boycott Regulation</w:t>
            </w:r>
            <w:r>
              <w:rPr>
                <w:rFonts w:ascii="Arial" w:cs="Arial" w:eastAsia="Arial" w:hAnsi="Arial"/>
                <w:sz w:val="18"/>
                <w:szCs w:val="18"/>
                <w:color w:val="auto"/>
              </w:rPr>
              <w:t>"</w:t>
            </w:r>
          </w:p>
        </w:tc>
        <w:tc>
          <w:tcPr>
            <w:tcW w:w="8020" w:type="dxa"/>
            <w:vAlign w:val="bottom"/>
          </w:tcPr>
          <w:p>
            <w:pPr>
              <w:ind w:left="1180"/>
              <w:spacing w:after="0"/>
              <w:rPr>
                <w:sz w:val="20"/>
                <w:szCs w:val="20"/>
                <w:color w:val="auto"/>
              </w:rPr>
            </w:pPr>
            <w:r>
              <w:rPr>
                <w:rFonts w:ascii="Arial" w:cs="Arial" w:eastAsia="Arial" w:hAnsi="Arial"/>
                <w:sz w:val="18"/>
                <w:szCs w:val="18"/>
                <w:color w:val="auto"/>
                <w:w w:val="96"/>
              </w:rPr>
              <w:t>The Council Regulation (EC) No 2271/96 of 22 November 1996 on protecting against the</w:t>
            </w:r>
          </w:p>
        </w:tc>
      </w:tr>
      <w:tr>
        <w:trPr>
          <w:trHeight w:val="216"/>
        </w:trPr>
        <w:tc>
          <w:tcPr>
            <w:tcW w:w="3220" w:type="dxa"/>
            <w:vAlign w:val="bottom"/>
          </w:tcPr>
          <w:p>
            <w:pPr>
              <w:spacing w:after="0"/>
              <w:rPr>
                <w:sz w:val="18"/>
                <w:szCs w:val="18"/>
                <w:color w:val="auto"/>
              </w:rPr>
            </w:pPr>
          </w:p>
        </w:tc>
        <w:tc>
          <w:tcPr>
            <w:tcW w:w="8020" w:type="dxa"/>
            <w:vAlign w:val="bottom"/>
          </w:tcPr>
          <w:p>
            <w:pPr>
              <w:ind w:left="1180"/>
              <w:spacing w:after="0"/>
              <w:rPr>
                <w:sz w:val="20"/>
                <w:szCs w:val="20"/>
                <w:color w:val="auto"/>
              </w:rPr>
            </w:pPr>
            <w:r>
              <w:rPr>
                <w:rFonts w:ascii="Arial" w:cs="Arial" w:eastAsia="Arial" w:hAnsi="Arial"/>
                <w:sz w:val="18"/>
                <w:szCs w:val="18"/>
                <w:color w:val="auto"/>
                <w:w w:val="92"/>
              </w:rPr>
              <w:t>effects of the extra-territorial application of legislation adopted by a third country, and actions</w:t>
            </w:r>
          </w:p>
        </w:tc>
      </w:tr>
      <w:tr>
        <w:trPr>
          <w:trHeight w:val="230"/>
        </w:trPr>
        <w:tc>
          <w:tcPr>
            <w:tcW w:w="3220" w:type="dxa"/>
            <w:vAlign w:val="bottom"/>
          </w:tcPr>
          <w:p>
            <w:pPr>
              <w:spacing w:after="0"/>
              <w:rPr>
                <w:sz w:val="20"/>
                <w:szCs w:val="20"/>
                <w:color w:val="auto"/>
              </w:rPr>
            </w:pPr>
          </w:p>
        </w:tc>
        <w:tc>
          <w:tcPr>
            <w:tcW w:w="8020" w:type="dxa"/>
            <w:vAlign w:val="bottom"/>
          </w:tcPr>
          <w:p>
            <w:pPr>
              <w:ind w:left="1180"/>
              <w:spacing w:after="0"/>
              <w:rPr>
                <w:sz w:val="20"/>
                <w:szCs w:val="20"/>
                <w:color w:val="auto"/>
              </w:rPr>
            </w:pPr>
            <w:r>
              <w:rPr>
                <w:rFonts w:ascii="Arial" w:cs="Arial" w:eastAsia="Arial" w:hAnsi="Arial"/>
                <w:sz w:val="18"/>
                <w:szCs w:val="18"/>
                <w:color w:val="auto"/>
              </w:rPr>
              <w:t>based thereon or resulting therefrom.</w:t>
            </w:r>
          </w:p>
        </w:tc>
      </w:tr>
      <w:tr>
        <w:trPr>
          <w:trHeight w:val="432"/>
        </w:trPr>
        <w:tc>
          <w:tcPr>
            <w:tcW w:w="32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Articles of Association</w:t>
            </w:r>
            <w:r>
              <w:rPr>
                <w:rFonts w:ascii="Arial" w:cs="Arial" w:eastAsia="Arial" w:hAnsi="Arial"/>
                <w:sz w:val="18"/>
                <w:szCs w:val="18"/>
                <w:color w:val="auto"/>
              </w:rPr>
              <w:t>"</w:t>
            </w:r>
          </w:p>
        </w:tc>
        <w:tc>
          <w:tcPr>
            <w:tcW w:w="8020" w:type="dxa"/>
            <w:vAlign w:val="bottom"/>
          </w:tcPr>
          <w:p>
            <w:pPr>
              <w:ind w:left="1180"/>
              <w:spacing w:after="0"/>
              <w:rPr>
                <w:sz w:val="20"/>
                <w:szCs w:val="20"/>
                <w:color w:val="auto"/>
              </w:rPr>
            </w:pPr>
            <w:r>
              <w:rPr>
                <w:rFonts w:ascii="Arial" w:cs="Arial" w:eastAsia="Arial" w:hAnsi="Arial"/>
                <w:sz w:val="18"/>
                <w:szCs w:val="18"/>
                <w:color w:val="auto"/>
              </w:rPr>
              <w:t>The Company's articles of association (</w:t>
            </w:r>
            <w:r>
              <w:rPr>
                <w:rFonts w:ascii="Arial" w:cs="Arial" w:eastAsia="Arial" w:hAnsi="Arial"/>
                <w:sz w:val="18"/>
                <w:szCs w:val="18"/>
                <w:i w:val="1"/>
                <w:iCs w:val="1"/>
                <w:color w:val="auto"/>
              </w:rPr>
              <w:t>statuten</w:t>
            </w:r>
            <w:r>
              <w:rPr>
                <w:rFonts w:ascii="Arial" w:cs="Arial" w:eastAsia="Arial" w:hAnsi="Arial"/>
                <w:sz w:val="18"/>
                <w:szCs w:val="18"/>
                <w:color w:val="auto"/>
              </w:rPr>
              <w:t>) as they read from time to time.</w:t>
            </w:r>
          </w:p>
        </w:tc>
      </w:tr>
      <w:tr>
        <w:trPr>
          <w:trHeight w:val="432"/>
        </w:trPr>
        <w:tc>
          <w:tcPr>
            <w:tcW w:w="32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Commercial Register</w:t>
            </w:r>
            <w:r>
              <w:rPr>
                <w:rFonts w:ascii="Arial" w:cs="Arial" w:eastAsia="Arial" w:hAnsi="Arial"/>
                <w:sz w:val="18"/>
                <w:szCs w:val="18"/>
                <w:color w:val="auto"/>
              </w:rPr>
              <w:t>"</w:t>
            </w:r>
          </w:p>
        </w:tc>
        <w:tc>
          <w:tcPr>
            <w:tcW w:w="8020" w:type="dxa"/>
            <w:vAlign w:val="bottom"/>
          </w:tcPr>
          <w:p>
            <w:pPr>
              <w:ind w:left="1180"/>
              <w:spacing w:after="0"/>
              <w:rPr>
                <w:sz w:val="20"/>
                <w:szCs w:val="20"/>
                <w:color w:val="auto"/>
              </w:rPr>
            </w:pPr>
            <w:r>
              <w:rPr>
                <w:rFonts w:ascii="Arial" w:cs="Arial" w:eastAsia="Arial" w:hAnsi="Arial"/>
                <w:sz w:val="18"/>
                <w:szCs w:val="18"/>
                <w:color w:val="auto"/>
              </w:rPr>
              <w:t>The Dutch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w:t>
            </w:r>
          </w:p>
        </w:tc>
      </w:tr>
      <w:tr>
        <w:trPr>
          <w:trHeight w:val="432"/>
        </w:trPr>
        <w:tc>
          <w:tcPr>
            <w:tcW w:w="32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Shares</w:t>
            </w:r>
            <w:r>
              <w:rPr>
                <w:rFonts w:ascii="Arial" w:cs="Arial" w:eastAsia="Arial" w:hAnsi="Arial"/>
                <w:sz w:val="18"/>
                <w:szCs w:val="18"/>
                <w:color w:val="auto"/>
              </w:rPr>
              <w:t>"</w:t>
            </w:r>
          </w:p>
        </w:tc>
        <w:tc>
          <w:tcPr>
            <w:tcW w:w="8020" w:type="dxa"/>
            <w:vAlign w:val="bottom"/>
          </w:tcPr>
          <w:p>
            <w:pPr>
              <w:ind w:left="1180"/>
              <w:spacing w:after="0"/>
              <w:rPr>
                <w:sz w:val="20"/>
                <w:szCs w:val="20"/>
                <w:color w:val="auto"/>
              </w:rPr>
            </w:pPr>
            <w:r>
              <w:rPr>
                <w:rFonts w:ascii="Arial" w:cs="Arial" w:eastAsia="Arial" w:hAnsi="Arial"/>
                <w:sz w:val="18"/>
                <w:szCs w:val="18"/>
                <w:color w:val="auto"/>
              </w:rPr>
              <w:t>Common shares in the Company's capital, with a nominal value of EUR 0.12 each.</w:t>
            </w:r>
          </w:p>
        </w:tc>
      </w:tr>
      <w:tr>
        <w:trPr>
          <w:trHeight w:val="418"/>
        </w:trPr>
        <w:tc>
          <w:tcPr>
            <w:tcW w:w="32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w:t>
            </w:r>
          </w:p>
        </w:tc>
        <w:tc>
          <w:tcPr>
            <w:tcW w:w="8020" w:type="dxa"/>
            <w:vAlign w:val="bottom"/>
          </w:tcPr>
          <w:p>
            <w:pPr>
              <w:ind w:left="1180"/>
              <w:spacing w:after="0"/>
              <w:rPr>
                <w:sz w:val="20"/>
                <w:szCs w:val="20"/>
                <w:color w:val="auto"/>
              </w:rPr>
            </w:pPr>
            <w:r>
              <w:rPr>
                <w:rFonts w:ascii="Arial" w:cs="Arial" w:eastAsia="Arial" w:hAnsi="Arial"/>
                <w:sz w:val="18"/>
                <w:szCs w:val="18"/>
                <w:color w:val="auto"/>
                <w:w w:val="93"/>
              </w:rPr>
              <w:t>CureVac N.V., a public company (</w:t>
            </w:r>
            <w:r>
              <w:rPr>
                <w:rFonts w:ascii="Arial" w:cs="Arial" w:eastAsia="Arial" w:hAnsi="Arial"/>
                <w:sz w:val="18"/>
                <w:szCs w:val="18"/>
                <w:i w:val="1"/>
                <w:iCs w:val="1"/>
                <w:color w:val="auto"/>
                <w:w w:val="93"/>
              </w:rPr>
              <w:t>naamloze vennootschap</w:t>
            </w:r>
            <w:r>
              <w:rPr>
                <w:rFonts w:ascii="Arial" w:cs="Arial" w:eastAsia="Arial" w:hAnsi="Arial"/>
                <w:sz w:val="18"/>
                <w:szCs w:val="18"/>
                <w:color w:val="auto"/>
                <w:w w:val="93"/>
              </w:rPr>
              <w:t>), registered with the Commercial</w:t>
            </w:r>
          </w:p>
        </w:tc>
      </w:tr>
      <w:tr>
        <w:trPr>
          <w:trHeight w:val="230"/>
        </w:trPr>
        <w:tc>
          <w:tcPr>
            <w:tcW w:w="3220" w:type="dxa"/>
            <w:vAlign w:val="bottom"/>
          </w:tcPr>
          <w:p>
            <w:pPr>
              <w:spacing w:after="0"/>
              <w:rPr>
                <w:sz w:val="20"/>
                <w:szCs w:val="20"/>
                <w:color w:val="auto"/>
              </w:rPr>
            </w:pPr>
          </w:p>
        </w:tc>
        <w:tc>
          <w:tcPr>
            <w:tcW w:w="8020" w:type="dxa"/>
            <w:vAlign w:val="bottom"/>
          </w:tcPr>
          <w:p>
            <w:pPr>
              <w:ind w:left="1180"/>
              <w:spacing w:after="0"/>
              <w:rPr>
                <w:sz w:val="20"/>
                <w:szCs w:val="20"/>
                <w:color w:val="auto"/>
              </w:rPr>
            </w:pPr>
            <w:r>
              <w:rPr>
                <w:rFonts w:ascii="Arial" w:cs="Arial" w:eastAsia="Arial" w:hAnsi="Arial"/>
                <w:sz w:val="18"/>
                <w:szCs w:val="18"/>
                <w:color w:val="auto"/>
              </w:rPr>
              <w:t>Register under number 77798031.</w:t>
            </w:r>
          </w:p>
        </w:tc>
      </w:tr>
      <w:tr>
        <w:trPr>
          <w:trHeight w:val="418"/>
        </w:trPr>
        <w:tc>
          <w:tcPr>
            <w:tcW w:w="32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Documents</w:t>
            </w:r>
            <w:r>
              <w:rPr>
                <w:rFonts w:ascii="Arial" w:cs="Arial" w:eastAsia="Arial" w:hAnsi="Arial"/>
                <w:sz w:val="18"/>
                <w:szCs w:val="18"/>
                <w:color w:val="auto"/>
              </w:rPr>
              <w:t>"</w:t>
            </w:r>
          </w:p>
        </w:tc>
        <w:tc>
          <w:tcPr>
            <w:tcW w:w="8020" w:type="dxa"/>
            <w:vAlign w:val="bottom"/>
          </w:tcPr>
          <w:p>
            <w:pPr>
              <w:ind w:left="1180"/>
              <w:spacing w:after="0"/>
              <w:rPr>
                <w:sz w:val="20"/>
                <w:szCs w:val="20"/>
                <w:color w:val="auto"/>
              </w:rPr>
            </w:pPr>
            <w:r>
              <w:rPr>
                <w:rFonts w:ascii="Arial" w:cs="Arial" w:eastAsia="Arial" w:hAnsi="Arial"/>
                <w:sz w:val="18"/>
                <w:szCs w:val="18"/>
                <w:color w:val="auto"/>
                <w:w w:val="91"/>
              </w:rPr>
              <w:t>The Deed of Incorporation, the Deed of Conversion, the Current Articles, the Resolutions and</w:t>
            </w:r>
          </w:p>
        </w:tc>
      </w:tr>
      <w:tr>
        <w:trPr>
          <w:trHeight w:val="230"/>
        </w:trPr>
        <w:tc>
          <w:tcPr>
            <w:tcW w:w="3220" w:type="dxa"/>
            <w:vAlign w:val="bottom"/>
          </w:tcPr>
          <w:p>
            <w:pPr>
              <w:spacing w:after="0"/>
              <w:rPr>
                <w:sz w:val="20"/>
                <w:szCs w:val="20"/>
                <w:color w:val="auto"/>
              </w:rPr>
            </w:pPr>
          </w:p>
        </w:tc>
        <w:tc>
          <w:tcPr>
            <w:tcW w:w="8020" w:type="dxa"/>
            <w:vAlign w:val="bottom"/>
          </w:tcPr>
          <w:p>
            <w:pPr>
              <w:ind w:left="1180"/>
              <w:spacing w:after="0"/>
              <w:rPr>
                <w:sz w:val="20"/>
                <w:szCs w:val="20"/>
                <w:color w:val="auto"/>
              </w:rPr>
            </w:pPr>
            <w:r>
              <w:rPr>
                <w:rFonts w:ascii="Arial" w:cs="Arial" w:eastAsia="Arial" w:hAnsi="Arial"/>
                <w:sz w:val="18"/>
                <w:szCs w:val="18"/>
                <w:color w:val="auto"/>
              </w:rPr>
              <w:t>the Registration Statement.</w:t>
            </w:r>
          </w:p>
        </w:tc>
      </w:tr>
      <w:tr>
        <w:trPr>
          <w:trHeight w:val="432"/>
        </w:trPr>
        <w:tc>
          <w:tcPr>
            <w:tcW w:w="32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Articles</w:t>
            </w:r>
            <w:r>
              <w:rPr>
                <w:rFonts w:ascii="Arial" w:cs="Arial" w:eastAsia="Arial" w:hAnsi="Arial"/>
                <w:sz w:val="18"/>
                <w:szCs w:val="18"/>
                <w:color w:val="auto"/>
              </w:rPr>
              <w:t>"</w:t>
            </w:r>
          </w:p>
        </w:tc>
        <w:tc>
          <w:tcPr>
            <w:tcW w:w="8020" w:type="dxa"/>
            <w:vAlign w:val="bottom"/>
          </w:tcPr>
          <w:p>
            <w:pPr>
              <w:ind w:left="1180"/>
              <w:spacing w:after="0"/>
              <w:rPr>
                <w:sz w:val="20"/>
                <w:szCs w:val="20"/>
                <w:color w:val="auto"/>
              </w:rPr>
            </w:pPr>
            <w:r>
              <w:rPr>
                <w:rFonts w:ascii="Arial" w:cs="Arial" w:eastAsia="Arial" w:hAnsi="Arial"/>
                <w:sz w:val="18"/>
                <w:szCs w:val="18"/>
                <w:color w:val="auto"/>
              </w:rPr>
              <w:t>The Articles of Association as contained in the Deed of Conversion.</w:t>
            </w:r>
          </w:p>
        </w:tc>
      </w:tr>
      <w:tr>
        <w:trPr>
          <w:trHeight w:val="432"/>
        </w:trPr>
        <w:tc>
          <w:tcPr>
            <w:tcW w:w="32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DCC</w:t>
            </w:r>
            <w:r>
              <w:rPr>
                <w:rFonts w:ascii="Arial" w:cs="Arial" w:eastAsia="Arial" w:hAnsi="Arial"/>
                <w:sz w:val="18"/>
                <w:szCs w:val="18"/>
                <w:color w:val="auto"/>
              </w:rPr>
              <w:t>"</w:t>
            </w:r>
          </w:p>
        </w:tc>
        <w:tc>
          <w:tcPr>
            <w:tcW w:w="8020" w:type="dxa"/>
            <w:vAlign w:val="bottom"/>
          </w:tcPr>
          <w:p>
            <w:pPr>
              <w:ind w:left="1180"/>
              <w:spacing w:after="0"/>
              <w:rPr>
                <w:sz w:val="20"/>
                <w:szCs w:val="20"/>
                <w:color w:val="auto"/>
              </w:rPr>
            </w:pPr>
            <w:r>
              <w:rPr>
                <w:rFonts w:ascii="Arial" w:cs="Arial" w:eastAsia="Arial" w:hAnsi="Arial"/>
                <w:sz w:val="18"/>
                <w:szCs w:val="18"/>
                <w:color w:val="auto"/>
              </w:rPr>
              <w:t>The Dutch Civil Code (</w:t>
            </w:r>
            <w:r>
              <w:rPr>
                <w:rFonts w:ascii="Arial" w:cs="Arial" w:eastAsia="Arial" w:hAnsi="Arial"/>
                <w:sz w:val="18"/>
                <w:szCs w:val="18"/>
                <w:i w:val="1"/>
                <w:iCs w:val="1"/>
                <w:color w:val="auto"/>
              </w:rPr>
              <w:t>Burgerlijk Wetboek</w:t>
            </w:r>
            <w:r>
              <w:rPr>
                <w:rFonts w:ascii="Arial" w:cs="Arial" w:eastAsia="Arial" w:hAnsi="Arial"/>
                <w:sz w:val="18"/>
                <w:szCs w:val="18"/>
                <w:color w:val="auto"/>
              </w:rPr>
              <w:t>).</w:t>
            </w:r>
          </w:p>
        </w:tc>
      </w:tr>
      <w:tr>
        <w:trPr>
          <w:trHeight w:val="432"/>
        </w:trPr>
        <w:tc>
          <w:tcPr>
            <w:tcW w:w="32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Deed of Incorporation</w:t>
            </w:r>
            <w:r>
              <w:rPr>
                <w:rFonts w:ascii="Arial" w:cs="Arial" w:eastAsia="Arial" w:hAnsi="Arial"/>
                <w:sz w:val="18"/>
                <w:szCs w:val="18"/>
                <w:color w:val="auto"/>
              </w:rPr>
              <w:t>"</w:t>
            </w:r>
          </w:p>
        </w:tc>
        <w:tc>
          <w:tcPr>
            <w:tcW w:w="8020" w:type="dxa"/>
            <w:vAlign w:val="bottom"/>
          </w:tcPr>
          <w:p>
            <w:pPr>
              <w:ind w:left="1180"/>
              <w:spacing w:after="0"/>
              <w:rPr>
                <w:sz w:val="20"/>
                <w:szCs w:val="20"/>
                <w:color w:val="auto"/>
              </w:rPr>
            </w:pPr>
            <w:r>
              <w:rPr>
                <w:rFonts w:ascii="Arial" w:cs="Arial" w:eastAsia="Arial" w:hAnsi="Arial"/>
                <w:sz w:val="18"/>
                <w:szCs w:val="18"/>
                <w:color w:val="auto"/>
              </w:rPr>
              <w:t>The Company's deed of incorporation (</w:t>
            </w:r>
            <w:r>
              <w:rPr>
                <w:rFonts w:ascii="Arial" w:cs="Arial" w:eastAsia="Arial" w:hAnsi="Arial"/>
                <w:sz w:val="18"/>
                <w:szCs w:val="18"/>
                <w:i w:val="1"/>
                <w:iCs w:val="1"/>
                <w:color w:val="auto"/>
              </w:rPr>
              <w:t>akte van oprichting</w:t>
            </w:r>
            <w:r>
              <w:rPr>
                <w:rFonts w:ascii="Arial" w:cs="Arial" w:eastAsia="Arial" w:hAnsi="Arial"/>
                <w:sz w:val="18"/>
                <w:szCs w:val="18"/>
                <w:color w:val="auto"/>
              </w:rPr>
              <w:t>), dated April 7, 2020.</w:t>
            </w:r>
          </w:p>
        </w:tc>
      </w:tr>
      <w:tr>
        <w:trPr>
          <w:trHeight w:val="432"/>
        </w:trPr>
        <w:tc>
          <w:tcPr>
            <w:tcW w:w="32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Deed of Conversion</w:t>
            </w:r>
            <w:r>
              <w:rPr>
                <w:rFonts w:ascii="Arial" w:cs="Arial" w:eastAsia="Arial" w:hAnsi="Arial"/>
                <w:sz w:val="18"/>
                <w:szCs w:val="18"/>
                <w:color w:val="auto"/>
              </w:rPr>
              <w:t>"</w:t>
            </w:r>
          </w:p>
        </w:tc>
        <w:tc>
          <w:tcPr>
            <w:tcW w:w="8020" w:type="dxa"/>
            <w:vAlign w:val="bottom"/>
          </w:tcPr>
          <w:p>
            <w:pPr>
              <w:ind w:left="1180"/>
              <w:spacing w:after="0"/>
              <w:rPr>
                <w:sz w:val="20"/>
                <w:szCs w:val="20"/>
                <w:color w:val="auto"/>
              </w:rPr>
            </w:pPr>
            <w:r>
              <w:rPr>
                <w:rFonts w:ascii="Arial" w:cs="Arial" w:eastAsia="Arial" w:hAnsi="Arial"/>
                <w:sz w:val="18"/>
                <w:szCs w:val="18"/>
                <w:color w:val="auto"/>
                <w:w w:val="90"/>
              </w:rPr>
              <w:t>The deed of conversion and amendment to the Articles of Association, dated August 14, 2020.</w:t>
            </w:r>
          </w:p>
        </w:tc>
      </w:tr>
      <w:tr>
        <w:trPr>
          <w:trHeight w:val="418"/>
        </w:trPr>
        <w:tc>
          <w:tcPr>
            <w:tcW w:w="32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Deed of Issue</w:t>
            </w:r>
            <w:r>
              <w:rPr>
                <w:rFonts w:ascii="Arial" w:cs="Arial" w:eastAsia="Arial" w:hAnsi="Arial"/>
                <w:sz w:val="18"/>
                <w:szCs w:val="18"/>
                <w:color w:val="auto"/>
              </w:rPr>
              <w:t>"</w:t>
            </w:r>
          </w:p>
        </w:tc>
        <w:tc>
          <w:tcPr>
            <w:tcW w:w="8020" w:type="dxa"/>
            <w:vAlign w:val="bottom"/>
          </w:tcPr>
          <w:p>
            <w:pPr>
              <w:ind w:left="1180"/>
              <w:spacing w:after="0"/>
              <w:rPr>
                <w:sz w:val="20"/>
                <w:szCs w:val="20"/>
                <w:color w:val="auto"/>
              </w:rPr>
            </w:pPr>
            <w:r>
              <w:rPr>
                <w:rFonts w:ascii="Arial" w:cs="Arial" w:eastAsia="Arial" w:hAnsi="Arial"/>
                <w:sz w:val="18"/>
                <w:szCs w:val="18"/>
                <w:color w:val="auto"/>
                <w:w w:val="90"/>
              </w:rPr>
              <w:t>The draft deed of issue of the Offer Shares or Option Shares, as the case may be, prepared by</w:t>
            </w:r>
          </w:p>
        </w:tc>
      </w:tr>
      <w:tr>
        <w:trPr>
          <w:trHeight w:val="230"/>
        </w:trPr>
        <w:tc>
          <w:tcPr>
            <w:tcW w:w="3220" w:type="dxa"/>
            <w:vAlign w:val="bottom"/>
          </w:tcPr>
          <w:p>
            <w:pPr>
              <w:spacing w:after="0"/>
              <w:rPr>
                <w:sz w:val="20"/>
                <w:szCs w:val="20"/>
                <w:color w:val="auto"/>
              </w:rPr>
            </w:pPr>
          </w:p>
        </w:tc>
        <w:tc>
          <w:tcPr>
            <w:tcW w:w="8020" w:type="dxa"/>
            <w:vAlign w:val="bottom"/>
          </w:tcPr>
          <w:p>
            <w:pPr>
              <w:ind w:left="1180"/>
              <w:spacing w:after="0"/>
              <w:rPr>
                <w:sz w:val="20"/>
                <w:szCs w:val="20"/>
                <w:color w:val="auto"/>
              </w:rPr>
            </w:pPr>
            <w:r>
              <w:rPr>
                <w:rFonts w:ascii="Arial" w:cs="Arial" w:eastAsia="Arial" w:hAnsi="Arial"/>
                <w:sz w:val="18"/>
                <w:szCs w:val="18"/>
                <w:color w:val="auto"/>
              </w:rPr>
              <w:t>us with references 82044152 M 30566769 and 82044152 M 30582659, respectively.</w:t>
            </w:r>
          </w:p>
        </w:tc>
      </w:tr>
      <w:tr>
        <w:trPr>
          <w:trHeight w:val="432"/>
        </w:trPr>
        <w:tc>
          <w:tcPr>
            <w:tcW w:w="32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DFSA</w:t>
            </w:r>
            <w:r>
              <w:rPr>
                <w:rFonts w:ascii="Arial" w:cs="Arial" w:eastAsia="Arial" w:hAnsi="Arial"/>
                <w:sz w:val="18"/>
                <w:szCs w:val="18"/>
                <w:color w:val="auto"/>
              </w:rPr>
              <w:t>"</w:t>
            </w:r>
          </w:p>
        </w:tc>
        <w:tc>
          <w:tcPr>
            <w:tcW w:w="8020" w:type="dxa"/>
            <w:vAlign w:val="bottom"/>
          </w:tcPr>
          <w:p>
            <w:pPr>
              <w:ind w:left="1180"/>
              <w:spacing w:after="0"/>
              <w:rPr>
                <w:sz w:val="20"/>
                <w:szCs w:val="20"/>
                <w:color w:val="auto"/>
              </w:rPr>
            </w:pPr>
            <w:r>
              <w:rPr>
                <w:rFonts w:ascii="Arial" w:cs="Arial" w:eastAsia="Arial" w:hAnsi="Arial"/>
                <w:sz w:val="18"/>
                <w:szCs w:val="18"/>
                <w:color w:val="auto"/>
              </w:rPr>
              <w:t>The Dutch Financial Supervision Act (</w:t>
            </w:r>
            <w:r>
              <w:rPr>
                <w:rFonts w:ascii="Arial" w:cs="Arial" w:eastAsia="Arial" w:hAnsi="Arial"/>
                <w:sz w:val="18"/>
                <w:szCs w:val="18"/>
                <w:i w:val="1"/>
                <w:iCs w:val="1"/>
                <w:color w:val="auto"/>
              </w:rPr>
              <w:t>Wet op het financieel toezicht</w:t>
            </w:r>
            <w:r>
              <w:rPr>
                <w:rFonts w:ascii="Arial" w:cs="Arial" w:eastAsia="Arial" w:hAnsi="Arial"/>
                <w:sz w:val="18"/>
                <w:szCs w:val="18"/>
                <w:color w:val="auto"/>
              </w:rPr>
              <w:t>).</w:t>
            </w:r>
          </w:p>
        </w:tc>
      </w:tr>
      <w:tr>
        <w:trPr>
          <w:trHeight w:val="675"/>
        </w:trPr>
        <w:tc>
          <w:tcPr>
            <w:tcW w:w="322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240"/>
          </w:cols>
          <w:pgMar w:left="320" w:top="949" w:right="339" w:bottom="1440" w:gutter="0" w:footer="0" w:header="0"/>
        </w:sectPr>
      </w:pPr>
      <w:r>
        <w:rPr>
          <w:sz w:val="20"/>
          <w:szCs w:val="20"/>
          <w:color w:val="auto"/>
        </w:rPr>
        <w:drawing>
          <wp:anchor simplePos="0" relativeHeight="251657728" behindDoc="1" locked="0" layoutInCell="0" allowOverlap="1">
            <wp:simplePos x="0" y="0"/>
            <wp:positionH relativeFrom="page">
              <wp:posOffset>3088640</wp:posOffset>
            </wp:positionH>
            <wp:positionV relativeFrom="page">
              <wp:posOffset>226060</wp:posOffset>
            </wp:positionV>
            <wp:extent cx="1345565" cy="21463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945">
                      <a:clrChange>
                        <a:clrFrom>
                          <a:srgbClr val="FFFFFF"/>
                        </a:clrFrom>
                        <a:clrTo>
                          <a:srgbClr val="FFFFFF">
                            <a:alpha val="0"/>
                          </a:srgbClr>
                        </a:clrTo>
                      </a:clrChange>
                      <a:extLst>
                        <a:ext uri="{28A0092B-C50C-407E-A947-70E740481C1C}"/>
                      </a:extLst>
                    </a:blip>
                    <a:srcRect/>
                    <a:stretch>
                      <a:fillRect/>
                    </a:stretch>
                  </pic:blipFill>
                  <pic:spPr bwMode="auto">
                    <a:xfrm>
                      <a:off x="0" y="0"/>
                      <a:ext cx="1345565" cy="214630"/>
                    </a:xfrm>
                    <a:prstGeom prst="rect">
                      <a:avLst/>
                    </a:prstGeom>
                    <a:noFill/>
                  </pic:spPr>
                </pic:pic>
              </a:graphicData>
            </a:graphic>
          </wp:anchor>
        </w:drawing>
      </w:r>
    </w:p>
    <w:bookmarkStart w:id="436" w:name="page437"/>
    <w:bookmarkEnd w:id="436"/>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8080" w:type="dxa"/>
            <w:vAlign w:val="bottom"/>
          </w:tcPr>
          <w:p>
            <w:pPr>
              <w:ind w:left="2420"/>
              <w:spacing w:after="0"/>
              <w:rPr>
                <w:sz w:val="20"/>
                <w:szCs w:val="20"/>
                <w:color w:val="auto"/>
              </w:rPr>
            </w:pPr>
            <w:r>
              <w:rPr>
                <w:rFonts w:ascii="Arial" w:cs="Arial" w:eastAsia="Arial" w:hAnsi="Arial"/>
                <w:sz w:val="18"/>
                <w:szCs w:val="18"/>
                <w:color w:val="auto"/>
              </w:rPr>
              <w:t>7</w:t>
            </w:r>
          </w:p>
        </w:tc>
      </w:tr>
      <w:tr>
        <w:trPr>
          <w:trHeight w:val="432"/>
        </w:trPr>
        <w:tc>
          <w:tcPr>
            <w:tcW w:w="31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Meeting</w:t>
            </w:r>
            <w:r>
              <w:rPr>
                <w:rFonts w:ascii="Arial" w:cs="Arial" w:eastAsia="Arial" w:hAnsi="Arial"/>
                <w:sz w:val="18"/>
                <w:szCs w:val="18"/>
                <w:color w:val="auto"/>
              </w:rPr>
              <w:t>"</w:t>
            </w:r>
          </w:p>
        </w:tc>
        <w:tc>
          <w:tcPr>
            <w:tcW w:w="8080" w:type="dxa"/>
            <w:vAlign w:val="bottom"/>
          </w:tcPr>
          <w:p>
            <w:pPr>
              <w:ind w:left="1240"/>
              <w:spacing w:after="0"/>
              <w:rPr>
                <w:sz w:val="20"/>
                <w:szCs w:val="20"/>
                <w:color w:val="auto"/>
              </w:rPr>
            </w:pPr>
            <w:r>
              <w:rPr>
                <w:rFonts w:ascii="Arial" w:cs="Arial" w:eastAsia="Arial" w:hAnsi="Arial"/>
                <w:sz w:val="18"/>
                <w:szCs w:val="18"/>
                <w:color w:val="auto"/>
              </w:rPr>
              <w:t>The Company's general meeting (</w:t>
            </w:r>
            <w:r>
              <w:rPr>
                <w:rFonts w:ascii="Arial" w:cs="Arial" w:eastAsia="Arial" w:hAnsi="Arial"/>
                <w:sz w:val="18"/>
                <w:szCs w:val="18"/>
                <w:i w:val="1"/>
                <w:iCs w:val="1"/>
                <w:color w:val="auto"/>
              </w:rPr>
              <w:t>algemene vergadering</w:t>
            </w:r>
            <w:r>
              <w:rPr>
                <w:rFonts w:ascii="Arial" w:cs="Arial" w:eastAsia="Arial" w:hAnsi="Arial"/>
                <w:sz w:val="18"/>
                <w:szCs w:val="18"/>
                <w:color w:val="auto"/>
              </w:rPr>
              <w:t>).</w:t>
            </w:r>
          </w:p>
        </w:tc>
      </w:tr>
      <w:tr>
        <w:trPr>
          <w:trHeight w:val="432"/>
        </w:trPr>
        <w:tc>
          <w:tcPr>
            <w:tcW w:w="31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Management Board</w:t>
            </w:r>
            <w:r>
              <w:rPr>
                <w:rFonts w:ascii="Arial" w:cs="Arial" w:eastAsia="Arial" w:hAnsi="Arial"/>
                <w:sz w:val="18"/>
                <w:szCs w:val="18"/>
                <w:color w:val="auto"/>
              </w:rPr>
              <w:t>"</w:t>
            </w:r>
          </w:p>
        </w:tc>
        <w:tc>
          <w:tcPr>
            <w:tcW w:w="8080" w:type="dxa"/>
            <w:vAlign w:val="bottom"/>
          </w:tcPr>
          <w:p>
            <w:pPr>
              <w:ind w:left="1240"/>
              <w:spacing w:after="0"/>
              <w:rPr>
                <w:sz w:val="20"/>
                <w:szCs w:val="20"/>
                <w:color w:val="auto"/>
              </w:rPr>
            </w:pPr>
            <w:r>
              <w:rPr>
                <w:rFonts w:ascii="Arial" w:cs="Arial" w:eastAsia="Arial" w:hAnsi="Arial"/>
                <w:sz w:val="18"/>
                <w:szCs w:val="18"/>
                <w:color w:val="auto"/>
              </w:rPr>
              <w:t>The Company's management board (</w:t>
            </w:r>
            <w:r>
              <w:rPr>
                <w:rFonts w:ascii="Arial" w:cs="Arial" w:eastAsia="Arial" w:hAnsi="Arial"/>
                <w:sz w:val="18"/>
                <w:szCs w:val="18"/>
                <w:i w:val="1"/>
                <w:iCs w:val="1"/>
                <w:color w:val="auto"/>
              </w:rPr>
              <w:t>bestuur</w:t>
            </w:r>
            <w:r>
              <w:rPr>
                <w:rFonts w:ascii="Arial" w:cs="Arial" w:eastAsia="Arial" w:hAnsi="Arial"/>
                <w:sz w:val="18"/>
                <w:szCs w:val="18"/>
                <w:color w:val="auto"/>
              </w:rPr>
              <w:t>).</w:t>
            </w:r>
          </w:p>
        </w:tc>
      </w:tr>
      <w:tr>
        <w:trPr>
          <w:trHeight w:val="432"/>
        </w:trPr>
        <w:tc>
          <w:tcPr>
            <w:tcW w:w="31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NautaDutilh</w:t>
            </w:r>
            <w:r>
              <w:rPr>
                <w:rFonts w:ascii="Arial" w:cs="Arial" w:eastAsia="Arial" w:hAnsi="Arial"/>
                <w:sz w:val="18"/>
                <w:szCs w:val="18"/>
                <w:color w:val="auto"/>
              </w:rPr>
              <w:t>"</w:t>
            </w:r>
          </w:p>
        </w:tc>
        <w:tc>
          <w:tcPr>
            <w:tcW w:w="8080" w:type="dxa"/>
            <w:vAlign w:val="bottom"/>
          </w:tcPr>
          <w:p>
            <w:pPr>
              <w:ind w:left="1240"/>
              <w:spacing w:after="0"/>
              <w:rPr>
                <w:sz w:val="20"/>
                <w:szCs w:val="20"/>
                <w:color w:val="auto"/>
              </w:rPr>
            </w:pPr>
            <w:r>
              <w:rPr>
                <w:rFonts w:ascii="Arial" w:cs="Arial" w:eastAsia="Arial" w:hAnsi="Arial"/>
                <w:sz w:val="18"/>
                <w:szCs w:val="18"/>
                <w:color w:val="auto"/>
              </w:rPr>
              <w:t>NautaDutilh N.V.</w:t>
            </w:r>
          </w:p>
        </w:tc>
      </w:tr>
      <w:tr>
        <w:trPr>
          <w:trHeight w:val="432"/>
        </w:trPr>
        <w:tc>
          <w:tcPr>
            <w:tcW w:w="31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Netherlands</w:t>
            </w:r>
            <w:r>
              <w:rPr>
                <w:rFonts w:ascii="Arial" w:cs="Arial" w:eastAsia="Arial" w:hAnsi="Arial"/>
                <w:sz w:val="18"/>
                <w:szCs w:val="18"/>
                <w:color w:val="auto"/>
              </w:rPr>
              <w:t>"</w:t>
            </w:r>
          </w:p>
        </w:tc>
        <w:tc>
          <w:tcPr>
            <w:tcW w:w="8080" w:type="dxa"/>
            <w:vAlign w:val="bottom"/>
          </w:tcPr>
          <w:p>
            <w:pPr>
              <w:ind w:left="1240"/>
              <w:spacing w:after="0"/>
              <w:rPr>
                <w:sz w:val="20"/>
                <w:szCs w:val="20"/>
                <w:color w:val="auto"/>
              </w:rPr>
            </w:pPr>
            <w:r>
              <w:rPr>
                <w:rFonts w:ascii="Arial" w:cs="Arial" w:eastAsia="Arial" w:hAnsi="Arial"/>
                <w:sz w:val="18"/>
                <w:szCs w:val="18"/>
                <w:color w:val="auto"/>
              </w:rPr>
              <w:t>The European territory of the Kingdom of the Netherlands.</w:t>
            </w:r>
          </w:p>
        </w:tc>
      </w:tr>
      <w:tr>
        <w:trPr>
          <w:trHeight w:val="418"/>
        </w:trPr>
        <w:tc>
          <w:tcPr>
            <w:tcW w:w="31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Offering</w:t>
            </w:r>
            <w:r>
              <w:rPr>
                <w:rFonts w:ascii="Arial" w:cs="Arial" w:eastAsia="Arial" w:hAnsi="Arial"/>
                <w:sz w:val="18"/>
                <w:szCs w:val="18"/>
                <w:color w:val="auto"/>
              </w:rPr>
              <w:t>"</w:t>
            </w:r>
          </w:p>
        </w:tc>
        <w:tc>
          <w:tcPr>
            <w:tcW w:w="8080" w:type="dxa"/>
            <w:vAlign w:val="bottom"/>
          </w:tcPr>
          <w:p>
            <w:pPr>
              <w:ind w:left="1240"/>
              <w:spacing w:after="0"/>
              <w:rPr>
                <w:sz w:val="20"/>
                <w:szCs w:val="20"/>
                <w:color w:val="auto"/>
              </w:rPr>
            </w:pPr>
            <w:r>
              <w:rPr>
                <w:rFonts w:ascii="Arial" w:cs="Arial" w:eastAsia="Arial" w:hAnsi="Arial"/>
                <w:sz w:val="18"/>
                <w:szCs w:val="18"/>
                <w:color w:val="auto"/>
                <w:w w:val="92"/>
              </w:rPr>
              <w:t>The follow-on offering of the Offer Shares and, if any, the Option Shares, as contemplated by</w:t>
            </w:r>
          </w:p>
        </w:tc>
      </w:tr>
      <w:tr>
        <w:trPr>
          <w:trHeight w:val="230"/>
        </w:trPr>
        <w:tc>
          <w:tcPr>
            <w:tcW w:w="3160" w:type="dxa"/>
            <w:vAlign w:val="bottom"/>
          </w:tcPr>
          <w:p>
            <w:pPr>
              <w:spacing w:after="0"/>
              <w:rPr>
                <w:sz w:val="20"/>
                <w:szCs w:val="20"/>
                <w:color w:val="auto"/>
              </w:rPr>
            </w:pPr>
          </w:p>
        </w:tc>
        <w:tc>
          <w:tcPr>
            <w:tcW w:w="8080" w:type="dxa"/>
            <w:vAlign w:val="bottom"/>
          </w:tcPr>
          <w:p>
            <w:pPr>
              <w:ind w:left="1240"/>
              <w:spacing w:after="0"/>
              <w:rPr>
                <w:sz w:val="20"/>
                <w:szCs w:val="20"/>
                <w:color w:val="auto"/>
              </w:rPr>
            </w:pPr>
            <w:r>
              <w:rPr>
                <w:rFonts w:ascii="Arial" w:cs="Arial" w:eastAsia="Arial" w:hAnsi="Arial"/>
                <w:sz w:val="18"/>
                <w:szCs w:val="18"/>
                <w:color w:val="auto"/>
              </w:rPr>
              <w:t>the Registration Statement.</w:t>
            </w:r>
          </w:p>
        </w:tc>
      </w:tr>
      <w:tr>
        <w:trPr>
          <w:trHeight w:val="432"/>
        </w:trPr>
        <w:tc>
          <w:tcPr>
            <w:tcW w:w="31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 Shares</w:t>
            </w:r>
            <w:r>
              <w:rPr>
                <w:rFonts w:ascii="Arial" w:cs="Arial" w:eastAsia="Arial" w:hAnsi="Arial"/>
                <w:sz w:val="18"/>
                <w:szCs w:val="18"/>
                <w:color w:val="auto"/>
              </w:rPr>
              <w:t>"</w:t>
            </w:r>
          </w:p>
        </w:tc>
        <w:tc>
          <w:tcPr>
            <w:tcW w:w="8080" w:type="dxa"/>
            <w:vAlign w:val="bottom"/>
          </w:tcPr>
          <w:p>
            <w:pPr>
              <w:ind w:left="1240"/>
              <w:spacing w:after="0"/>
              <w:rPr>
                <w:sz w:val="20"/>
                <w:szCs w:val="20"/>
                <w:color w:val="auto"/>
              </w:rPr>
            </w:pPr>
            <w:r>
              <w:rPr>
                <w:rFonts w:ascii="Arial" w:cs="Arial" w:eastAsia="Arial" w:hAnsi="Arial"/>
                <w:sz w:val="18"/>
                <w:szCs w:val="18"/>
                <w:color w:val="auto"/>
              </w:rPr>
              <w:t>5,000,000 Common Shares.</w:t>
            </w:r>
          </w:p>
        </w:tc>
      </w:tr>
      <w:tr>
        <w:trPr>
          <w:trHeight w:val="418"/>
        </w:trPr>
        <w:tc>
          <w:tcPr>
            <w:tcW w:w="31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w:t>
            </w:r>
          </w:p>
        </w:tc>
        <w:tc>
          <w:tcPr>
            <w:tcW w:w="8080" w:type="dxa"/>
            <w:vAlign w:val="bottom"/>
          </w:tcPr>
          <w:p>
            <w:pPr>
              <w:ind w:left="1240"/>
              <w:spacing w:after="0"/>
              <w:rPr>
                <w:sz w:val="20"/>
                <w:szCs w:val="20"/>
                <w:color w:val="auto"/>
              </w:rPr>
            </w:pPr>
            <w:r>
              <w:rPr>
                <w:rFonts w:ascii="Arial" w:cs="Arial" w:eastAsia="Arial" w:hAnsi="Arial"/>
                <w:sz w:val="18"/>
                <w:szCs w:val="18"/>
                <w:color w:val="auto"/>
                <w:w w:val="99"/>
              </w:rPr>
              <w:t>The option to acquire Option Shares to be granted to the Underwriters pursuant to the</w:t>
            </w:r>
          </w:p>
        </w:tc>
      </w:tr>
      <w:tr>
        <w:trPr>
          <w:trHeight w:val="230"/>
        </w:trPr>
        <w:tc>
          <w:tcPr>
            <w:tcW w:w="3160" w:type="dxa"/>
            <w:vAlign w:val="bottom"/>
          </w:tcPr>
          <w:p>
            <w:pPr>
              <w:spacing w:after="0"/>
              <w:rPr>
                <w:sz w:val="20"/>
                <w:szCs w:val="20"/>
                <w:color w:val="auto"/>
              </w:rPr>
            </w:pPr>
          </w:p>
        </w:tc>
        <w:tc>
          <w:tcPr>
            <w:tcW w:w="8080" w:type="dxa"/>
            <w:vAlign w:val="bottom"/>
          </w:tcPr>
          <w:p>
            <w:pPr>
              <w:ind w:left="1240"/>
              <w:spacing w:after="0"/>
              <w:rPr>
                <w:sz w:val="20"/>
                <w:szCs w:val="20"/>
                <w:color w:val="auto"/>
              </w:rPr>
            </w:pPr>
            <w:r>
              <w:rPr>
                <w:rFonts w:ascii="Arial" w:cs="Arial" w:eastAsia="Arial" w:hAnsi="Arial"/>
                <w:sz w:val="18"/>
                <w:szCs w:val="18"/>
                <w:color w:val="auto"/>
              </w:rPr>
              <w:t>Underwriting Agreement and the Resolutions.</w:t>
            </w:r>
          </w:p>
        </w:tc>
      </w:tr>
      <w:tr>
        <w:trPr>
          <w:trHeight w:val="418"/>
        </w:trPr>
        <w:tc>
          <w:tcPr>
            <w:tcW w:w="31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 Shares</w:t>
            </w:r>
            <w:r>
              <w:rPr>
                <w:rFonts w:ascii="Arial" w:cs="Arial" w:eastAsia="Arial" w:hAnsi="Arial"/>
                <w:sz w:val="18"/>
                <w:szCs w:val="18"/>
                <w:color w:val="auto"/>
              </w:rPr>
              <w:t>"</w:t>
            </w:r>
          </w:p>
        </w:tc>
        <w:tc>
          <w:tcPr>
            <w:tcW w:w="8080" w:type="dxa"/>
            <w:vAlign w:val="bottom"/>
          </w:tcPr>
          <w:p>
            <w:pPr>
              <w:ind w:left="1240"/>
              <w:spacing w:after="0"/>
              <w:rPr>
                <w:sz w:val="20"/>
                <w:szCs w:val="20"/>
                <w:color w:val="auto"/>
              </w:rPr>
            </w:pPr>
            <w:r>
              <w:rPr>
                <w:rFonts w:ascii="Arial" w:cs="Arial" w:eastAsia="Arial" w:hAnsi="Arial"/>
                <w:sz w:val="18"/>
                <w:szCs w:val="18"/>
                <w:color w:val="auto"/>
                <w:w w:val="90"/>
              </w:rPr>
              <w:t>Up to 750,000 Common Shares or such lesser number of Common Shares in respect of which</w:t>
            </w:r>
          </w:p>
        </w:tc>
      </w:tr>
      <w:tr>
        <w:trPr>
          <w:trHeight w:val="230"/>
        </w:trPr>
        <w:tc>
          <w:tcPr>
            <w:tcW w:w="3160" w:type="dxa"/>
            <w:vAlign w:val="bottom"/>
          </w:tcPr>
          <w:p>
            <w:pPr>
              <w:spacing w:after="0"/>
              <w:rPr>
                <w:sz w:val="20"/>
                <w:szCs w:val="20"/>
                <w:color w:val="auto"/>
              </w:rPr>
            </w:pPr>
          </w:p>
        </w:tc>
        <w:tc>
          <w:tcPr>
            <w:tcW w:w="8080" w:type="dxa"/>
            <w:vAlign w:val="bottom"/>
          </w:tcPr>
          <w:p>
            <w:pPr>
              <w:ind w:left="1240"/>
              <w:spacing w:after="0"/>
              <w:rPr>
                <w:sz w:val="20"/>
                <w:szCs w:val="20"/>
                <w:color w:val="auto"/>
              </w:rPr>
            </w:pPr>
            <w:r>
              <w:rPr>
                <w:rFonts w:ascii="Arial" w:cs="Arial" w:eastAsia="Arial" w:hAnsi="Arial"/>
                <w:sz w:val="18"/>
                <w:szCs w:val="18"/>
                <w:color w:val="auto"/>
              </w:rPr>
              <w:t>the Option is exercised.</w:t>
            </w:r>
          </w:p>
        </w:tc>
      </w:tr>
      <w:tr>
        <w:trPr>
          <w:trHeight w:val="418"/>
        </w:trPr>
        <w:tc>
          <w:tcPr>
            <w:tcW w:w="31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Prospectus Regulation</w:t>
            </w:r>
            <w:r>
              <w:rPr>
                <w:rFonts w:ascii="Arial" w:cs="Arial" w:eastAsia="Arial" w:hAnsi="Arial"/>
                <w:sz w:val="18"/>
                <w:szCs w:val="18"/>
                <w:color w:val="auto"/>
              </w:rPr>
              <w:t>"</w:t>
            </w:r>
          </w:p>
        </w:tc>
        <w:tc>
          <w:tcPr>
            <w:tcW w:w="8080" w:type="dxa"/>
            <w:vAlign w:val="bottom"/>
          </w:tcPr>
          <w:p>
            <w:pPr>
              <w:ind w:left="1240"/>
              <w:spacing w:after="0"/>
              <w:rPr>
                <w:sz w:val="20"/>
                <w:szCs w:val="20"/>
                <w:color w:val="auto"/>
              </w:rPr>
            </w:pPr>
            <w:r>
              <w:rPr>
                <w:rFonts w:ascii="Arial" w:cs="Arial" w:eastAsia="Arial" w:hAnsi="Arial"/>
                <w:sz w:val="18"/>
                <w:szCs w:val="18"/>
                <w:color w:val="auto"/>
                <w:w w:val="90"/>
              </w:rPr>
              <w:t>Regulation (EU) 2017/1129 of the European Parliament and of the Council of 14 June 2017 on</w:t>
            </w:r>
          </w:p>
        </w:tc>
      </w:tr>
      <w:tr>
        <w:trPr>
          <w:trHeight w:val="216"/>
        </w:trPr>
        <w:tc>
          <w:tcPr>
            <w:tcW w:w="3160" w:type="dxa"/>
            <w:vAlign w:val="bottom"/>
          </w:tcPr>
          <w:p>
            <w:pPr>
              <w:spacing w:after="0"/>
              <w:rPr>
                <w:sz w:val="18"/>
                <w:szCs w:val="18"/>
                <w:color w:val="auto"/>
              </w:rPr>
            </w:pPr>
          </w:p>
        </w:tc>
        <w:tc>
          <w:tcPr>
            <w:tcW w:w="8080" w:type="dxa"/>
            <w:vAlign w:val="bottom"/>
          </w:tcPr>
          <w:p>
            <w:pPr>
              <w:ind w:left="1240"/>
              <w:spacing w:after="0"/>
              <w:rPr>
                <w:sz w:val="20"/>
                <w:szCs w:val="20"/>
                <w:color w:val="auto"/>
              </w:rPr>
            </w:pPr>
            <w:r>
              <w:rPr>
                <w:rFonts w:ascii="Arial" w:cs="Arial" w:eastAsia="Arial" w:hAnsi="Arial"/>
                <w:sz w:val="18"/>
                <w:szCs w:val="18"/>
                <w:color w:val="auto"/>
                <w:w w:val="91"/>
              </w:rPr>
              <w:t>the prospectus to be published when securities are offered to the public or admitted to trading</w:t>
            </w:r>
          </w:p>
        </w:tc>
      </w:tr>
      <w:tr>
        <w:trPr>
          <w:trHeight w:val="230"/>
        </w:trPr>
        <w:tc>
          <w:tcPr>
            <w:tcW w:w="3160" w:type="dxa"/>
            <w:vAlign w:val="bottom"/>
          </w:tcPr>
          <w:p>
            <w:pPr>
              <w:spacing w:after="0"/>
              <w:rPr>
                <w:sz w:val="20"/>
                <w:szCs w:val="20"/>
                <w:color w:val="auto"/>
              </w:rPr>
            </w:pPr>
          </w:p>
        </w:tc>
        <w:tc>
          <w:tcPr>
            <w:tcW w:w="8080" w:type="dxa"/>
            <w:vAlign w:val="bottom"/>
          </w:tcPr>
          <w:p>
            <w:pPr>
              <w:ind w:left="1240"/>
              <w:spacing w:after="0"/>
              <w:rPr>
                <w:sz w:val="20"/>
                <w:szCs w:val="20"/>
                <w:color w:val="auto"/>
              </w:rPr>
            </w:pPr>
            <w:r>
              <w:rPr>
                <w:rFonts w:ascii="Arial" w:cs="Arial" w:eastAsia="Arial" w:hAnsi="Arial"/>
                <w:sz w:val="18"/>
                <w:szCs w:val="18"/>
                <w:color w:val="auto"/>
              </w:rPr>
              <w:t>on a regulated market, and repealing Directive 2003/71/EC.</w:t>
            </w:r>
          </w:p>
        </w:tc>
      </w:tr>
      <w:tr>
        <w:trPr>
          <w:trHeight w:val="418"/>
        </w:trPr>
        <w:tc>
          <w:tcPr>
            <w:tcW w:w="31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Statement</w:t>
            </w:r>
            <w:r>
              <w:rPr>
                <w:rFonts w:ascii="Arial" w:cs="Arial" w:eastAsia="Arial" w:hAnsi="Arial"/>
                <w:sz w:val="18"/>
                <w:szCs w:val="18"/>
                <w:color w:val="auto"/>
              </w:rPr>
              <w:t>"</w:t>
            </w:r>
          </w:p>
        </w:tc>
        <w:tc>
          <w:tcPr>
            <w:tcW w:w="8080" w:type="dxa"/>
            <w:vAlign w:val="bottom"/>
          </w:tcPr>
          <w:p>
            <w:pPr>
              <w:ind w:left="1240"/>
              <w:spacing w:after="0"/>
              <w:rPr>
                <w:sz w:val="20"/>
                <w:szCs w:val="20"/>
                <w:color w:val="auto"/>
              </w:rPr>
            </w:pPr>
            <w:r>
              <w:rPr>
                <w:rFonts w:ascii="Arial" w:cs="Arial" w:eastAsia="Arial" w:hAnsi="Arial"/>
                <w:sz w:val="18"/>
                <w:szCs w:val="18"/>
                <w:color w:val="auto"/>
              </w:rPr>
              <w:t>The Company's registration statement on Form F-1 filed or to be filed with the SEC in</w:t>
            </w:r>
          </w:p>
        </w:tc>
      </w:tr>
      <w:tr>
        <w:trPr>
          <w:trHeight w:val="230"/>
        </w:trPr>
        <w:tc>
          <w:tcPr>
            <w:tcW w:w="3160" w:type="dxa"/>
            <w:vAlign w:val="bottom"/>
          </w:tcPr>
          <w:p>
            <w:pPr>
              <w:spacing w:after="0"/>
              <w:rPr>
                <w:sz w:val="20"/>
                <w:szCs w:val="20"/>
                <w:color w:val="auto"/>
              </w:rPr>
            </w:pPr>
          </w:p>
        </w:tc>
        <w:tc>
          <w:tcPr>
            <w:tcW w:w="8080" w:type="dxa"/>
            <w:vAlign w:val="bottom"/>
          </w:tcPr>
          <w:p>
            <w:pPr>
              <w:ind w:left="1240"/>
              <w:spacing w:after="0"/>
              <w:rPr>
                <w:sz w:val="20"/>
                <w:szCs w:val="20"/>
                <w:color w:val="auto"/>
              </w:rPr>
            </w:pPr>
            <w:r>
              <w:rPr>
                <w:rFonts w:ascii="Arial" w:cs="Arial" w:eastAsia="Arial" w:hAnsi="Arial"/>
                <w:sz w:val="18"/>
                <w:szCs w:val="18"/>
                <w:color w:val="auto"/>
              </w:rPr>
              <w:t>connection with the Offering in the form reviewed by us.</w:t>
            </w:r>
          </w:p>
        </w:tc>
      </w:tr>
      <w:tr>
        <w:trPr>
          <w:trHeight w:val="418"/>
        </w:trPr>
        <w:tc>
          <w:tcPr>
            <w:tcW w:w="31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Moment</w:t>
            </w:r>
            <w:r>
              <w:rPr>
                <w:rFonts w:ascii="Arial" w:cs="Arial" w:eastAsia="Arial" w:hAnsi="Arial"/>
                <w:sz w:val="18"/>
                <w:szCs w:val="18"/>
                <w:color w:val="auto"/>
              </w:rPr>
              <w:t>"</w:t>
            </w:r>
          </w:p>
        </w:tc>
        <w:tc>
          <w:tcPr>
            <w:tcW w:w="8080" w:type="dxa"/>
            <w:vAlign w:val="bottom"/>
          </w:tcPr>
          <w:p>
            <w:pPr>
              <w:ind w:left="1240"/>
              <w:spacing w:after="0"/>
              <w:rPr>
                <w:sz w:val="20"/>
                <w:szCs w:val="20"/>
                <w:color w:val="auto"/>
              </w:rPr>
            </w:pPr>
            <w:r>
              <w:rPr>
                <w:rFonts w:ascii="Arial" w:cs="Arial" w:eastAsia="Arial" w:hAnsi="Arial"/>
                <w:sz w:val="18"/>
                <w:szCs w:val="18"/>
                <w:color w:val="auto"/>
                <w:w w:val="89"/>
              </w:rPr>
              <w:t>Each time that Offer Shares or Option Shares are issued pursuant to the execution of a Deed of</w:t>
            </w:r>
          </w:p>
        </w:tc>
      </w:tr>
      <w:tr>
        <w:trPr>
          <w:trHeight w:val="230"/>
        </w:trPr>
        <w:tc>
          <w:tcPr>
            <w:tcW w:w="3160" w:type="dxa"/>
            <w:vAlign w:val="bottom"/>
          </w:tcPr>
          <w:p>
            <w:pPr>
              <w:spacing w:after="0"/>
              <w:rPr>
                <w:sz w:val="20"/>
                <w:szCs w:val="20"/>
                <w:color w:val="auto"/>
              </w:rPr>
            </w:pPr>
          </w:p>
        </w:tc>
        <w:tc>
          <w:tcPr>
            <w:tcW w:w="8080" w:type="dxa"/>
            <w:vAlign w:val="bottom"/>
          </w:tcPr>
          <w:p>
            <w:pPr>
              <w:ind w:left="1240"/>
              <w:spacing w:after="0"/>
              <w:rPr>
                <w:sz w:val="20"/>
                <w:szCs w:val="20"/>
                <w:color w:val="auto"/>
              </w:rPr>
            </w:pPr>
            <w:r>
              <w:rPr>
                <w:rFonts w:ascii="Arial" w:cs="Arial" w:eastAsia="Arial" w:hAnsi="Arial"/>
                <w:sz w:val="18"/>
                <w:szCs w:val="18"/>
                <w:color w:val="auto"/>
              </w:rPr>
              <w:t>Issue.</w:t>
            </w:r>
          </w:p>
        </w:tc>
      </w:tr>
      <w:tr>
        <w:trPr>
          <w:trHeight w:val="675"/>
        </w:trPr>
        <w:tc>
          <w:tcPr>
            <w:tcW w:w="3160" w:type="dxa"/>
            <w:vAlign w:val="bottom"/>
            <w:tcBorders>
              <w:bottom w:val="single" w:sz="8" w:color="auto"/>
            </w:tcBorders>
          </w:tcPr>
          <w:p>
            <w:pPr>
              <w:spacing w:after="0"/>
              <w:rPr>
                <w:sz w:val="24"/>
                <w:szCs w:val="24"/>
                <w:color w:val="auto"/>
              </w:rPr>
            </w:pPr>
          </w:p>
        </w:tc>
        <w:tc>
          <w:tcPr>
            <w:tcW w:w="8080" w:type="dxa"/>
            <w:vAlign w:val="bottom"/>
            <w:tcBorders>
              <w:bottom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240"/>
          </w:cols>
          <w:pgMar w:left="320" w:top="949" w:right="339" w:bottom="1440" w:gutter="0" w:footer="0" w:header="0"/>
        </w:sectPr>
      </w:pPr>
      <w:r>
        <w:rPr>
          <w:sz w:val="20"/>
          <w:szCs w:val="20"/>
          <w:color w:val="auto"/>
        </w:rPr>
        <w:drawing>
          <wp:anchor simplePos="0" relativeHeight="251657728" behindDoc="1" locked="0" layoutInCell="0" allowOverlap="1">
            <wp:simplePos x="0" y="0"/>
            <wp:positionH relativeFrom="page">
              <wp:posOffset>3088640</wp:posOffset>
            </wp:positionH>
            <wp:positionV relativeFrom="page">
              <wp:posOffset>226060</wp:posOffset>
            </wp:positionV>
            <wp:extent cx="1345565" cy="21463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946">
                      <a:clrChange>
                        <a:clrFrom>
                          <a:srgbClr val="FFFFFF"/>
                        </a:clrFrom>
                        <a:clrTo>
                          <a:srgbClr val="FFFFFF">
                            <a:alpha val="0"/>
                          </a:srgbClr>
                        </a:clrTo>
                      </a:clrChange>
                      <a:extLst>
                        <a:ext uri="{28A0092B-C50C-407E-A947-70E740481C1C}"/>
                      </a:extLst>
                    </a:blip>
                    <a:srcRect/>
                    <a:stretch>
                      <a:fillRect/>
                    </a:stretch>
                  </pic:blipFill>
                  <pic:spPr bwMode="auto">
                    <a:xfrm>
                      <a:off x="0" y="0"/>
                      <a:ext cx="1345565" cy="214630"/>
                    </a:xfrm>
                    <a:prstGeom prst="rect">
                      <a:avLst/>
                    </a:prstGeom>
                    <a:noFill/>
                  </pic:spPr>
                </pic:pic>
              </a:graphicData>
            </a:graphic>
          </wp:anchor>
        </w:drawing>
      </w:r>
    </w:p>
    <w:bookmarkStart w:id="437" w:name="page438"/>
    <w:bookmarkEnd w:id="437"/>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420" w:type="dxa"/>
            <w:vAlign w:val="bottom"/>
          </w:tcPr>
          <w:p>
            <w:pPr>
              <w:ind w:left="760"/>
              <w:spacing w:after="0"/>
              <w:rPr>
                <w:sz w:val="20"/>
                <w:szCs w:val="20"/>
                <w:color w:val="auto"/>
              </w:rPr>
            </w:pPr>
            <w:r>
              <w:rPr>
                <w:rFonts w:ascii="Arial" w:cs="Arial" w:eastAsia="Arial" w:hAnsi="Arial"/>
                <w:sz w:val="18"/>
                <w:szCs w:val="18"/>
                <w:color w:val="auto"/>
              </w:rPr>
              <w:t>8</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Resolutions</w:t>
            </w:r>
            <w:r>
              <w:rPr>
                <w:rFonts w:ascii="Arial" w:cs="Arial" w:eastAsia="Arial" w:hAnsi="Arial"/>
                <w:sz w:val="18"/>
                <w:szCs w:val="18"/>
                <w:color w:val="auto"/>
              </w:rPr>
              <w:t>"</w:t>
            </w:r>
          </w:p>
        </w:tc>
        <w:tc>
          <w:tcPr>
            <w:tcW w:w="1580" w:type="dxa"/>
            <w:vAlign w:val="bottom"/>
          </w:tcPr>
          <w:p>
            <w:pPr>
              <w:ind w:left="1160"/>
              <w:spacing w:after="0"/>
              <w:rPr>
                <w:sz w:val="20"/>
                <w:szCs w:val="20"/>
                <w:color w:val="auto"/>
              </w:rPr>
            </w:pPr>
            <w:r>
              <w:rPr>
                <w:rFonts w:ascii="Arial" w:cs="Arial" w:eastAsia="Arial" w:hAnsi="Arial"/>
                <w:sz w:val="18"/>
                <w:szCs w:val="18"/>
                <w:color w:val="auto"/>
              </w:rPr>
              <w:t>i.</w:t>
            </w:r>
          </w:p>
        </w:tc>
        <w:tc>
          <w:tcPr>
            <w:tcW w:w="6420" w:type="dxa"/>
            <w:vAlign w:val="bottom"/>
          </w:tcPr>
          <w:p>
            <w:pPr>
              <w:ind w:left="260"/>
              <w:spacing w:after="0"/>
              <w:rPr>
                <w:sz w:val="20"/>
                <w:szCs w:val="20"/>
                <w:color w:val="auto"/>
              </w:rPr>
            </w:pPr>
            <w:r>
              <w:rPr>
                <w:rFonts w:ascii="Arial" w:cs="Arial" w:eastAsia="Arial" w:hAnsi="Arial"/>
                <w:sz w:val="18"/>
                <w:szCs w:val="18"/>
                <w:color w:val="auto"/>
              </w:rPr>
              <w:t>the written resolution of the General Meeting, dated August 10, 2020;</w:t>
            </w:r>
          </w:p>
        </w:tc>
      </w:tr>
      <w:tr>
        <w:trPr>
          <w:trHeight w:val="432"/>
        </w:trPr>
        <w:tc>
          <w:tcPr>
            <w:tcW w:w="3240" w:type="dxa"/>
            <w:vAlign w:val="bottom"/>
          </w:tcPr>
          <w:p>
            <w:pPr>
              <w:spacing w:after="0"/>
              <w:rPr>
                <w:sz w:val="24"/>
                <w:szCs w:val="24"/>
                <w:color w:val="auto"/>
              </w:rPr>
            </w:pPr>
          </w:p>
        </w:tc>
        <w:tc>
          <w:tcPr>
            <w:tcW w:w="1580" w:type="dxa"/>
            <w:vAlign w:val="bottom"/>
          </w:tcPr>
          <w:p>
            <w:pPr>
              <w:ind w:left="1160"/>
              <w:spacing w:after="0"/>
              <w:rPr>
                <w:sz w:val="20"/>
                <w:szCs w:val="20"/>
                <w:color w:val="auto"/>
              </w:rPr>
            </w:pPr>
            <w:r>
              <w:rPr>
                <w:rFonts w:ascii="Arial" w:cs="Arial" w:eastAsia="Arial" w:hAnsi="Arial"/>
                <w:sz w:val="18"/>
                <w:szCs w:val="18"/>
                <w:color w:val="auto"/>
              </w:rPr>
              <w:t>ii.</w:t>
            </w:r>
          </w:p>
        </w:tc>
        <w:tc>
          <w:tcPr>
            <w:tcW w:w="6420" w:type="dxa"/>
            <w:vAlign w:val="bottom"/>
          </w:tcPr>
          <w:p>
            <w:pPr>
              <w:ind w:left="260"/>
              <w:spacing w:after="0"/>
              <w:rPr>
                <w:sz w:val="20"/>
                <w:szCs w:val="20"/>
                <w:color w:val="auto"/>
              </w:rPr>
            </w:pPr>
            <w:r>
              <w:rPr>
                <w:rFonts w:ascii="Arial" w:cs="Arial" w:eastAsia="Arial" w:hAnsi="Arial"/>
                <w:sz w:val="18"/>
                <w:szCs w:val="18"/>
                <w:color w:val="auto"/>
              </w:rPr>
              <w:t>the written resolution of the Management Board, dated [</w:t>
            </w:r>
            <w:r>
              <w:rPr>
                <w:rFonts w:ascii="Arial" w:cs="Arial" w:eastAsia="Arial" w:hAnsi="Arial"/>
                <w:sz w:val="18"/>
                <w:szCs w:val="18"/>
                <w:b w:val="1"/>
                <w:bCs w:val="1"/>
                <w:i w:val="1"/>
                <w:iCs w:val="1"/>
                <w:color w:val="auto"/>
              </w:rPr>
              <w:t>date</w:t>
            </w:r>
            <w:r>
              <w:rPr>
                <w:rFonts w:ascii="Arial" w:cs="Arial" w:eastAsia="Arial" w:hAnsi="Arial"/>
                <w:sz w:val="18"/>
                <w:szCs w:val="18"/>
                <w:color w:val="auto"/>
              </w:rPr>
              <w:t>];</w:t>
            </w:r>
          </w:p>
        </w:tc>
      </w:tr>
      <w:tr>
        <w:trPr>
          <w:trHeight w:val="432"/>
        </w:trPr>
        <w:tc>
          <w:tcPr>
            <w:tcW w:w="3240" w:type="dxa"/>
            <w:vAlign w:val="bottom"/>
          </w:tcPr>
          <w:p>
            <w:pPr>
              <w:spacing w:after="0"/>
              <w:rPr>
                <w:sz w:val="24"/>
                <w:szCs w:val="24"/>
                <w:color w:val="auto"/>
              </w:rPr>
            </w:pPr>
          </w:p>
        </w:tc>
        <w:tc>
          <w:tcPr>
            <w:tcW w:w="1580" w:type="dxa"/>
            <w:vAlign w:val="bottom"/>
          </w:tcPr>
          <w:p>
            <w:pPr>
              <w:ind w:left="1160"/>
              <w:spacing w:after="0"/>
              <w:rPr>
                <w:sz w:val="20"/>
                <w:szCs w:val="20"/>
                <w:color w:val="auto"/>
              </w:rPr>
            </w:pPr>
            <w:r>
              <w:rPr>
                <w:rFonts w:ascii="Arial" w:cs="Arial" w:eastAsia="Arial" w:hAnsi="Arial"/>
                <w:sz w:val="18"/>
                <w:szCs w:val="18"/>
                <w:color w:val="auto"/>
              </w:rPr>
              <w:t>iii.</w:t>
            </w:r>
          </w:p>
        </w:tc>
        <w:tc>
          <w:tcPr>
            <w:tcW w:w="6420" w:type="dxa"/>
            <w:vAlign w:val="bottom"/>
          </w:tcPr>
          <w:p>
            <w:pPr>
              <w:ind w:left="260"/>
              <w:spacing w:after="0"/>
              <w:rPr>
                <w:sz w:val="20"/>
                <w:szCs w:val="20"/>
                <w:color w:val="auto"/>
              </w:rPr>
            </w:pPr>
            <w:r>
              <w:rPr>
                <w:rFonts w:ascii="Arial" w:cs="Arial" w:eastAsia="Arial" w:hAnsi="Arial"/>
                <w:sz w:val="18"/>
                <w:szCs w:val="18"/>
                <w:color w:val="auto"/>
              </w:rPr>
              <w:t>the written resolution of the Supervisory Board, dated [</w:t>
            </w:r>
            <w:r>
              <w:rPr>
                <w:rFonts w:ascii="Arial" w:cs="Arial" w:eastAsia="Arial" w:hAnsi="Arial"/>
                <w:sz w:val="18"/>
                <w:szCs w:val="18"/>
                <w:b w:val="1"/>
                <w:bCs w:val="1"/>
                <w:i w:val="1"/>
                <w:iCs w:val="1"/>
                <w:color w:val="auto"/>
              </w:rPr>
              <w:t>date</w:t>
            </w:r>
            <w:r>
              <w:rPr>
                <w:rFonts w:ascii="Arial" w:cs="Arial" w:eastAsia="Arial" w:hAnsi="Arial"/>
                <w:sz w:val="18"/>
                <w:szCs w:val="18"/>
                <w:color w:val="auto"/>
              </w:rPr>
              <w:t>];</w:t>
            </w:r>
          </w:p>
        </w:tc>
      </w:tr>
      <w:tr>
        <w:trPr>
          <w:trHeight w:val="418"/>
        </w:trPr>
        <w:tc>
          <w:tcPr>
            <w:tcW w:w="3240" w:type="dxa"/>
            <w:vAlign w:val="bottom"/>
          </w:tcPr>
          <w:p>
            <w:pPr>
              <w:spacing w:after="0"/>
              <w:rPr>
                <w:sz w:val="24"/>
                <w:szCs w:val="24"/>
                <w:color w:val="auto"/>
              </w:rPr>
            </w:pPr>
          </w:p>
        </w:tc>
        <w:tc>
          <w:tcPr>
            <w:tcW w:w="1580" w:type="dxa"/>
            <w:vAlign w:val="bottom"/>
          </w:tcPr>
          <w:p>
            <w:pPr>
              <w:ind w:left="1160"/>
              <w:spacing w:after="0"/>
              <w:rPr>
                <w:sz w:val="20"/>
                <w:szCs w:val="20"/>
                <w:color w:val="auto"/>
              </w:rPr>
            </w:pPr>
            <w:r>
              <w:rPr>
                <w:rFonts w:ascii="Arial" w:cs="Arial" w:eastAsia="Arial" w:hAnsi="Arial"/>
                <w:sz w:val="18"/>
                <w:szCs w:val="18"/>
                <w:color w:val="auto"/>
              </w:rPr>
              <w:t>iv.</w:t>
            </w:r>
          </w:p>
        </w:tc>
        <w:tc>
          <w:tcPr>
            <w:tcW w:w="6420" w:type="dxa"/>
            <w:vAlign w:val="bottom"/>
          </w:tcPr>
          <w:p>
            <w:pPr>
              <w:ind w:left="300"/>
              <w:spacing w:after="0"/>
              <w:rPr>
                <w:sz w:val="20"/>
                <w:szCs w:val="20"/>
                <w:color w:val="auto"/>
              </w:rPr>
            </w:pPr>
            <w:r>
              <w:rPr>
                <w:rFonts w:ascii="Arial" w:cs="Arial" w:eastAsia="Arial" w:hAnsi="Arial"/>
                <w:sz w:val="18"/>
                <w:szCs w:val="18"/>
                <w:color w:val="auto"/>
                <w:w w:val="91"/>
              </w:rPr>
              <w:t>the draft written resolution of the Management Board prepared by us with reference</w:t>
            </w:r>
          </w:p>
        </w:tc>
      </w:tr>
      <w:tr>
        <w:trPr>
          <w:trHeight w:val="230"/>
        </w:trPr>
        <w:tc>
          <w:tcPr>
            <w:tcW w:w="3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420" w:type="dxa"/>
            <w:vAlign w:val="bottom"/>
          </w:tcPr>
          <w:p>
            <w:pPr>
              <w:ind w:left="240"/>
              <w:spacing w:after="0"/>
              <w:rPr>
                <w:sz w:val="20"/>
                <w:szCs w:val="20"/>
                <w:color w:val="auto"/>
              </w:rPr>
            </w:pPr>
            <w:r>
              <w:rPr>
                <w:rFonts w:ascii="Arial" w:cs="Arial" w:eastAsia="Arial" w:hAnsi="Arial"/>
                <w:sz w:val="18"/>
                <w:szCs w:val="18"/>
                <w:color w:val="auto"/>
              </w:rPr>
              <w:t>82044152 M 30584267; and</w:t>
            </w:r>
          </w:p>
        </w:tc>
      </w:tr>
      <w:tr>
        <w:trPr>
          <w:trHeight w:val="418"/>
        </w:trPr>
        <w:tc>
          <w:tcPr>
            <w:tcW w:w="3240" w:type="dxa"/>
            <w:vAlign w:val="bottom"/>
          </w:tcPr>
          <w:p>
            <w:pPr>
              <w:spacing w:after="0"/>
              <w:rPr>
                <w:sz w:val="24"/>
                <w:szCs w:val="24"/>
                <w:color w:val="auto"/>
              </w:rPr>
            </w:pPr>
          </w:p>
        </w:tc>
        <w:tc>
          <w:tcPr>
            <w:tcW w:w="1580" w:type="dxa"/>
            <w:vAlign w:val="bottom"/>
          </w:tcPr>
          <w:p>
            <w:pPr>
              <w:ind w:left="1160"/>
              <w:spacing w:after="0"/>
              <w:rPr>
                <w:sz w:val="20"/>
                <w:szCs w:val="20"/>
                <w:color w:val="auto"/>
              </w:rPr>
            </w:pPr>
            <w:r>
              <w:rPr>
                <w:rFonts w:ascii="Arial" w:cs="Arial" w:eastAsia="Arial" w:hAnsi="Arial"/>
                <w:sz w:val="18"/>
                <w:szCs w:val="18"/>
                <w:color w:val="auto"/>
              </w:rPr>
              <w:t>v.</w:t>
            </w:r>
          </w:p>
        </w:tc>
        <w:tc>
          <w:tcPr>
            <w:tcW w:w="6420" w:type="dxa"/>
            <w:vAlign w:val="bottom"/>
          </w:tcPr>
          <w:p>
            <w:pPr>
              <w:ind w:left="300"/>
              <w:spacing w:after="0"/>
              <w:rPr>
                <w:sz w:val="20"/>
                <w:szCs w:val="20"/>
                <w:color w:val="auto"/>
              </w:rPr>
            </w:pPr>
            <w:r>
              <w:rPr>
                <w:rFonts w:ascii="Arial" w:cs="Arial" w:eastAsia="Arial" w:hAnsi="Arial"/>
                <w:sz w:val="18"/>
                <w:szCs w:val="18"/>
                <w:color w:val="auto"/>
                <w:w w:val="92"/>
              </w:rPr>
              <w:t>the draft written resolution of the Company's pricing committee prepared by us with</w:t>
            </w:r>
          </w:p>
        </w:tc>
      </w:tr>
      <w:tr>
        <w:trPr>
          <w:trHeight w:val="230"/>
        </w:trPr>
        <w:tc>
          <w:tcPr>
            <w:tcW w:w="3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420" w:type="dxa"/>
            <w:vAlign w:val="bottom"/>
          </w:tcPr>
          <w:p>
            <w:pPr>
              <w:ind w:left="240"/>
              <w:spacing w:after="0"/>
              <w:rPr>
                <w:sz w:val="20"/>
                <w:szCs w:val="20"/>
                <w:color w:val="auto"/>
              </w:rPr>
            </w:pPr>
            <w:r>
              <w:rPr>
                <w:rFonts w:ascii="Arial" w:cs="Arial" w:eastAsia="Arial" w:hAnsi="Arial"/>
                <w:sz w:val="18"/>
                <w:szCs w:val="18"/>
                <w:color w:val="auto"/>
              </w:rPr>
              <w:t>reference 82044152 M 30578210.</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Reviewed Documents</w:t>
            </w:r>
            <w:r>
              <w:rPr>
                <w:rFonts w:ascii="Arial" w:cs="Arial" w:eastAsia="Arial" w:hAnsi="Arial"/>
                <w:sz w:val="18"/>
                <w:szCs w:val="18"/>
                <w:color w:val="auto"/>
              </w:rPr>
              <w:t>"</w:t>
            </w:r>
          </w:p>
        </w:tc>
        <w:tc>
          <w:tcPr>
            <w:tcW w:w="8000" w:type="dxa"/>
            <w:vAlign w:val="bottom"/>
            <w:gridSpan w:val="2"/>
          </w:tcPr>
          <w:p>
            <w:pPr>
              <w:ind w:left="1160"/>
              <w:spacing w:after="0"/>
              <w:rPr>
                <w:sz w:val="20"/>
                <w:szCs w:val="20"/>
                <w:color w:val="auto"/>
              </w:rPr>
            </w:pPr>
            <w:r>
              <w:rPr>
                <w:rFonts w:ascii="Arial" w:cs="Arial" w:eastAsia="Arial" w:hAnsi="Arial"/>
                <w:sz w:val="18"/>
                <w:szCs w:val="18"/>
                <w:color w:val="auto"/>
              </w:rPr>
              <w:t>Each Deed of Issue and the Underwriting Agreement.</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w:t>
            </w:r>
          </w:p>
        </w:tc>
        <w:tc>
          <w:tcPr>
            <w:tcW w:w="8000" w:type="dxa"/>
            <w:vAlign w:val="bottom"/>
            <w:gridSpan w:val="2"/>
          </w:tcPr>
          <w:p>
            <w:pPr>
              <w:ind w:left="1160"/>
              <w:spacing w:after="0"/>
              <w:rPr>
                <w:sz w:val="20"/>
                <w:szCs w:val="20"/>
                <w:color w:val="auto"/>
              </w:rPr>
            </w:pPr>
            <w:r>
              <w:rPr>
                <w:rFonts w:ascii="Arial" w:cs="Arial" w:eastAsia="Arial" w:hAnsi="Arial"/>
                <w:sz w:val="18"/>
                <w:szCs w:val="18"/>
                <w:color w:val="auto"/>
              </w:rPr>
              <w:t>The United States Securities and Exchange Commission.</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Supervisory Board</w:t>
            </w:r>
            <w:r>
              <w:rPr>
                <w:rFonts w:ascii="Arial" w:cs="Arial" w:eastAsia="Arial" w:hAnsi="Arial"/>
                <w:sz w:val="18"/>
                <w:szCs w:val="18"/>
                <w:color w:val="auto"/>
              </w:rPr>
              <w:t>"</w:t>
            </w:r>
          </w:p>
        </w:tc>
        <w:tc>
          <w:tcPr>
            <w:tcW w:w="8000" w:type="dxa"/>
            <w:vAlign w:val="bottom"/>
            <w:gridSpan w:val="2"/>
          </w:tcPr>
          <w:p>
            <w:pPr>
              <w:ind w:left="1160"/>
              <w:spacing w:after="0"/>
              <w:rPr>
                <w:sz w:val="20"/>
                <w:szCs w:val="20"/>
                <w:color w:val="auto"/>
              </w:rPr>
            </w:pPr>
            <w:r>
              <w:rPr>
                <w:rFonts w:ascii="Arial" w:cs="Arial" w:eastAsia="Arial" w:hAnsi="Arial"/>
                <w:sz w:val="18"/>
                <w:szCs w:val="18"/>
                <w:color w:val="auto"/>
              </w:rPr>
              <w:t>The Company's supervisory board (</w:t>
            </w:r>
            <w:r>
              <w:rPr>
                <w:rFonts w:ascii="Arial" w:cs="Arial" w:eastAsia="Arial" w:hAnsi="Arial"/>
                <w:sz w:val="18"/>
                <w:szCs w:val="18"/>
                <w:i w:val="1"/>
                <w:iCs w:val="1"/>
                <w:color w:val="auto"/>
              </w:rPr>
              <w:t>raad van commissarissen</w:t>
            </w:r>
            <w:r>
              <w:rPr>
                <w:rFonts w:ascii="Arial" w:cs="Arial" w:eastAsia="Arial" w:hAnsi="Arial"/>
                <w:sz w:val="18"/>
                <w:szCs w:val="18"/>
                <w:color w:val="auto"/>
              </w:rPr>
              <w:t>).</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Underwriters</w:t>
            </w:r>
            <w:r>
              <w:rPr>
                <w:rFonts w:ascii="Arial" w:cs="Arial" w:eastAsia="Arial" w:hAnsi="Arial"/>
                <w:sz w:val="18"/>
                <w:szCs w:val="18"/>
                <w:color w:val="auto"/>
              </w:rPr>
              <w:t>"</w:t>
            </w:r>
          </w:p>
        </w:tc>
        <w:tc>
          <w:tcPr>
            <w:tcW w:w="8000" w:type="dxa"/>
            <w:vAlign w:val="bottom"/>
            <w:gridSpan w:val="2"/>
          </w:tcPr>
          <w:p>
            <w:pPr>
              <w:ind w:left="1160"/>
              <w:spacing w:after="0"/>
              <w:rPr>
                <w:sz w:val="20"/>
                <w:szCs w:val="20"/>
                <w:color w:val="auto"/>
              </w:rPr>
            </w:pPr>
            <w:r>
              <w:rPr>
                <w:rFonts w:ascii="Arial" w:cs="Arial" w:eastAsia="Arial" w:hAnsi="Arial"/>
                <w:sz w:val="18"/>
                <w:szCs w:val="18"/>
                <w:color w:val="auto"/>
              </w:rPr>
              <w:t>The Underwriters, as defined in the Underwriting Agreement.</w:t>
            </w:r>
          </w:p>
        </w:tc>
      </w:tr>
      <w:tr>
        <w:trPr>
          <w:trHeight w:val="418"/>
        </w:trPr>
        <w:tc>
          <w:tcPr>
            <w:tcW w:w="32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Underwriting Agreement</w:t>
            </w:r>
            <w:r>
              <w:rPr>
                <w:rFonts w:ascii="Arial" w:cs="Arial" w:eastAsia="Arial" w:hAnsi="Arial"/>
                <w:sz w:val="18"/>
                <w:szCs w:val="18"/>
                <w:color w:val="auto"/>
              </w:rPr>
              <w:t>"</w:t>
            </w:r>
          </w:p>
        </w:tc>
        <w:tc>
          <w:tcPr>
            <w:tcW w:w="8000" w:type="dxa"/>
            <w:vAlign w:val="bottom"/>
            <w:gridSpan w:val="2"/>
          </w:tcPr>
          <w:p>
            <w:pPr>
              <w:ind w:left="1160"/>
              <w:spacing w:after="0"/>
              <w:rPr>
                <w:sz w:val="20"/>
                <w:szCs w:val="20"/>
                <w:color w:val="auto"/>
              </w:rPr>
            </w:pPr>
            <w:r>
              <w:rPr>
                <w:rFonts w:ascii="Arial" w:cs="Arial" w:eastAsia="Arial" w:hAnsi="Arial"/>
                <w:sz w:val="18"/>
                <w:szCs w:val="18"/>
                <w:color w:val="auto"/>
                <w:w w:val="94"/>
              </w:rPr>
              <w:t>The  draft  underwriting  agreement  to  be  entered  into  between  the  Company  and  the</w:t>
            </w:r>
          </w:p>
        </w:tc>
      </w:tr>
      <w:tr>
        <w:trPr>
          <w:trHeight w:val="230"/>
        </w:trPr>
        <w:tc>
          <w:tcPr>
            <w:tcW w:w="3240" w:type="dxa"/>
            <w:vAlign w:val="bottom"/>
          </w:tcPr>
          <w:p>
            <w:pPr>
              <w:spacing w:after="0"/>
              <w:rPr>
                <w:sz w:val="20"/>
                <w:szCs w:val="20"/>
                <w:color w:val="auto"/>
              </w:rPr>
            </w:pPr>
          </w:p>
        </w:tc>
        <w:tc>
          <w:tcPr>
            <w:tcW w:w="8000" w:type="dxa"/>
            <w:vAlign w:val="bottom"/>
            <w:gridSpan w:val="2"/>
          </w:tcPr>
          <w:p>
            <w:pPr>
              <w:ind w:left="1160"/>
              <w:spacing w:after="0"/>
              <w:rPr>
                <w:sz w:val="20"/>
                <w:szCs w:val="20"/>
                <w:color w:val="auto"/>
              </w:rPr>
            </w:pPr>
            <w:r>
              <w:rPr>
                <w:rFonts w:ascii="Arial" w:cs="Arial" w:eastAsia="Arial" w:hAnsi="Arial"/>
                <w:sz w:val="18"/>
                <w:szCs w:val="18"/>
                <w:color w:val="auto"/>
              </w:rPr>
              <w:t>Underwriters in connection with the Offering, in the form reviewed by NautaDutilh.</w:t>
            </w:r>
          </w:p>
        </w:tc>
      </w:tr>
      <w:tr>
        <w:trPr>
          <w:trHeight w:val="675"/>
        </w:trPr>
        <w:tc>
          <w:tcPr>
            <w:tcW w:w="32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240"/>
          </w:cols>
          <w:pgMar w:left="320" w:top="949" w:right="339" w:bottom="1440" w:gutter="0" w:footer="0" w:header="0"/>
        </w:sectPr>
      </w:pPr>
      <w:r>
        <w:rPr>
          <w:sz w:val="20"/>
          <w:szCs w:val="20"/>
          <w:color w:val="auto"/>
        </w:rPr>
        <w:drawing>
          <wp:anchor simplePos="0" relativeHeight="251657728" behindDoc="1" locked="0" layoutInCell="0" allowOverlap="1">
            <wp:simplePos x="0" y="0"/>
            <wp:positionH relativeFrom="page">
              <wp:posOffset>3088640</wp:posOffset>
            </wp:positionH>
            <wp:positionV relativeFrom="page">
              <wp:posOffset>226060</wp:posOffset>
            </wp:positionV>
            <wp:extent cx="1345565" cy="21463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47">
                      <a:clrChange>
                        <a:clrFrom>
                          <a:srgbClr val="FFFFFF"/>
                        </a:clrFrom>
                        <a:clrTo>
                          <a:srgbClr val="FFFFFF">
                            <a:alpha val="0"/>
                          </a:srgbClr>
                        </a:clrTo>
                      </a:clrChange>
                      <a:extLst>
                        <a:ext uri="{28A0092B-C50C-407E-A947-70E740481C1C}"/>
                      </a:extLst>
                    </a:blip>
                    <a:srcRect/>
                    <a:stretch>
                      <a:fillRect/>
                    </a:stretch>
                  </pic:blipFill>
                  <pic:spPr bwMode="auto">
                    <a:xfrm>
                      <a:off x="0" y="0"/>
                      <a:ext cx="1345565" cy="214630"/>
                    </a:xfrm>
                    <a:prstGeom prst="rect">
                      <a:avLst/>
                    </a:prstGeom>
                    <a:noFill/>
                  </pic:spPr>
                </pic:pic>
              </a:graphicData>
            </a:graphic>
          </wp:anchor>
        </w:drawing>
      </w:r>
    </w:p>
    <w:bookmarkStart w:id="438" w:name="page439"/>
    <w:bookmarkEnd w:id="438"/>
    <w:p>
      <w:pPr>
        <w:jc w:val="right"/>
        <w:spacing w:after="0"/>
        <w:rPr>
          <w:sz w:val="20"/>
          <w:szCs w:val="20"/>
          <w:color w:val="auto"/>
        </w:rPr>
      </w:pPr>
      <w:r>
        <w:rPr>
          <w:rFonts w:ascii="Arial" w:cs="Arial" w:eastAsia="Arial" w:hAnsi="Arial"/>
          <w:sz w:val="18"/>
          <w:szCs w:val="18"/>
          <w:color w:val="auto"/>
        </w:rPr>
        <w:t>Exhibit 8.1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ATTORNEYS • CIVIL LAW NOTARIES • TAX ADVISERS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-121920</wp:posOffset>
            </wp:positionV>
            <wp:extent cx="1388745" cy="24003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48">
                      <a:extLst>
                        <a:ext uri="{28A0092B-C50C-407E-A947-70E740481C1C}"/>
                      </a:extLst>
                    </a:blip>
                    <a:srcRect/>
                    <a:stretch>
                      <a:fillRect/>
                    </a:stretch>
                  </pic:blipFill>
                  <pic:spPr bwMode="auto">
                    <a:xfrm>
                      <a:off x="0" y="0"/>
                      <a:ext cx="1388745" cy="240030"/>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P.O. Box 7113</w:t>
            </w:r>
          </w:p>
        </w:tc>
        <w:tc>
          <w:tcPr>
            <w:tcW w:w="8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1007 JC Amsterdam</w:t>
            </w:r>
          </w:p>
        </w:tc>
        <w:tc>
          <w:tcPr>
            <w:tcW w:w="8960" w:type="dxa"/>
            <w:vAlign w:val="bottom"/>
          </w:tcPr>
          <w:p>
            <w:pPr>
              <w:ind w:left="4020"/>
              <w:spacing w:after="0"/>
              <w:rPr>
                <w:sz w:val="20"/>
                <w:szCs w:val="20"/>
                <w:color w:val="auto"/>
              </w:rPr>
            </w:pPr>
            <w:r>
              <w:rPr>
                <w:rFonts w:ascii="Arial" w:cs="Arial" w:eastAsia="Arial" w:hAnsi="Arial"/>
                <w:sz w:val="18"/>
                <w:szCs w:val="18"/>
                <w:color w:val="auto"/>
              </w:rPr>
              <w:t>Amsterdam, January 25, 2021</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Beethovenstraat 400</w:t>
            </w:r>
          </w:p>
        </w:tc>
        <w:tc>
          <w:tcPr>
            <w:tcW w:w="8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1082 PR Amsterdam</w:t>
            </w:r>
          </w:p>
        </w:tc>
        <w:tc>
          <w:tcPr>
            <w:tcW w:w="8960" w:type="dxa"/>
            <w:vAlign w:val="bottom"/>
          </w:tcPr>
          <w:p>
            <w:pPr>
              <w:ind w:left="4020"/>
              <w:spacing w:after="0"/>
              <w:rPr>
                <w:sz w:val="20"/>
                <w:szCs w:val="20"/>
                <w:color w:val="auto"/>
              </w:rPr>
            </w:pPr>
            <w:r>
              <w:rPr>
                <w:rFonts w:ascii="Arial" w:cs="Arial" w:eastAsia="Arial" w:hAnsi="Arial"/>
                <w:sz w:val="18"/>
                <w:szCs w:val="18"/>
                <w:color w:val="auto"/>
              </w:rPr>
              <w:t>To the Company</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T +31 20 71 71 000</w:t>
            </w:r>
          </w:p>
        </w:tc>
        <w:tc>
          <w:tcPr>
            <w:tcW w:w="8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F +31 20 71 71 111</w:t>
            </w:r>
          </w:p>
        </w:tc>
        <w:tc>
          <w:tcPr>
            <w:tcW w:w="8960" w:type="dxa"/>
            <w:vAlign w:val="bottom"/>
            <w:vMerge w:val="restart"/>
          </w:tcPr>
          <w:p>
            <w:pPr>
              <w:ind w:left="760"/>
              <w:spacing w:after="0"/>
              <w:rPr>
                <w:sz w:val="20"/>
                <w:szCs w:val="20"/>
                <w:color w:val="auto"/>
              </w:rPr>
            </w:pPr>
            <w:r>
              <w:rPr>
                <w:rFonts w:ascii="Arial" w:cs="Arial" w:eastAsia="Arial" w:hAnsi="Arial"/>
                <w:sz w:val="18"/>
                <w:szCs w:val="18"/>
                <w:color w:val="auto"/>
              </w:rPr>
              <w:t>Ladies and Gentlemen:</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280" w:type="dxa"/>
            <w:vAlign w:val="bottom"/>
          </w:tcPr>
          <w:p>
            <w:pPr>
              <w:spacing w:after="0"/>
              <w:rPr>
                <w:sz w:val="24"/>
                <w:szCs w:val="24"/>
                <w:color w:val="auto"/>
              </w:rPr>
            </w:pPr>
          </w:p>
        </w:tc>
        <w:tc>
          <w:tcPr>
            <w:tcW w:w="8960" w:type="dxa"/>
            <w:vAlign w:val="bottom"/>
          </w:tcPr>
          <w:p>
            <w:pPr>
              <w:ind w:left="760"/>
              <w:spacing w:after="0"/>
              <w:rPr>
                <w:sz w:val="20"/>
                <w:szCs w:val="20"/>
                <w:color w:val="auto"/>
              </w:rPr>
            </w:pPr>
            <w:r>
              <w:rPr>
                <w:rFonts w:ascii="Arial" w:cs="Arial" w:eastAsia="Arial" w:hAnsi="Arial"/>
                <w:sz w:val="18"/>
                <w:szCs w:val="18"/>
                <w:color w:val="auto"/>
                <w:w w:val="90"/>
              </w:rPr>
              <w:t>We have acted as tax counsel as to Dutch law to the Company in connection with the Offering. This opinion letter</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p>
        </w:tc>
        <w:tc>
          <w:tcPr>
            <w:tcW w:w="8960" w:type="dxa"/>
            <w:vAlign w:val="bottom"/>
          </w:tcPr>
          <w:p>
            <w:pPr>
              <w:ind w:left="760"/>
              <w:spacing w:after="0"/>
              <w:rPr>
                <w:sz w:val="20"/>
                <w:szCs w:val="20"/>
                <w:color w:val="auto"/>
              </w:rPr>
            </w:pPr>
            <w:r>
              <w:rPr>
                <w:rFonts w:ascii="Arial" w:cs="Arial" w:eastAsia="Arial" w:hAnsi="Arial"/>
                <w:sz w:val="18"/>
                <w:szCs w:val="18"/>
                <w:color w:val="auto"/>
              </w:rPr>
              <w:t>is rendered to you in order to be filed with the SEC as an exhibit to the Registration Statement.</w:t>
            </w:r>
          </w:p>
        </w:tc>
        <w:tc>
          <w:tcPr>
            <w:tcW w:w="0" w:type="dxa"/>
            <w:vAlign w:val="bottom"/>
          </w:tcPr>
          <w:p>
            <w:pPr>
              <w:spacing w:after="0"/>
              <w:rPr>
                <w:sz w:val="1"/>
                <w:szCs w:val="1"/>
                <w:color w:val="auto"/>
              </w:rPr>
            </w:pPr>
          </w:p>
        </w:tc>
      </w:tr>
      <w:tr>
        <w:trPr>
          <w:trHeight w:val="418"/>
        </w:trPr>
        <w:tc>
          <w:tcPr>
            <w:tcW w:w="2280" w:type="dxa"/>
            <w:vAlign w:val="bottom"/>
          </w:tcPr>
          <w:p>
            <w:pPr>
              <w:spacing w:after="0"/>
              <w:rPr>
                <w:sz w:val="24"/>
                <w:szCs w:val="24"/>
                <w:color w:val="auto"/>
              </w:rPr>
            </w:pPr>
          </w:p>
        </w:tc>
        <w:tc>
          <w:tcPr>
            <w:tcW w:w="8960" w:type="dxa"/>
            <w:vAlign w:val="bottom"/>
          </w:tcPr>
          <w:p>
            <w:pPr>
              <w:ind w:left="760"/>
              <w:spacing w:after="0"/>
              <w:rPr>
                <w:sz w:val="20"/>
                <w:szCs w:val="20"/>
                <w:color w:val="auto"/>
              </w:rPr>
            </w:pPr>
            <w:r>
              <w:rPr>
                <w:rFonts w:ascii="Arial" w:cs="Arial" w:eastAsia="Arial" w:hAnsi="Arial"/>
                <w:sz w:val="18"/>
                <w:szCs w:val="18"/>
                <w:color w:val="auto"/>
                <w:w w:val="94"/>
              </w:rPr>
              <w:t>Capitalised terms used in this opinion letter have the meanings set forth in Exhibit A to this opinion letter. The</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8960" w:type="dxa"/>
            <w:vAlign w:val="bottom"/>
          </w:tcPr>
          <w:p>
            <w:pPr>
              <w:ind w:left="760"/>
              <w:spacing w:after="0"/>
              <w:rPr>
                <w:sz w:val="20"/>
                <w:szCs w:val="20"/>
                <w:color w:val="auto"/>
              </w:rPr>
            </w:pPr>
            <w:r>
              <w:rPr>
                <w:rFonts w:ascii="Arial" w:cs="Arial" w:eastAsia="Arial" w:hAnsi="Arial"/>
                <w:sz w:val="18"/>
                <w:szCs w:val="18"/>
                <w:color w:val="auto"/>
                <w:w w:val="98"/>
              </w:rPr>
              <w:t>section headings used in this opinion letter are for convenience of reference only and are not to affect its</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p>
        </w:tc>
        <w:tc>
          <w:tcPr>
            <w:tcW w:w="8960" w:type="dxa"/>
            <w:vAlign w:val="bottom"/>
          </w:tcPr>
          <w:p>
            <w:pPr>
              <w:ind w:left="760"/>
              <w:spacing w:after="0"/>
              <w:rPr>
                <w:sz w:val="20"/>
                <w:szCs w:val="20"/>
                <w:color w:val="auto"/>
              </w:rPr>
            </w:pPr>
            <w:r>
              <w:rPr>
                <w:rFonts w:ascii="Arial" w:cs="Arial" w:eastAsia="Arial" w:hAnsi="Arial"/>
                <w:sz w:val="18"/>
                <w:szCs w:val="18"/>
                <w:color w:val="auto"/>
              </w:rPr>
              <w:t>construction or to be taken into consideration in its interpretation.</w:t>
            </w:r>
          </w:p>
        </w:tc>
        <w:tc>
          <w:tcPr>
            <w:tcW w:w="0" w:type="dxa"/>
            <w:vAlign w:val="bottom"/>
          </w:tcPr>
          <w:p>
            <w:pPr>
              <w:spacing w:after="0"/>
              <w:rPr>
                <w:sz w:val="1"/>
                <w:szCs w:val="1"/>
                <w:color w:val="auto"/>
              </w:rPr>
            </w:pPr>
          </w:p>
        </w:tc>
      </w:tr>
      <w:tr>
        <w:trPr>
          <w:trHeight w:val="418"/>
        </w:trPr>
        <w:tc>
          <w:tcPr>
            <w:tcW w:w="2280" w:type="dxa"/>
            <w:vAlign w:val="bottom"/>
          </w:tcPr>
          <w:p>
            <w:pPr>
              <w:spacing w:after="0"/>
              <w:rPr>
                <w:sz w:val="24"/>
                <w:szCs w:val="24"/>
                <w:color w:val="auto"/>
              </w:rPr>
            </w:pPr>
          </w:p>
        </w:tc>
        <w:tc>
          <w:tcPr>
            <w:tcW w:w="8960" w:type="dxa"/>
            <w:vAlign w:val="bottom"/>
          </w:tcPr>
          <w:p>
            <w:pPr>
              <w:ind w:left="760"/>
              <w:spacing w:after="0"/>
              <w:rPr>
                <w:sz w:val="20"/>
                <w:szCs w:val="20"/>
                <w:color w:val="auto"/>
              </w:rPr>
            </w:pPr>
            <w:r>
              <w:rPr>
                <w:rFonts w:ascii="Arial" w:cs="Arial" w:eastAsia="Arial" w:hAnsi="Arial"/>
                <w:sz w:val="18"/>
                <w:szCs w:val="18"/>
                <w:color w:val="auto"/>
                <w:w w:val="92"/>
              </w:rPr>
              <w:t>This opinion letter is strictly limited to the matters stated in it and may not be read as extending by implication to</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8960" w:type="dxa"/>
            <w:vAlign w:val="bottom"/>
          </w:tcPr>
          <w:p>
            <w:pPr>
              <w:ind w:left="760"/>
              <w:spacing w:after="0"/>
              <w:rPr>
                <w:sz w:val="20"/>
                <w:szCs w:val="20"/>
                <w:color w:val="auto"/>
              </w:rPr>
            </w:pPr>
            <w:r>
              <w:rPr>
                <w:rFonts w:ascii="Arial" w:cs="Arial" w:eastAsia="Arial" w:hAnsi="Arial"/>
                <w:sz w:val="18"/>
                <w:szCs w:val="18"/>
                <w:color w:val="auto"/>
                <w:w w:val="97"/>
              </w:rPr>
              <w:t>any matters not specifically referred to in it. Nothing in this opinion letter should be taken as expressing an</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8960" w:type="dxa"/>
            <w:vAlign w:val="bottom"/>
          </w:tcPr>
          <w:p>
            <w:pPr>
              <w:ind w:left="760"/>
              <w:spacing w:after="0"/>
              <w:rPr>
                <w:sz w:val="20"/>
                <w:szCs w:val="20"/>
                <w:color w:val="auto"/>
              </w:rPr>
            </w:pPr>
            <w:r>
              <w:rPr>
                <w:rFonts w:ascii="Arial" w:cs="Arial" w:eastAsia="Arial" w:hAnsi="Arial"/>
                <w:sz w:val="18"/>
                <w:szCs w:val="18"/>
                <w:color w:val="auto"/>
                <w:w w:val="90"/>
              </w:rPr>
              <w:t>opinion in respect of any representations or warranties, or other information, contained in any document reviewed</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p>
        </w:tc>
        <w:tc>
          <w:tcPr>
            <w:tcW w:w="8960" w:type="dxa"/>
            <w:vAlign w:val="bottom"/>
          </w:tcPr>
          <w:p>
            <w:pPr>
              <w:ind w:left="760"/>
              <w:spacing w:after="0"/>
              <w:rPr>
                <w:sz w:val="20"/>
                <w:szCs w:val="20"/>
                <w:color w:val="auto"/>
              </w:rPr>
            </w:pPr>
            <w:r>
              <w:rPr>
                <w:rFonts w:ascii="Arial" w:cs="Arial" w:eastAsia="Arial" w:hAnsi="Arial"/>
                <w:sz w:val="18"/>
                <w:szCs w:val="18"/>
                <w:color w:val="auto"/>
              </w:rPr>
              <w:t>by us.</w:t>
            </w:r>
          </w:p>
        </w:tc>
        <w:tc>
          <w:tcPr>
            <w:tcW w:w="0" w:type="dxa"/>
            <w:vAlign w:val="bottom"/>
          </w:tcPr>
          <w:p>
            <w:pPr>
              <w:spacing w:after="0"/>
              <w:rPr>
                <w:sz w:val="1"/>
                <w:szCs w:val="1"/>
                <w:color w:val="auto"/>
              </w:rPr>
            </w:pPr>
          </w:p>
        </w:tc>
      </w:tr>
      <w:tr>
        <w:trPr>
          <w:trHeight w:val="418"/>
        </w:trPr>
        <w:tc>
          <w:tcPr>
            <w:tcW w:w="2280" w:type="dxa"/>
            <w:vAlign w:val="bottom"/>
          </w:tcPr>
          <w:p>
            <w:pPr>
              <w:spacing w:after="0"/>
              <w:rPr>
                <w:sz w:val="24"/>
                <w:szCs w:val="24"/>
                <w:color w:val="auto"/>
              </w:rPr>
            </w:pPr>
          </w:p>
        </w:tc>
        <w:tc>
          <w:tcPr>
            <w:tcW w:w="8960" w:type="dxa"/>
            <w:vAlign w:val="bottom"/>
          </w:tcPr>
          <w:p>
            <w:pPr>
              <w:ind w:left="760"/>
              <w:spacing w:after="0"/>
              <w:rPr>
                <w:sz w:val="20"/>
                <w:szCs w:val="20"/>
                <w:color w:val="auto"/>
              </w:rPr>
            </w:pPr>
            <w:r>
              <w:rPr>
                <w:rFonts w:ascii="Arial" w:cs="Arial" w:eastAsia="Arial" w:hAnsi="Arial"/>
                <w:sz w:val="18"/>
                <w:szCs w:val="18"/>
                <w:color w:val="auto"/>
                <w:w w:val="98"/>
              </w:rPr>
              <w:t>In rendering the opinion expressed in this opinion letter, we have reviewed and relied upon a draft of the</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8960" w:type="dxa"/>
            <w:vAlign w:val="bottom"/>
          </w:tcPr>
          <w:p>
            <w:pPr>
              <w:ind w:left="760"/>
              <w:spacing w:after="0"/>
              <w:rPr>
                <w:sz w:val="20"/>
                <w:szCs w:val="20"/>
                <w:color w:val="auto"/>
              </w:rPr>
            </w:pPr>
            <w:r>
              <w:rPr>
                <w:rFonts w:ascii="Arial" w:cs="Arial" w:eastAsia="Arial" w:hAnsi="Arial"/>
                <w:sz w:val="18"/>
                <w:szCs w:val="18"/>
                <w:color w:val="auto"/>
                <w:w w:val="93"/>
              </w:rPr>
              <w:t>Registration Statement. We have not investigated or verified any factual matter disclosed to us in the course of</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p>
        </w:tc>
        <w:tc>
          <w:tcPr>
            <w:tcW w:w="8960" w:type="dxa"/>
            <w:vAlign w:val="bottom"/>
          </w:tcPr>
          <w:p>
            <w:pPr>
              <w:ind w:left="760"/>
              <w:spacing w:after="0"/>
              <w:rPr>
                <w:sz w:val="20"/>
                <w:szCs w:val="20"/>
                <w:color w:val="auto"/>
              </w:rPr>
            </w:pPr>
            <w:r>
              <w:rPr>
                <w:rFonts w:ascii="Arial" w:cs="Arial" w:eastAsia="Arial" w:hAnsi="Arial"/>
                <w:sz w:val="18"/>
                <w:szCs w:val="18"/>
                <w:color w:val="auto"/>
              </w:rPr>
              <w:t>our review.</w:t>
            </w:r>
          </w:p>
        </w:tc>
        <w:tc>
          <w:tcPr>
            <w:tcW w:w="0" w:type="dxa"/>
            <w:vAlign w:val="bottom"/>
          </w:tcPr>
          <w:p>
            <w:pPr>
              <w:spacing w:after="0"/>
              <w:rPr>
                <w:sz w:val="1"/>
                <w:szCs w:val="1"/>
                <w:color w:val="auto"/>
              </w:rPr>
            </w:pPr>
          </w:p>
        </w:tc>
      </w:tr>
      <w:tr>
        <w:trPr>
          <w:trHeight w:val="418"/>
        </w:trPr>
        <w:tc>
          <w:tcPr>
            <w:tcW w:w="2280" w:type="dxa"/>
            <w:vAlign w:val="bottom"/>
          </w:tcPr>
          <w:p>
            <w:pPr>
              <w:spacing w:after="0"/>
              <w:rPr>
                <w:sz w:val="24"/>
                <w:szCs w:val="24"/>
                <w:color w:val="auto"/>
              </w:rPr>
            </w:pPr>
          </w:p>
        </w:tc>
        <w:tc>
          <w:tcPr>
            <w:tcW w:w="8960" w:type="dxa"/>
            <w:vAlign w:val="bottom"/>
          </w:tcPr>
          <w:p>
            <w:pPr>
              <w:ind w:left="760"/>
              <w:spacing w:after="0"/>
              <w:rPr>
                <w:sz w:val="20"/>
                <w:szCs w:val="20"/>
                <w:color w:val="auto"/>
              </w:rPr>
            </w:pPr>
            <w:r>
              <w:rPr>
                <w:rFonts w:ascii="Arial" w:cs="Arial" w:eastAsia="Arial" w:hAnsi="Arial"/>
                <w:sz w:val="18"/>
                <w:szCs w:val="18"/>
                <w:color w:val="auto"/>
                <w:w w:val="99"/>
              </w:rPr>
              <w:t>This opinion letter sets out our opinion on certain matters of the tax laws with general applicability of the</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8960" w:type="dxa"/>
            <w:vAlign w:val="bottom"/>
          </w:tcPr>
          <w:p>
            <w:pPr>
              <w:ind w:left="760"/>
              <w:spacing w:after="0"/>
              <w:rPr>
                <w:sz w:val="20"/>
                <w:szCs w:val="20"/>
                <w:color w:val="auto"/>
              </w:rPr>
            </w:pPr>
            <w:r>
              <w:rPr>
                <w:rFonts w:ascii="Arial" w:cs="Arial" w:eastAsia="Arial" w:hAnsi="Arial"/>
                <w:sz w:val="18"/>
                <w:szCs w:val="18"/>
                <w:color w:val="auto"/>
                <w:w w:val="91"/>
              </w:rPr>
              <w:t>Netherlands, and, insofar as they are directly applicable in the Netherlands, of the European Union, as at today's</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8960" w:type="dxa"/>
            <w:vAlign w:val="bottom"/>
          </w:tcPr>
          <w:p>
            <w:pPr>
              <w:ind w:left="760"/>
              <w:spacing w:after="0"/>
              <w:rPr>
                <w:sz w:val="20"/>
                <w:szCs w:val="20"/>
                <w:color w:val="auto"/>
              </w:rPr>
            </w:pPr>
            <w:r>
              <w:rPr>
                <w:rFonts w:ascii="Arial" w:cs="Arial" w:eastAsia="Arial" w:hAnsi="Arial"/>
                <w:sz w:val="18"/>
                <w:szCs w:val="18"/>
                <w:color w:val="auto"/>
                <w:w w:val="92"/>
              </w:rPr>
              <w:t>date and as presently interpreted under published authoritative case law of the Dutch courts, the General Court</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8960" w:type="dxa"/>
            <w:vAlign w:val="bottom"/>
          </w:tcPr>
          <w:p>
            <w:pPr>
              <w:ind w:left="760"/>
              <w:spacing w:after="0"/>
              <w:rPr>
                <w:sz w:val="20"/>
                <w:szCs w:val="20"/>
                <w:color w:val="auto"/>
              </w:rPr>
            </w:pPr>
            <w:r>
              <w:rPr>
                <w:rFonts w:ascii="Arial" w:cs="Arial" w:eastAsia="Arial" w:hAnsi="Arial"/>
                <w:sz w:val="18"/>
                <w:szCs w:val="18"/>
                <w:color w:val="auto"/>
                <w:w w:val="96"/>
              </w:rPr>
              <w:t>and the Court of Justice of the European Union. We do not express any opinion on Dutch law or European</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8960" w:type="dxa"/>
            <w:vAlign w:val="bottom"/>
          </w:tcPr>
          <w:p>
            <w:pPr>
              <w:ind w:left="760"/>
              <w:spacing w:after="0"/>
              <w:rPr>
                <w:sz w:val="20"/>
                <w:szCs w:val="20"/>
                <w:color w:val="auto"/>
              </w:rPr>
            </w:pPr>
            <w:r>
              <w:rPr>
                <w:rFonts w:ascii="Arial" w:cs="Arial" w:eastAsia="Arial" w:hAnsi="Arial"/>
                <w:sz w:val="18"/>
                <w:szCs w:val="18"/>
                <w:color w:val="auto"/>
                <w:w w:val="90"/>
              </w:rPr>
              <w:t>competition law, data protection law or regulatory law. No undertaking is assumed on our part to revise, update or</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8960" w:type="dxa"/>
            <w:vAlign w:val="bottom"/>
          </w:tcPr>
          <w:p>
            <w:pPr>
              <w:ind w:left="760"/>
              <w:spacing w:after="0"/>
              <w:rPr>
                <w:sz w:val="20"/>
                <w:szCs w:val="20"/>
                <w:color w:val="auto"/>
              </w:rPr>
            </w:pPr>
            <w:r>
              <w:rPr>
                <w:rFonts w:ascii="Arial" w:cs="Arial" w:eastAsia="Arial" w:hAnsi="Arial"/>
                <w:sz w:val="18"/>
                <w:szCs w:val="18"/>
                <w:color w:val="auto"/>
                <w:w w:val="94"/>
              </w:rPr>
              <w:t>amend this opinion letter in connection with or to notify or inform you of, any developments and/or changes of</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8960" w:type="dxa"/>
            <w:vAlign w:val="bottom"/>
          </w:tcPr>
          <w:p>
            <w:pPr>
              <w:ind w:left="760"/>
              <w:spacing w:after="0"/>
              <w:rPr>
                <w:sz w:val="20"/>
                <w:szCs w:val="20"/>
                <w:color w:val="auto"/>
              </w:rPr>
            </w:pPr>
            <w:r>
              <w:rPr>
                <w:rFonts w:ascii="Arial" w:cs="Arial" w:eastAsia="Arial" w:hAnsi="Arial"/>
                <w:sz w:val="18"/>
                <w:szCs w:val="18"/>
                <w:color w:val="auto"/>
                <w:w w:val="93"/>
              </w:rPr>
              <w:t>Dutch law subsequent to today's date. We do not purport to opine on the consequences of amendments to the</w:t>
            </w:r>
          </w:p>
        </w:tc>
        <w:tc>
          <w:tcPr>
            <w:tcW w:w="0" w:type="dxa"/>
            <w:vAlign w:val="bottom"/>
          </w:tcPr>
          <w:p>
            <w:pPr>
              <w:spacing w:after="0"/>
              <w:rPr>
                <w:sz w:val="1"/>
                <w:szCs w:val="1"/>
                <w:color w:val="auto"/>
              </w:rPr>
            </w:pPr>
          </w:p>
        </w:tc>
      </w:tr>
      <w:tr>
        <w:trPr>
          <w:trHeight w:val="230"/>
        </w:trPr>
        <w:tc>
          <w:tcPr>
            <w:tcW w:w="2280" w:type="dxa"/>
            <w:vAlign w:val="bottom"/>
            <w:vMerge w:val="restart"/>
          </w:tcPr>
          <w:p>
            <w:pPr>
              <w:spacing w:after="0"/>
              <w:rPr>
                <w:sz w:val="20"/>
                <w:szCs w:val="20"/>
                <w:color w:val="auto"/>
              </w:rPr>
            </w:pPr>
            <w:r>
              <w:rPr>
                <w:rFonts w:ascii="Arial" w:cs="Arial" w:eastAsia="Arial" w:hAnsi="Arial"/>
                <w:sz w:val="18"/>
                <w:szCs w:val="18"/>
                <w:color w:val="auto"/>
              </w:rPr>
              <w:t>Amsterdam</w:t>
            </w:r>
          </w:p>
        </w:tc>
        <w:tc>
          <w:tcPr>
            <w:tcW w:w="8960" w:type="dxa"/>
            <w:vAlign w:val="bottom"/>
          </w:tcPr>
          <w:p>
            <w:pPr>
              <w:ind w:left="760"/>
              <w:spacing w:after="0"/>
              <w:rPr>
                <w:sz w:val="20"/>
                <w:szCs w:val="20"/>
                <w:color w:val="auto"/>
              </w:rPr>
            </w:pPr>
            <w:r>
              <w:rPr>
                <w:rFonts w:ascii="Arial" w:cs="Arial" w:eastAsia="Arial" w:hAnsi="Arial"/>
                <w:sz w:val="18"/>
                <w:szCs w:val="18"/>
                <w:color w:val="auto"/>
              </w:rPr>
              <w:t>Registration Statement subsequent to the date of this opinion letter.</w:t>
            </w:r>
          </w:p>
        </w:tc>
        <w:tc>
          <w:tcPr>
            <w:tcW w:w="0" w:type="dxa"/>
            <w:vAlign w:val="bottom"/>
          </w:tcPr>
          <w:p>
            <w:pPr>
              <w:spacing w:after="0"/>
              <w:rPr>
                <w:sz w:val="1"/>
                <w:szCs w:val="1"/>
                <w:color w:val="auto"/>
              </w:rPr>
            </w:pPr>
          </w:p>
        </w:tc>
      </w:tr>
      <w:tr>
        <w:trPr>
          <w:trHeight w:val="189"/>
        </w:trPr>
        <w:tc>
          <w:tcPr>
            <w:tcW w:w="2280" w:type="dxa"/>
            <w:vAlign w:val="bottom"/>
            <w:vMerge w:val="continue"/>
          </w:tcPr>
          <w:p>
            <w:pPr>
              <w:spacing w:after="0"/>
              <w:rPr>
                <w:sz w:val="16"/>
                <w:szCs w:val="16"/>
                <w:color w:val="auto"/>
              </w:rPr>
            </w:pPr>
          </w:p>
        </w:tc>
        <w:tc>
          <w:tcPr>
            <w:tcW w:w="8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280" w:type="dxa"/>
            <w:vAlign w:val="bottom"/>
            <w:vMerge w:val="restart"/>
          </w:tcPr>
          <w:p>
            <w:pPr>
              <w:spacing w:after="0"/>
              <w:rPr>
                <w:sz w:val="20"/>
                <w:szCs w:val="20"/>
                <w:color w:val="auto"/>
              </w:rPr>
            </w:pPr>
            <w:r>
              <w:rPr>
                <w:rFonts w:ascii="Arial" w:cs="Arial" w:eastAsia="Arial" w:hAnsi="Arial"/>
                <w:sz w:val="18"/>
                <w:szCs w:val="18"/>
                <w:color w:val="auto"/>
              </w:rPr>
              <w:t>Brussels</w:t>
            </w:r>
          </w:p>
        </w:tc>
        <w:tc>
          <w:tcPr>
            <w:tcW w:w="8960" w:type="dxa"/>
            <w:vAlign w:val="bottom"/>
          </w:tcPr>
          <w:p>
            <w:pPr>
              <w:ind w:left="760"/>
              <w:spacing w:after="0"/>
              <w:rPr>
                <w:sz w:val="20"/>
                <w:szCs w:val="20"/>
                <w:color w:val="auto"/>
              </w:rPr>
            </w:pPr>
            <w:r>
              <w:rPr>
                <w:rFonts w:ascii="Arial" w:cs="Arial" w:eastAsia="Arial" w:hAnsi="Arial"/>
                <w:sz w:val="18"/>
                <w:szCs w:val="18"/>
                <w:color w:val="auto"/>
                <w:w w:val="92"/>
              </w:rPr>
              <w:t>The opinion expressed in this opinion letter is to be construed and interpreted in accordance with Dutch tax law.</w:t>
            </w:r>
          </w:p>
        </w:tc>
        <w:tc>
          <w:tcPr>
            <w:tcW w:w="0" w:type="dxa"/>
            <w:vAlign w:val="bottom"/>
          </w:tcPr>
          <w:p>
            <w:pPr>
              <w:spacing w:after="0"/>
              <w:rPr>
                <w:sz w:val="1"/>
                <w:szCs w:val="1"/>
                <w:color w:val="auto"/>
              </w:rPr>
            </w:pPr>
          </w:p>
        </w:tc>
      </w:tr>
      <w:tr>
        <w:trPr>
          <w:trHeight w:val="216"/>
        </w:trPr>
        <w:tc>
          <w:tcPr>
            <w:tcW w:w="2280" w:type="dxa"/>
            <w:vAlign w:val="bottom"/>
            <w:vMerge w:val="continue"/>
          </w:tcPr>
          <w:p>
            <w:pPr>
              <w:spacing w:after="0"/>
              <w:rPr>
                <w:sz w:val="18"/>
                <w:szCs w:val="18"/>
                <w:color w:val="auto"/>
              </w:rPr>
            </w:pPr>
          </w:p>
        </w:tc>
        <w:tc>
          <w:tcPr>
            <w:tcW w:w="8960" w:type="dxa"/>
            <w:vAlign w:val="bottom"/>
          </w:tcPr>
          <w:p>
            <w:pPr>
              <w:ind w:left="760"/>
              <w:spacing w:after="0"/>
              <w:rPr>
                <w:sz w:val="20"/>
                <w:szCs w:val="20"/>
                <w:color w:val="auto"/>
              </w:rPr>
            </w:pPr>
            <w:r>
              <w:rPr>
                <w:rFonts w:ascii="Arial" w:cs="Arial" w:eastAsia="Arial" w:hAnsi="Arial"/>
                <w:sz w:val="18"/>
                <w:szCs w:val="18"/>
                <w:color w:val="auto"/>
                <w:w w:val="99"/>
              </w:rPr>
              <w:t>The competent courts at Amsterdam, the Netherlands, have exclusive jurisdiction to settle any issues of</w:t>
            </w:r>
          </w:p>
        </w:tc>
        <w:tc>
          <w:tcPr>
            <w:tcW w:w="0" w:type="dxa"/>
            <w:vAlign w:val="bottom"/>
          </w:tcPr>
          <w:p>
            <w:pPr>
              <w:spacing w:after="0"/>
              <w:rPr>
                <w:sz w:val="1"/>
                <w:szCs w:val="1"/>
                <w:color w:val="auto"/>
              </w:rPr>
            </w:pPr>
          </w:p>
        </w:tc>
      </w:tr>
      <w:tr>
        <w:trPr>
          <w:trHeight w:val="216"/>
        </w:trPr>
        <w:tc>
          <w:tcPr>
            <w:tcW w:w="2280" w:type="dxa"/>
            <w:vAlign w:val="bottom"/>
            <w:vMerge w:val="restart"/>
          </w:tcPr>
          <w:p>
            <w:pPr>
              <w:spacing w:after="0"/>
              <w:rPr>
                <w:sz w:val="20"/>
                <w:szCs w:val="20"/>
                <w:color w:val="auto"/>
              </w:rPr>
            </w:pPr>
            <w:r>
              <w:rPr>
                <w:rFonts w:ascii="Arial" w:cs="Arial" w:eastAsia="Arial" w:hAnsi="Arial"/>
                <w:sz w:val="18"/>
                <w:szCs w:val="18"/>
                <w:color w:val="auto"/>
              </w:rPr>
              <w:t>London</w:t>
            </w:r>
          </w:p>
        </w:tc>
        <w:tc>
          <w:tcPr>
            <w:tcW w:w="8960" w:type="dxa"/>
            <w:vAlign w:val="bottom"/>
          </w:tcPr>
          <w:p>
            <w:pPr>
              <w:ind w:left="760"/>
              <w:spacing w:after="0"/>
              <w:rPr>
                <w:sz w:val="20"/>
                <w:szCs w:val="20"/>
                <w:color w:val="auto"/>
              </w:rPr>
            </w:pPr>
            <w:r>
              <w:rPr>
                <w:rFonts w:ascii="Arial" w:cs="Arial" w:eastAsia="Arial" w:hAnsi="Arial"/>
                <w:sz w:val="18"/>
                <w:szCs w:val="18"/>
                <w:color w:val="auto"/>
                <w:w w:val="93"/>
              </w:rPr>
              <w:t>interpretation or liability arising out of or in connection with this opinion letter. Any legal relationship arising out</w:t>
            </w:r>
          </w:p>
        </w:tc>
        <w:tc>
          <w:tcPr>
            <w:tcW w:w="0" w:type="dxa"/>
            <w:vAlign w:val="bottom"/>
          </w:tcPr>
          <w:p>
            <w:pPr>
              <w:spacing w:after="0"/>
              <w:rPr>
                <w:sz w:val="1"/>
                <w:szCs w:val="1"/>
                <w:color w:val="auto"/>
              </w:rPr>
            </w:pPr>
          </w:p>
        </w:tc>
      </w:tr>
      <w:tr>
        <w:trPr>
          <w:trHeight w:val="216"/>
        </w:trPr>
        <w:tc>
          <w:tcPr>
            <w:tcW w:w="2280" w:type="dxa"/>
            <w:vAlign w:val="bottom"/>
            <w:vMerge w:val="continue"/>
          </w:tcPr>
          <w:p>
            <w:pPr>
              <w:spacing w:after="0"/>
              <w:rPr>
                <w:sz w:val="18"/>
                <w:szCs w:val="18"/>
                <w:color w:val="auto"/>
              </w:rPr>
            </w:pPr>
          </w:p>
        </w:tc>
        <w:tc>
          <w:tcPr>
            <w:tcW w:w="8960" w:type="dxa"/>
            <w:vAlign w:val="bottom"/>
          </w:tcPr>
          <w:p>
            <w:pPr>
              <w:ind w:left="760"/>
              <w:spacing w:after="0"/>
              <w:rPr>
                <w:sz w:val="20"/>
                <w:szCs w:val="20"/>
                <w:color w:val="auto"/>
              </w:rPr>
            </w:pPr>
            <w:r>
              <w:rPr>
                <w:rFonts w:ascii="Arial" w:cs="Arial" w:eastAsia="Arial" w:hAnsi="Arial"/>
                <w:sz w:val="18"/>
                <w:szCs w:val="18"/>
                <w:color w:val="auto"/>
              </w:rPr>
              <w:t>of or in connection with this opinion letter (whether contractual or non-contractual), including the above</w:t>
            </w:r>
          </w:p>
        </w:tc>
        <w:tc>
          <w:tcPr>
            <w:tcW w:w="0" w:type="dxa"/>
            <w:vAlign w:val="bottom"/>
          </w:tcPr>
          <w:p>
            <w:pPr>
              <w:spacing w:after="0"/>
              <w:rPr>
                <w:sz w:val="1"/>
                <w:szCs w:val="1"/>
                <w:color w:val="auto"/>
              </w:rPr>
            </w:pPr>
          </w:p>
        </w:tc>
      </w:tr>
      <w:tr>
        <w:trPr>
          <w:trHeight w:val="216"/>
        </w:trPr>
        <w:tc>
          <w:tcPr>
            <w:tcW w:w="2280" w:type="dxa"/>
            <w:vAlign w:val="bottom"/>
            <w:vMerge w:val="restart"/>
          </w:tcPr>
          <w:p>
            <w:pPr>
              <w:spacing w:after="0"/>
              <w:rPr>
                <w:sz w:val="20"/>
                <w:szCs w:val="20"/>
                <w:color w:val="auto"/>
              </w:rPr>
            </w:pPr>
            <w:r>
              <w:rPr>
                <w:rFonts w:ascii="Arial" w:cs="Arial" w:eastAsia="Arial" w:hAnsi="Arial"/>
                <w:sz w:val="18"/>
                <w:szCs w:val="18"/>
                <w:color w:val="auto"/>
              </w:rPr>
              <w:t>Luxemburg</w:t>
            </w:r>
          </w:p>
        </w:tc>
        <w:tc>
          <w:tcPr>
            <w:tcW w:w="8960" w:type="dxa"/>
            <w:vAlign w:val="bottom"/>
          </w:tcPr>
          <w:p>
            <w:pPr>
              <w:ind w:left="760"/>
              <w:spacing w:after="0"/>
              <w:rPr>
                <w:sz w:val="20"/>
                <w:szCs w:val="20"/>
                <w:color w:val="auto"/>
              </w:rPr>
            </w:pPr>
            <w:r>
              <w:rPr>
                <w:rFonts w:ascii="Arial" w:cs="Arial" w:eastAsia="Arial" w:hAnsi="Arial"/>
                <w:sz w:val="18"/>
                <w:szCs w:val="18"/>
                <w:color w:val="auto"/>
                <w:w w:val="92"/>
              </w:rPr>
              <w:t>submission to jurisdiction, is governed by Dutch law and shall be subject to the general terms and conditions of</w:t>
            </w:r>
          </w:p>
        </w:tc>
        <w:tc>
          <w:tcPr>
            <w:tcW w:w="0" w:type="dxa"/>
            <w:vAlign w:val="bottom"/>
          </w:tcPr>
          <w:p>
            <w:pPr>
              <w:spacing w:after="0"/>
              <w:rPr>
                <w:sz w:val="1"/>
                <w:szCs w:val="1"/>
                <w:color w:val="auto"/>
              </w:rPr>
            </w:pPr>
          </w:p>
        </w:tc>
      </w:tr>
      <w:tr>
        <w:trPr>
          <w:trHeight w:val="216"/>
        </w:trPr>
        <w:tc>
          <w:tcPr>
            <w:tcW w:w="2280" w:type="dxa"/>
            <w:vAlign w:val="bottom"/>
            <w:vMerge w:val="continue"/>
          </w:tcPr>
          <w:p>
            <w:pPr>
              <w:spacing w:after="0"/>
              <w:rPr>
                <w:sz w:val="18"/>
                <w:szCs w:val="18"/>
                <w:color w:val="auto"/>
              </w:rPr>
            </w:pPr>
          </w:p>
        </w:tc>
        <w:tc>
          <w:tcPr>
            <w:tcW w:w="8960" w:type="dxa"/>
            <w:vAlign w:val="bottom"/>
          </w:tcPr>
          <w:p>
            <w:pPr>
              <w:ind w:left="760"/>
              <w:spacing w:after="0"/>
              <w:rPr>
                <w:sz w:val="20"/>
                <w:szCs w:val="20"/>
                <w:color w:val="auto"/>
              </w:rPr>
            </w:pPr>
            <w:r>
              <w:rPr>
                <w:rFonts w:ascii="Arial" w:cs="Arial" w:eastAsia="Arial" w:hAnsi="Arial"/>
                <w:sz w:val="18"/>
                <w:szCs w:val="18"/>
                <w:color w:val="auto"/>
                <w:w w:val="96"/>
              </w:rPr>
              <w:t>NautaDutilh. Any liability arising out of or in connection with this opinion letter shall be limited to the amount</w:t>
            </w:r>
          </w:p>
        </w:tc>
        <w:tc>
          <w:tcPr>
            <w:tcW w:w="0" w:type="dxa"/>
            <w:vAlign w:val="bottom"/>
          </w:tcPr>
          <w:p>
            <w:pPr>
              <w:spacing w:after="0"/>
              <w:rPr>
                <w:sz w:val="1"/>
                <w:szCs w:val="1"/>
                <w:color w:val="auto"/>
              </w:rPr>
            </w:pPr>
          </w:p>
        </w:tc>
      </w:tr>
      <w:tr>
        <w:trPr>
          <w:trHeight w:val="216"/>
        </w:trPr>
        <w:tc>
          <w:tcPr>
            <w:tcW w:w="2280" w:type="dxa"/>
            <w:vAlign w:val="bottom"/>
            <w:vMerge w:val="restart"/>
          </w:tcPr>
          <w:p>
            <w:pPr>
              <w:spacing w:after="0"/>
              <w:rPr>
                <w:sz w:val="20"/>
                <w:szCs w:val="20"/>
                <w:color w:val="auto"/>
              </w:rPr>
            </w:pPr>
            <w:r>
              <w:rPr>
                <w:rFonts w:ascii="Arial" w:cs="Arial" w:eastAsia="Arial" w:hAnsi="Arial"/>
                <w:sz w:val="18"/>
                <w:szCs w:val="18"/>
                <w:color w:val="auto"/>
              </w:rPr>
              <w:t>New York</w:t>
            </w:r>
          </w:p>
        </w:tc>
        <w:tc>
          <w:tcPr>
            <w:tcW w:w="8960" w:type="dxa"/>
            <w:vAlign w:val="bottom"/>
          </w:tcPr>
          <w:p>
            <w:pPr>
              <w:ind w:left="760"/>
              <w:spacing w:after="0"/>
              <w:rPr>
                <w:sz w:val="20"/>
                <w:szCs w:val="20"/>
                <w:color w:val="auto"/>
              </w:rPr>
            </w:pPr>
            <w:r>
              <w:rPr>
                <w:rFonts w:ascii="Arial" w:cs="Arial" w:eastAsia="Arial" w:hAnsi="Arial"/>
                <w:sz w:val="18"/>
                <w:szCs w:val="18"/>
                <w:color w:val="auto"/>
              </w:rPr>
              <w:t>which is paid out under NautaDutilh's insurance policy in the matter concerned. No person other than</w:t>
            </w:r>
          </w:p>
        </w:tc>
        <w:tc>
          <w:tcPr>
            <w:tcW w:w="0" w:type="dxa"/>
            <w:vAlign w:val="bottom"/>
          </w:tcPr>
          <w:p>
            <w:pPr>
              <w:spacing w:after="0"/>
              <w:rPr>
                <w:sz w:val="1"/>
                <w:szCs w:val="1"/>
                <w:color w:val="auto"/>
              </w:rPr>
            </w:pPr>
          </w:p>
        </w:tc>
      </w:tr>
      <w:tr>
        <w:trPr>
          <w:trHeight w:val="230"/>
        </w:trPr>
        <w:tc>
          <w:tcPr>
            <w:tcW w:w="2280" w:type="dxa"/>
            <w:vAlign w:val="bottom"/>
            <w:vMerge w:val="continue"/>
          </w:tcPr>
          <w:p>
            <w:pPr>
              <w:spacing w:after="0"/>
              <w:rPr>
                <w:sz w:val="20"/>
                <w:szCs w:val="20"/>
                <w:color w:val="auto"/>
              </w:rPr>
            </w:pPr>
          </w:p>
        </w:tc>
        <w:tc>
          <w:tcPr>
            <w:tcW w:w="8960" w:type="dxa"/>
            <w:vAlign w:val="bottom"/>
          </w:tcPr>
          <w:p>
            <w:pPr>
              <w:ind w:left="760"/>
              <w:spacing w:after="0"/>
              <w:rPr>
                <w:sz w:val="20"/>
                <w:szCs w:val="20"/>
                <w:color w:val="auto"/>
              </w:rPr>
            </w:pPr>
            <w:r>
              <w:rPr>
                <w:rFonts w:ascii="Arial" w:cs="Arial" w:eastAsia="Arial" w:hAnsi="Arial"/>
                <w:sz w:val="18"/>
                <w:szCs w:val="18"/>
                <w:color w:val="auto"/>
              </w:rPr>
              <w:t>NautaDutilh may be held liable in connection with this opinion letter.</w:t>
            </w:r>
          </w:p>
        </w:tc>
        <w:tc>
          <w:tcPr>
            <w:tcW w:w="0" w:type="dxa"/>
            <w:vAlign w:val="bottom"/>
          </w:tcPr>
          <w:p>
            <w:pPr>
              <w:spacing w:after="0"/>
              <w:rPr>
                <w:sz w:val="1"/>
                <w:szCs w:val="1"/>
                <w:color w:val="auto"/>
              </w:rPr>
            </w:pPr>
          </w:p>
        </w:tc>
      </w:tr>
      <w:tr>
        <w:trPr>
          <w:trHeight w:val="405"/>
        </w:trPr>
        <w:tc>
          <w:tcPr>
            <w:tcW w:w="2280" w:type="dxa"/>
            <w:vAlign w:val="bottom"/>
          </w:tcPr>
          <w:p>
            <w:pPr>
              <w:spacing w:after="0"/>
              <w:rPr>
                <w:sz w:val="20"/>
                <w:szCs w:val="20"/>
                <w:color w:val="auto"/>
              </w:rPr>
            </w:pPr>
            <w:r>
              <w:rPr>
                <w:rFonts w:ascii="Arial" w:cs="Arial" w:eastAsia="Arial" w:hAnsi="Arial"/>
                <w:sz w:val="18"/>
                <w:szCs w:val="18"/>
                <w:color w:val="auto"/>
              </w:rPr>
              <w:t>Rotterdam</w:t>
            </w:r>
          </w:p>
        </w:tc>
        <w:tc>
          <w:tcPr>
            <w:tcW w:w="8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2280" w:type="dxa"/>
            <w:vAlign w:val="bottom"/>
            <w:tcBorders>
              <w:bottom w:val="single" w:sz="8" w:color="auto"/>
            </w:tcBorders>
          </w:tcPr>
          <w:p>
            <w:pPr>
              <w:spacing w:after="0"/>
              <w:rPr>
                <w:sz w:val="24"/>
                <w:szCs w:val="24"/>
                <w:color w:val="auto"/>
              </w:rPr>
            </w:pPr>
          </w:p>
        </w:tc>
        <w:tc>
          <w:tcPr>
            <w:tcW w:w="8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8" w:right="339" w:bottom="1440" w:gutter="0" w:footer="0" w:header="0"/>
        </w:sectPr>
      </w:pPr>
    </w:p>
    <w:bookmarkStart w:id="439" w:name="page440"/>
    <w:bookmarkEnd w:id="439"/>
    <w:p>
      <w:pPr>
        <w:ind w:left="60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3782695</wp:posOffset>
            </wp:positionH>
            <wp:positionV relativeFrom="page">
              <wp:posOffset>157480</wp:posOffset>
            </wp:positionV>
            <wp:extent cx="1388745" cy="24003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49">
                      <a:clrChange>
                        <a:clrFrom>
                          <a:srgbClr val="FFFFFF"/>
                        </a:clrFrom>
                        <a:clrTo>
                          <a:srgbClr val="FFFFFF">
                            <a:alpha val="0"/>
                          </a:srgbClr>
                        </a:clrTo>
                      </a:clrChange>
                      <a:extLst>
                        <a:ext uri="{28A0092B-C50C-407E-A947-70E740481C1C}"/>
                      </a:extLst>
                    </a:blip>
                    <a:srcRect/>
                    <a:stretch>
                      <a:fillRect/>
                    </a:stretch>
                  </pic:blipFill>
                  <pic:spPr bwMode="auto">
                    <a:xfrm>
                      <a:off x="0" y="0"/>
                      <a:ext cx="1388745" cy="240030"/>
                    </a:xfrm>
                    <a:prstGeom prst="rect">
                      <a:avLst/>
                    </a:prstGeom>
                    <a:noFill/>
                  </pic:spPr>
                </pic:pic>
              </a:graphicData>
            </a:graphic>
          </wp:anchor>
        </w:drawing>
        <w:t>2</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In this opinion letter and in the Dutch Tax Summary, legal and tax concepts are expressed in English terms. The Dutch legal and tax concepts concerned may not be identical in meaning to the concepts described by the English terms as they exist under the law of other jurisdictions. In the event of a conflict or inconsistency, the relevant expression shall be deemed to refer only to the Dutch legal and tax concepts described by the English terms.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this opinion letter, we have assumed that:</w:t>
      </w:r>
    </w:p>
    <w:p>
      <w:pPr>
        <w:spacing w:after="0" w:line="225" w:lineRule="exact"/>
        <w:rPr>
          <w:sz w:val="20"/>
          <w:szCs w:val="20"/>
          <w:color w:val="auto"/>
        </w:rPr>
      </w:pPr>
    </w:p>
    <w:p>
      <w:pPr>
        <w:ind w:left="660" w:hanging="328"/>
        <w:spacing w:after="0"/>
        <w:tabs>
          <w:tab w:leader="none" w:pos="6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Registration Statement has been or will be declared effective by the SEC in the form reviewed by us;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place of effective management of the Company is in Germany, and not in the Netherlands, and the Company will therefore be solely a tax resident of Germany under German national tax law.</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Based upon and subject to the foregoing and subject to any matters, documents or events not disclosed to us, we express the following opinion: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Dutch Tax Summary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Dutch Tax Summary constitutes our opinion, is true and accurate and provides a fair summary of the matters of Dutch tax law described therein.</w:t>
      </w:r>
    </w:p>
    <w:p>
      <w:pPr>
        <w:spacing w:after="0" w:line="2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consent to the filing of this opinion letter as an exhibit to the Registration Statement and also consent to the reference to NautaDutilh in the Registration Statement under the caption "Legal Matters". In giving this consent we do not admit or imply that we are a person whose consent is required under Section 7 of the United States Securities Act of 1933, as amended, or any rules and regulations promulgated thereunder.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NautaDutilh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440" w:name="page441"/>
    <w:bookmarkEnd w:id="440"/>
    <w:tbl>
      <w:tblPr>
        <w:tblLayout w:type="fixed"/>
        <w:tblInd w:w="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p>
        </w:tc>
        <w:tc>
          <w:tcPr>
            <w:tcW w:w="8860" w:type="dxa"/>
            <w:vAlign w:val="bottom"/>
          </w:tcPr>
          <w:p>
            <w:pPr>
              <w:ind w:left="3700"/>
              <w:spacing w:after="0"/>
              <w:rPr>
                <w:sz w:val="20"/>
                <w:szCs w:val="20"/>
                <w:color w:val="auto"/>
              </w:rPr>
            </w:pPr>
            <w:r>
              <w:rPr>
                <w:rFonts w:ascii="Arial" w:cs="Arial" w:eastAsia="Arial" w:hAnsi="Arial"/>
                <w:sz w:val="18"/>
                <w:szCs w:val="18"/>
                <w:color w:val="auto"/>
              </w:rPr>
              <w:t>3</w:t>
            </w:r>
          </w:p>
        </w:tc>
      </w:tr>
      <w:tr>
        <w:trPr>
          <w:trHeight w:val="630"/>
        </w:trPr>
        <w:tc>
          <w:tcPr>
            <w:tcW w:w="2380" w:type="dxa"/>
            <w:vAlign w:val="bottom"/>
          </w:tcPr>
          <w:p>
            <w:pPr>
              <w:spacing w:after="0"/>
              <w:rPr>
                <w:sz w:val="20"/>
                <w:szCs w:val="20"/>
                <w:color w:val="auto"/>
              </w:rPr>
            </w:pPr>
            <w:r>
              <w:rPr>
                <w:rFonts w:ascii="Arial" w:cs="Arial" w:eastAsia="Arial" w:hAnsi="Arial"/>
                <w:sz w:val="18"/>
                <w:szCs w:val="18"/>
                <w:b w:val="1"/>
                <w:bCs w:val="1"/>
                <w:color w:val="auto"/>
              </w:rPr>
              <w:t>EXHIBIT A</w:t>
            </w:r>
          </w:p>
        </w:tc>
        <w:tc>
          <w:tcPr>
            <w:tcW w:w="8860" w:type="dxa"/>
            <w:vAlign w:val="bottom"/>
          </w:tcPr>
          <w:p>
            <w:pPr>
              <w:spacing w:after="0"/>
              <w:rPr>
                <w:sz w:val="24"/>
                <w:szCs w:val="24"/>
                <w:color w:val="auto"/>
              </w:rPr>
            </w:pPr>
          </w:p>
        </w:tc>
      </w:tr>
      <w:tr>
        <w:trPr>
          <w:trHeight w:val="234"/>
        </w:trPr>
        <w:tc>
          <w:tcPr>
            <w:tcW w:w="2380" w:type="dxa"/>
            <w:vAlign w:val="bottom"/>
          </w:tcPr>
          <w:p>
            <w:pPr>
              <w:spacing w:after="0"/>
              <w:rPr>
                <w:sz w:val="20"/>
                <w:szCs w:val="20"/>
                <w:color w:val="auto"/>
              </w:rPr>
            </w:pPr>
            <w:r>
              <w:rPr>
                <w:rFonts w:ascii="Arial" w:cs="Arial" w:eastAsia="Arial" w:hAnsi="Arial"/>
                <w:sz w:val="18"/>
                <w:szCs w:val="18"/>
                <w:b w:val="1"/>
                <w:bCs w:val="1"/>
                <w:color w:val="auto"/>
              </w:rPr>
              <w:t>LIST OF DEFINITIONS</w:t>
            </w:r>
          </w:p>
        </w:tc>
        <w:tc>
          <w:tcPr>
            <w:tcW w:w="8860" w:type="dxa"/>
            <w:vAlign w:val="bottom"/>
          </w:tcPr>
          <w:p>
            <w:pPr>
              <w:spacing w:after="0"/>
              <w:rPr>
                <w:sz w:val="20"/>
                <w:szCs w:val="20"/>
                <w:color w:val="auto"/>
              </w:rPr>
            </w:pPr>
          </w:p>
        </w:tc>
      </w:tr>
      <w:tr>
        <w:trPr>
          <w:trHeight w:val="432"/>
        </w:trPr>
        <w:tc>
          <w:tcPr>
            <w:tcW w:w="23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Commercial Register</w:t>
            </w:r>
            <w:r>
              <w:rPr>
                <w:rFonts w:ascii="Arial" w:cs="Arial" w:eastAsia="Arial" w:hAnsi="Arial"/>
                <w:sz w:val="18"/>
                <w:szCs w:val="18"/>
                <w:color w:val="auto"/>
              </w:rPr>
              <w:t>"</w:t>
            </w:r>
          </w:p>
        </w:tc>
        <w:tc>
          <w:tcPr>
            <w:tcW w:w="8860" w:type="dxa"/>
            <w:vAlign w:val="bottom"/>
          </w:tcPr>
          <w:p>
            <w:pPr>
              <w:ind w:left="440"/>
              <w:spacing w:after="0"/>
              <w:rPr>
                <w:sz w:val="20"/>
                <w:szCs w:val="20"/>
                <w:color w:val="auto"/>
              </w:rPr>
            </w:pPr>
            <w:r>
              <w:rPr>
                <w:rFonts w:ascii="Arial" w:cs="Arial" w:eastAsia="Arial" w:hAnsi="Arial"/>
                <w:sz w:val="18"/>
                <w:szCs w:val="18"/>
                <w:color w:val="auto"/>
              </w:rPr>
              <w:t>The Dutch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w:t>
            </w:r>
          </w:p>
        </w:tc>
      </w:tr>
      <w:tr>
        <w:trPr>
          <w:trHeight w:val="432"/>
        </w:trPr>
        <w:tc>
          <w:tcPr>
            <w:tcW w:w="23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Shares</w:t>
            </w:r>
            <w:r>
              <w:rPr>
                <w:rFonts w:ascii="Arial" w:cs="Arial" w:eastAsia="Arial" w:hAnsi="Arial"/>
                <w:sz w:val="18"/>
                <w:szCs w:val="18"/>
                <w:color w:val="auto"/>
              </w:rPr>
              <w:t>"</w:t>
            </w:r>
          </w:p>
        </w:tc>
        <w:tc>
          <w:tcPr>
            <w:tcW w:w="8860" w:type="dxa"/>
            <w:vAlign w:val="bottom"/>
          </w:tcPr>
          <w:p>
            <w:pPr>
              <w:ind w:left="440"/>
              <w:spacing w:after="0"/>
              <w:rPr>
                <w:sz w:val="20"/>
                <w:szCs w:val="20"/>
                <w:color w:val="auto"/>
              </w:rPr>
            </w:pPr>
            <w:r>
              <w:rPr>
                <w:rFonts w:ascii="Arial" w:cs="Arial" w:eastAsia="Arial" w:hAnsi="Arial"/>
                <w:sz w:val="18"/>
                <w:szCs w:val="18"/>
                <w:color w:val="auto"/>
              </w:rPr>
              <w:t>Common shares in the Company's capital, with a nominal value of EUR 0.12 each.</w:t>
            </w:r>
          </w:p>
        </w:tc>
      </w:tr>
      <w:tr>
        <w:trPr>
          <w:trHeight w:val="418"/>
        </w:trPr>
        <w:tc>
          <w:tcPr>
            <w:tcW w:w="23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w:t>
            </w:r>
          </w:p>
        </w:tc>
        <w:tc>
          <w:tcPr>
            <w:tcW w:w="8860" w:type="dxa"/>
            <w:vAlign w:val="bottom"/>
          </w:tcPr>
          <w:p>
            <w:pPr>
              <w:ind w:left="440"/>
              <w:spacing w:after="0"/>
              <w:rPr>
                <w:sz w:val="20"/>
                <w:szCs w:val="20"/>
                <w:color w:val="auto"/>
              </w:rPr>
            </w:pPr>
            <w:r>
              <w:rPr>
                <w:rFonts w:ascii="Arial" w:cs="Arial" w:eastAsia="Arial" w:hAnsi="Arial"/>
                <w:sz w:val="18"/>
                <w:szCs w:val="18"/>
                <w:color w:val="auto"/>
                <w:w w:val="91"/>
              </w:rPr>
              <w:t>CureVac N.V., a public company (</w:t>
            </w:r>
            <w:r>
              <w:rPr>
                <w:rFonts w:ascii="Arial" w:cs="Arial" w:eastAsia="Arial" w:hAnsi="Arial"/>
                <w:sz w:val="18"/>
                <w:szCs w:val="18"/>
                <w:i w:val="1"/>
                <w:iCs w:val="1"/>
                <w:color w:val="auto"/>
                <w:w w:val="91"/>
              </w:rPr>
              <w:t>naamloze vennootschap</w:t>
            </w:r>
            <w:r>
              <w:rPr>
                <w:rFonts w:ascii="Arial" w:cs="Arial" w:eastAsia="Arial" w:hAnsi="Arial"/>
                <w:sz w:val="18"/>
                <w:szCs w:val="18"/>
                <w:color w:val="auto"/>
                <w:w w:val="91"/>
              </w:rPr>
              <w:t>), registered with the Commercial Register under number</w:t>
            </w:r>
          </w:p>
        </w:tc>
      </w:tr>
      <w:tr>
        <w:trPr>
          <w:trHeight w:val="230"/>
        </w:trPr>
        <w:tc>
          <w:tcPr>
            <w:tcW w:w="2380" w:type="dxa"/>
            <w:vAlign w:val="bottom"/>
          </w:tcPr>
          <w:p>
            <w:pPr>
              <w:spacing w:after="0"/>
              <w:rPr>
                <w:sz w:val="20"/>
                <w:szCs w:val="20"/>
                <w:color w:val="auto"/>
              </w:rPr>
            </w:pPr>
          </w:p>
        </w:tc>
        <w:tc>
          <w:tcPr>
            <w:tcW w:w="8860" w:type="dxa"/>
            <w:vAlign w:val="bottom"/>
          </w:tcPr>
          <w:p>
            <w:pPr>
              <w:ind w:left="440"/>
              <w:spacing w:after="0"/>
              <w:rPr>
                <w:sz w:val="20"/>
                <w:szCs w:val="20"/>
                <w:color w:val="auto"/>
              </w:rPr>
            </w:pPr>
            <w:r>
              <w:rPr>
                <w:rFonts w:ascii="Arial" w:cs="Arial" w:eastAsia="Arial" w:hAnsi="Arial"/>
                <w:sz w:val="18"/>
                <w:szCs w:val="18"/>
                <w:color w:val="auto"/>
              </w:rPr>
              <w:t>77798031.</w:t>
            </w:r>
          </w:p>
        </w:tc>
      </w:tr>
      <w:tr>
        <w:trPr>
          <w:trHeight w:val="418"/>
        </w:trPr>
        <w:tc>
          <w:tcPr>
            <w:tcW w:w="23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Tax Summary</w:t>
            </w:r>
            <w:r>
              <w:rPr>
                <w:rFonts w:ascii="Arial" w:cs="Arial" w:eastAsia="Arial" w:hAnsi="Arial"/>
                <w:sz w:val="18"/>
                <w:szCs w:val="18"/>
                <w:color w:val="auto"/>
              </w:rPr>
              <w:t>"</w:t>
            </w:r>
          </w:p>
        </w:tc>
        <w:tc>
          <w:tcPr>
            <w:tcW w:w="8860" w:type="dxa"/>
            <w:vAlign w:val="bottom"/>
          </w:tcPr>
          <w:p>
            <w:pPr>
              <w:ind w:left="440"/>
              <w:spacing w:after="0"/>
              <w:rPr>
                <w:sz w:val="20"/>
                <w:szCs w:val="20"/>
                <w:color w:val="auto"/>
              </w:rPr>
            </w:pPr>
            <w:r>
              <w:rPr>
                <w:rFonts w:ascii="Arial" w:cs="Arial" w:eastAsia="Arial" w:hAnsi="Arial"/>
                <w:sz w:val="18"/>
                <w:szCs w:val="18"/>
                <w:color w:val="auto"/>
                <w:w w:val="99"/>
              </w:rPr>
              <w:t>The statements contained in the Registration Statement under the caption "Taxation — Material Dutch Tax</w:t>
            </w:r>
          </w:p>
        </w:tc>
      </w:tr>
      <w:tr>
        <w:trPr>
          <w:trHeight w:val="230"/>
        </w:trPr>
        <w:tc>
          <w:tcPr>
            <w:tcW w:w="2380" w:type="dxa"/>
            <w:vAlign w:val="bottom"/>
          </w:tcPr>
          <w:p>
            <w:pPr>
              <w:spacing w:after="0"/>
              <w:rPr>
                <w:sz w:val="20"/>
                <w:szCs w:val="20"/>
                <w:color w:val="auto"/>
              </w:rPr>
            </w:pPr>
          </w:p>
        </w:tc>
        <w:tc>
          <w:tcPr>
            <w:tcW w:w="8860" w:type="dxa"/>
            <w:vAlign w:val="bottom"/>
          </w:tcPr>
          <w:p>
            <w:pPr>
              <w:ind w:left="440"/>
              <w:spacing w:after="0"/>
              <w:rPr>
                <w:sz w:val="20"/>
                <w:szCs w:val="20"/>
                <w:color w:val="auto"/>
              </w:rPr>
            </w:pPr>
            <w:r>
              <w:rPr>
                <w:rFonts w:ascii="Arial" w:cs="Arial" w:eastAsia="Arial" w:hAnsi="Arial"/>
                <w:sz w:val="18"/>
                <w:szCs w:val="18"/>
                <w:color w:val="auto"/>
              </w:rPr>
              <w:t>Considerations".</w:t>
            </w:r>
          </w:p>
        </w:tc>
      </w:tr>
      <w:tr>
        <w:trPr>
          <w:trHeight w:val="432"/>
        </w:trPr>
        <w:tc>
          <w:tcPr>
            <w:tcW w:w="23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NautaDutilh</w:t>
            </w:r>
            <w:r>
              <w:rPr>
                <w:rFonts w:ascii="Arial" w:cs="Arial" w:eastAsia="Arial" w:hAnsi="Arial"/>
                <w:sz w:val="18"/>
                <w:szCs w:val="18"/>
                <w:color w:val="auto"/>
              </w:rPr>
              <w:t>"</w:t>
            </w:r>
          </w:p>
        </w:tc>
        <w:tc>
          <w:tcPr>
            <w:tcW w:w="8860" w:type="dxa"/>
            <w:vAlign w:val="bottom"/>
          </w:tcPr>
          <w:p>
            <w:pPr>
              <w:ind w:left="440"/>
              <w:spacing w:after="0"/>
              <w:rPr>
                <w:sz w:val="20"/>
                <w:szCs w:val="20"/>
                <w:color w:val="auto"/>
              </w:rPr>
            </w:pPr>
            <w:r>
              <w:rPr>
                <w:rFonts w:ascii="Arial" w:cs="Arial" w:eastAsia="Arial" w:hAnsi="Arial"/>
                <w:sz w:val="18"/>
                <w:szCs w:val="18"/>
                <w:color w:val="auto"/>
              </w:rPr>
              <w:t>NautaDutilh N.V.</w:t>
            </w:r>
          </w:p>
        </w:tc>
      </w:tr>
      <w:tr>
        <w:trPr>
          <w:trHeight w:val="432"/>
        </w:trPr>
        <w:tc>
          <w:tcPr>
            <w:tcW w:w="23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Netherlands</w:t>
            </w:r>
            <w:r>
              <w:rPr>
                <w:rFonts w:ascii="Arial" w:cs="Arial" w:eastAsia="Arial" w:hAnsi="Arial"/>
                <w:sz w:val="18"/>
                <w:szCs w:val="18"/>
                <w:color w:val="auto"/>
              </w:rPr>
              <w:t>"</w:t>
            </w:r>
          </w:p>
        </w:tc>
        <w:tc>
          <w:tcPr>
            <w:tcW w:w="8860" w:type="dxa"/>
            <w:vAlign w:val="bottom"/>
          </w:tcPr>
          <w:p>
            <w:pPr>
              <w:ind w:left="440"/>
              <w:spacing w:after="0"/>
              <w:rPr>
                <w:sz w:val="20"/>
                <w:szCs w:val="20"/>
                <w:color w:val="auto"/>
              </w:rPr>
            </w:pPr>
            <w:r>
              <w:rPr>
                <w:rFonts w:ascii="Arial" w:cs="Arial" w:eastAsia="Arial" w:hAnsi="Arial"/>
                <w:sz w:val="18"/>
                <w:szCs w:val="18"/>
                <w:color w:val="auto"/>
              </w:rPr>
              <w:t>The European territory of the Kingdom of the Netherlands.</w:t>
            </w:r>
          </w:p>
        </w:tc>
      </w:tr>
      <w:tr>
        <w:trPr>
          <w:trHeight w:val="432"/>
        </w:trPr>
        <w:tc>
          <w:tcPr>
            <w:tcW w:w="23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Offering</w:t>
            </w:r>
            <w:r>
              <w:rPr>
                <w:rFonts w:ascii="Arial" w:cs="Arial" w:eastAsia="Arial" w:hAnsi="Arial"/>
                <w:sz w:val="18"/>
                <w:szCs w:val="18"/>
                <w:color w:val="auto"/>
              </w:rPr>
              <w:t>"</w:t>
            </w:r>
          </w:p>
        </w:tc>
        <w:tc>
          <w:tcPr>
            <w:tcW w:w="8860" w:type="dxa"/>
            <w:vAlign w:val="bottom"/>
          </w:tcPr>
          <w:p>
            <w:pPr>
              <w:ind w:left="440"/>
              <w:spacing w:after="0"/>
              <w:rPr>
                <w:sz w:val="20"/>
                <w:szCs w:val="20"/>
                <w:color w:val="auto"/>
              </w:rPr>
            </w:pPr>
            <w:r>
              <w:rPr>
                <w:rFonts w:ascii="Arial" w:cs="Arial" w:eastAsia="Arial" w:hAnsi="Arial"/>
                <w:sz w:val="18"/>
                <w:szCs w:val="18"/>
                <w:color w:val="auto"/>
              </w:rPr>
              <w:t>The follow-on offering of Common Shares as contemplated by the Registration Statement.</w:t>
            </w:r>
          </w:p>
        </w:tc>
      </w:tr>
      <w:tr>
        <w:trPr>
          <w:trHeight w:val="418"/>
        </w:trPr>
        <w:tc>
          <w:tcPr>
            <w:tcW w:w="23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Statement</w:t>
            </w:r>
            <w:r>
              <w:rPr>
                <w:rFonts w:ascii="Arial" w:cs="Arial" w:eastAsia="Arial" w:hAnsi="Arial"/>
                <w:sz w:val="18"/>
                <w:szCs w:val="18"/>
                <w:color w:val="auto"/>
              </w:rPr>
              <w:t>"</w:t>
            </w:r>
          </w:p>
        </w:tc>
        <w:tc>
          <w:tcPr>
            <w:tcW w:w="8860" w:type="dxa"/>
            <w:vAlign w:val="bottom"/>
          </w:tcPr>
          <w:p>
            <w:pPr>
              <w:ind w:left="440"/>
              <w:spacing w:after="0"/>
              <w:rPr>
                <w:sz w:val="20"/>
                <w:szCs w:val="20"/>
                <w:color w:val="auto"/>
              </w:rPr>
            </w:pPr>
            <w:r>
              <w:rPr>
                <w:rFonts w:ascii="Arial" w:cs="Arial" w:eastAsia="Arial" w:hAnsi="Arial"/>
                <w:sz w:val="18"/>
                <w:szCs w:val="18"/>
                <w:color w:val="auto"/>
                <w:w w:val="92"/>
              </w:rPr>
              <w:t>The Company's registration statement on Form F-1 filed or to be filed with the SEC in connection with the Offering</w:t>
            </w:r>
          </w:p>
        </w:tc>
      </w:tr>
      <w:tr>
        <w:trPr>
          <w:trHeight w:val="230"/>
        </w:trPr>
        <w:tc>
          <w:tcPr>
            <w:tcW w:w="2380" w:type="dxa"/>
            <w:vAlign w:val="bottom"/>
          </w:tcPr>
          <w:p>
            <w:pPr>
              <w:spacing w:after="0"/>
              <w:rPr>
                <w:sz w:val="20"/>
                <w:szCs w:val="20"/>
                <w:color w:val="auto"/>
              </w:rPr>
            </w:pPr>
          </w:p>
        </w:tc>
        <w:tc>
          <w:tcPr>
            <w:tcW w:w="8860" w:type="dxa"/>
            <w:vAlign w:val="bottom"/>
          </w:tcPr>
          <w:p>
            <w:pPr>
              <w:ind w:left="440"/>
              <w:spacing w:after="0"/>
              <w:rPr>
                <w:sz w:val="20"/>
                <w:szCs w:val="20"/>
                <w:color w:val="auto"/>
              </w:rPr>
            </w:pPr>
            <w:r>
              <w:rPr>
                <w:rFonts w:ascii="Arial" w:cs="Arial" w:eastAsia="Arial" w:hAnsi="Arial"/>
                <w:sz w:val="18"/>
                <w:szCs w:val="18"/>
                <w:color w:val="auto"/>
              </w:rPr>
              <w:t>in the form reviewed by us.</w:t>
            </w:r>
          </w:p>
        </w:tc>
      </w:tr>
      <w:tr>
        <w:trPr>
          <w:trHeight w:val="432"/>
        </w:trPr>
        <w:tc>
          <w:tcPr>
            <w:tcW w:w="23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w:t>
            </w:r>
          </w:p>
        </w:tc>
        <w:tc>
          <w:tcPr>
            <w:tcW w:w="8860" w:type="dxa"/>
            <w:vAlign w:val="bottom"/>
          </w:tcPr>
          <w:p>
            <w:pPr>
              <w:ind w:left="440"/>
              <w:spacing w:after="0"/>
              <w:rPr>
                <w:sz w:val="20"/>
                <w:szCs w:val="20"/>
                <w:color w:val="auto"/>
              </w:rPr>
            </w:pPr>
            <w:r>
              <w:rPr>
                <w:rFonts w:ascii="Arial" w:cs="Arial" w:eastAsia="Arial" w:hAnsi="Arial"/>
                <w:sz w:val="18"/>
                <w:szCs w:val="18"/>
                <w:color w:val="auto"/>
              </w:rPr>
              <w:t>The United States Securities and Exchange Commission.</w:t>
            </w:r>
          </w:p>
        </w:tc>
      </w:tr>
      <w:tr>
        <w:trPr>
          <w:trHeight w:val="675"/>
        </w:trPr>
        <w:tc>
          <w:tcPr>
            <w:tcW w:w="2380" w:type="dxa"/>
            <w:vAlign w:val="bottom"/>
            <w:tcBorders>
              <w:bottom w:val="single" w:sz="8" w:color="auto"/>
            </w:tcBorders>
          </w:tcPr>
          <w:p>
            <w:pPr>
              <w:spacing w:after="0"/>
              <w:rPr>
                <w:sz w:val="24"/>
                <w:szCs w:val="24"/>
                <w:color w:val="auto"/>
              </w:rPr>
            </w:pPr>
          </w:p>
        </w:tc>
        <w:tc>
          <w:tcPr>
            <w:tcW w:w="8860" w:type="dxa"/>
            <w:vAlign w:val="bottom"/>
            <w:tcBorders>
              <w:bottom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240"/>
          </w:cols>
          <w:pgMar w:left="320" w:top="827" w:right="339" w:bottom="1440" w:gutter="0" w:footer="0" w:header="0"/>
        </w:sectPr>
      </w:pPr>
      <w:r>
        <w:rPr>
          <w:sz w:val="20"/>
          <w:szCs w:val="20"/>
          <w:color w:val="auto"/>
        </w:rPr>
        <w:drawing>
          <wp:anchor simplePos="0" relativeHeight="251657728" behindDoc="1" locked="0" layoutInCell="0" allowOverlap="1">
            <wp:simplePos x="0" y="0"/>
            <wp:positionH relativeFrom="page">
              <wp:posOffset>3782695</wp:posOffset>
            </wp:positionH>
            <wp:positionV relativeFrom="page">
              <wp:posOffset>157480</wp:posOffset>
            </wp:positionV>
            <wp:extent cx="1388745" cy="24003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51">
                      <a:clrChange>
                        <a:clrFrom>
                          <a:srgbClr val="FFFFFF"/>
                        </a:clrFrom>
                        <a:clrTo>
                          <a:srgbClr val="FFFFFF">
                            <a:alpha val="0"/>
                          </a:srgbClr>
                        </a:clrTo>
                      </a:clrChange>
                      <a:extLst>
                        <a:ext uri="{28A0092B-C50C-407E-A947-70E740481C1C}"/>
                      </a:extLst>
                    </a:blip>
                    <a:srcRect/>
                    <a:stretch>
                      <a:fillRect/>
                    </a:stretch>
                  </pic:blipFill>
                  <pic:spPr bwMode="auto">
                    <a:xfrm>
                      <a:off x="0" y="0"/>
                      <a:ext cx="1388745" cy="240030"/>
                    </a:xfrm>
                    <a:prstGeom prst="rect">
                      <a:avLst/>
                    </a:prstGeom>
                    <a:noFill/>
                  </pic:spPr>
                </pic:pic>
              </a:graphicData>
            </a:graphic>
          </wp:anchor>
        </w:drawing>
      </w:r>
    </w:p>
    <w:bookmarkStart w:id="441" w:name="page442"/>
    <w:bookmarkEnd w:id="441"/>
    <w:p>
      <w:pPr>
        <w:jc w:val="right"/>
        <w:spacing w:after="0"/>
        <w:rPr>
          <w:sz w:val="20"/>
          <w:szCs w:val="20"/>
          <w:color w:val="auto"/>
        </w:rPr>
      </w:pPr>
      <w:r>
        <w:rPr>
          <w:rFonts w:ascii="Arial" w:cs="Arial" w:eastAsia="Arial" w:hAnsi="Arial"/>
          <w:sz w:val="22"/>
          <w:szCs w:val="22"/>
          <w:b w:val="1"/>
          <w:bCs w:val="1"/>
          <w:color w:val="auto"/>
        </w:rPr>
        <w:t>Exhibit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165735</wp:posOffset>
            </wp:positionV>
            <wp:extent cx="1028700" cy="79756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52">
                      <a:extLst>
                        <a:ext uri="{28A0092B-C50C-407E-A947-70E740481C1C}"/>
                      </a:extLst>
                    </a:blip>
                    <a:srcRect/>
                    <a:stretch>
                      <a:fillRect/>
                    </a:stretch>
                  </pic:blipFill>
                  <pic:spPr bwMode="auto">
                    <a:xfrm>
                      <a:off x="0" y="0"/>
                      <a:ext cx="1028700"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9220"/>
        <w:spacing w:after="0"/>
        <w:rPr>
          <w:sz w:val="20"/>
          <w:szCs w:val="20"/>
          <w:color w:val="auto"/>
        </w:rPr>
      </w:pPr>
      <w:r>
        <w:rPr>
          <w:rFonts w:ascii="Arial" w:cs="Arial" w:eastAsia="Arial" w:hAnsi="Arial"/>
          <w:sz w:val="18"/>
          <w:szCs w:val="18"/>
          <w:i w:val="1"/>
          <w:iCs w:val="1"/>
          <w:color w:val="auto"/>
        </w:rPr>
        <w:t>FALK GmbH &amp; Co KG</w:t>
      </w:r>
    </w:p>
    <w:p>
      <w:pPr>
        <w:spacing w:after="0" w:line="23" w:lineRule="exact"/>
        <w:rPr>
          <w:sz w:val="20"/>
          <w:szCs w:val="20"/>
          <w:color w:val="auto"/>
        </w:rPr>
      </w:pPr>
    </w:p>
    <w:p>
      <w:pPr>
        <w:ind w:left="9220"/>
        <w:spacing w:after="0"/>
        <w:rPr>
          <w:sz w:val="20"/>
          <w:szCs w:val="20"/>
          <w:color w:val="auto"/>
        </w:rPr>
      </w:pPr>
      <w:r>
        <w:rPr>
          <w:rFonts w:ascii="Arial" w:cs="Arial" w:eastAsia="Arial" w:hAnsi="Arial"/>
          <w:sz w:val="18"/>
          <w:szCs w:val="18"/>
          <w:i w:val="1"/>
          <w:iCs w:val="1"/>
          <w:color w:val="auto"/>
        </w:rPr>
        <w:t>Postfach 10 22 80</w:t>
      </w:r>
    </w:p>
    <w:p>
      <w:pPr>
        <w:spacing w:after="0" w:line="9" w:lineRule="exact"/>
        <w:rPr>
          <w:sz w:val="20"/>
          <w:szCs w:val="20"/>
          <w:color w:val="auto"/>
        </w:rPr>
      </w:pPr>
    </w:p>
    <w:p>
      <w:pPr>
        <w:ind w:left="9220"/>
        <w:spacing w:after="0"/>
        <w:rPr>
          <w:sz w:val="20"/>
          <w:szCs w:val="20"/>
          <w:color w:val="auto"/>
        </w:rPr>
      </w:pPr>
      <w:r>
        <w:rPr>
          <w:rFonts w:ascii="Arial" w:cs="Arial" w:eastAsia="Arial" w:hAnsi="Arial"/>
          <w:sz w:val="18"/>
          <w:szCs w:val="18"/>
          <w:i w:val="1"/>
          <w:iCs w:val="1"/>
          <w:color w:val="auto"/>
        </w:rPr>
        <w:t>69012 Heidelberg</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Attn</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 Breitspiel 21</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69126 Heidelberg</w:t>
      </w:r>
    </w:p>
    <w:p>
      <w:pPr>
        <w:spacing w:after="0" w:line="32" w:lineRule="exact"/>
        <w:rPr>
          <w:sz w:val="20"/>
          <w:szCs w:val="20"/>
          <w:color w:val="auto"/>
        </w:rPr>
      </w:pPr>
    </w:p>
    <w:p>
      <w:pPr>
        <w:sectPr>
          <w:pgSz w:w="11900" w:h="16838" w:orient="portrait"/>
          <w:cols w:equalWidth="0" w:num="2">
            <w:col w:w="8500" w:space="720"/>
            <w:col w:w="2020"/>
          </w:cols>
          <w:pgMar w:left="320" w:top="111" w:right="339" w:bottom="1440" w:gutter="0" w:footer="0" w:header="0"/>
          <w:type w:val="continuous"/>
        </w:sectPr>
      </w:pPr>
    </w:p>
    <w:p>
      <w:pPr>
        <w:spacing w:after="0"/>
        <w:rPr>
          <w:sz w:val="20"/>
          <w:szCs w:val="20"/>
          <w:color w:val="auto"/>
        </w:rPr>
      </w:pPr>
      <w:r>
        <w:rPr>
          <w:rFonts w:ascii="Arial" w:cs="Arial" w:eastAsia="Arial" w:hAnsi="Arial"/>
          <w:sz w:val="16"/>
          <w:szCs w:val="16"/>
          <w:color w:val="auto"/>
        </w:rPr>
        <w:t>Pierre Kemula</w:t>
      </w:r>
    </w:p>
    <w:p>
      <w:pPr>
        <w:sectPr>
          <w:pgSz w:w="11900" w:h="16838" w:orient="portrait"/>
          <w:cols w:equalWidth="0" w:num="1">
            <w:col w:w="11240"/>
          </w:cols>
          <w:pgMar w:left="320" w:top="111" w:right="33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CureVac AG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Friedrich-Miescher-Str. 15</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Telefon: +49 6221 399-0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Telefax: +49 6221 399-238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falk-heidelberg@falk-co.de</w:t>
      </w:r>
    </w:p>
    <w:p>
      <w:pPr>
        <w:spacing w:after="0" w:line="32" w:lineRule="exact"/>
        <w:rPr>
          <w:sz w:val="20"/>
          <w:szCs w:val="20"/>
          <w:color w:val="auto"/>
        </w:rPr>
      </w:pPr>
    </w:p>
    <w:p>
      <w:pPr>
        <w:sectPr>
          <w:pgSz w:w="11900" w:h="16838" w:orient="portrait"/>
          <w:cols w:equalWidth="0" w:num="2">
            <w:col w:w="8500" w:space="720"/>
            <w:col w:w="2020"/>
          </w:cols>
          <w:pgMar w:left="320" w:top="111" w:right="339" w:bottom="1440" w:gutter="0" w:footer="0" w:header="0"/>
          <w:type w:val="continuous"/>
        </w:sectPr>
      </w:pPr>
    </w:p>
    <w:p>
      <w:pPr>
        <w:spacing w:after="0"/>
        <w:rPr>
          <w:sz w:val="20"/>
          <w:szCs w:val="20"/>
          <w:color w:val="auto"/>
        </w:rPr>
      </w:pPr>
      <w:r>
        <w:rPr>
          <w:rFonts w:ascii="Arial" w:cs="Arial" w:eastAsia="Arial" w:hAnsi="Arial"/>
          <w:sz w:val="18"/>
          <w:szCs w:val="18"/>
          <w:color w:val="auto"/>
        </w:rPr>
        <w:t>72076 Tübingen</w:t>
      </w:r>
    </w:p>
    <w:p>
      <w:pPr>
        <w:spacing w:after="0" w:line="211" w:lineRule="exact"/>
        <w:rPr>
          <w:sz w:val="20"/>
          <w:szCs w:val="20"/>
          <w:color w:val="auto"/>
        </w:rPr>
      </w:pPr>
    </w:p>
    <w:p>
      <w:pPr>
        <w:ind w:left="9220"/>
        <w:spacing w:after="0"/>
        <w:rPr>
          <w:sz w:val="20"/>
          <w:szCs w:val="20"/>
          <w:color w:val="auto"/>
        </w:rPr>
      </w:pPr>
      <w:r>
        <w:rPr>
          <w:rFonts w:ascii="Arial" w:cs="Arial" w:eastAsia="Arial" w:hAnsi="Arial"/>
          <w:sz w:val="16"/>
          <w:szCs w:val="16"/>
          <w:i w:val="1"/>
          <w:iCs w:val="1"/>
          <w:color w:val="auto"/>
        </w:rPr>
        <w:t>January 25, 2021</w:t>
      </w:r>
    </w:p>
    <w:p>
      <w:pPr>
        <w:spacing w:after="0" w:line="46" w:lineRule="exact"/>
        <w:rPr>
          <w:sz w:val="20"/>
          <w:szCs w:val="20"/>
          <w:color w:val="auto"/>
        </w:rPr>
      </w:pPr>
    </w:p>
    <w:p>
      <w:pPr>
        <w:ind w:left="9220"/>
        <w:spacing w:after="0"/>
        <w:rPr>
          <w:sz w:val="20"/>
          <w:szCs w:val="20"/>
          <w:color w:val="auto"/>
        </w:rPr>
      </w:pPr>
      <w:r>
        <w:rPr>
          <w:rFonts w:ascii="Arial" w:cs="Arial" w:eastAsia="Arial" w:hAnsi="Arial"/>
          <w:sz w:val="18"/>
          <w:szCs w:val="18"/>
          <w:i w:val="1"/>
          <w:iCs w:val="1"/>
          <w:color w:val="auto"/>
        </w:rPr>
        <w:t>Me/Dr.Vk/Oz</w:t>
      </w:r>
    </w:p>
    <w:p>
      <w:pPr>
        <w:spacing w:after="0" w:line="9" w:lineRule="exact"/>
        <w:rPr>
          <w:sz w:val="20"/>
          <w:szCs w:val="20"/>
          <w:color w:val="auto"/>
        </w:rPr>
      </w:pPr>
    </w:p>
    <w:p>
      <w:pPr>
        <w:ind w:left="9220"/>
        <w:spacing w:after="0"/>
        <w:rPr>
          <w:sz w:val="20"/>
          <w:szCs w:val="20"/>
          <w:color w:val="auto"/>
        </w:rPr>
      </w:pPr>
      <w:r>
        <w:rPr>
          <w:rFonts w:ascii="Arial" w:cs="Arial" w:eastAsia="Arial" w:hAnsi="Arial"/>
          <w:sz w:val="18"/>
          <w:szCs w:val="18"/>
          <w:i w:val="1"/>
          <w:iCs w:val="1"/>
          <w:color w:val="auto"/>
        </w:rPr>
        <w:t>14917</w:t>
      </w:r>
    </w:p>
    <w:p>
      <w:pPr>
        <w:spacing w:after="0" w:line="9" w:lineRule="exact"/>
        <w:rPr>
          <w:sz w:val="20"/>
          <w:szCs w:val="20"/>
          <w:color w:val="auto"/>
        </w:rPr>
      </w:pPr>
    </w:p>
    <w:p>
      <w:pPr>
        <w:ind w:left="9220"/>
        <w:spacing w:after="0"/>
        <w:rPr>
          <w:sz w:val="20"/>
          <w:szCs w:val="20"/>
          <w:color w:val="auto"/>
        </w:rPr>
      </w:pPr>
      <w:r>
        <w:rPr>
          <w:rFonts w:ascii="Arial" w:cs="Arial" w:eastAsia="Arial" w:hAnsi="Arial"/>
          <w:sz w:val="18"/>
          <w:szCs w:val="18"/>
          <w:i w:val="1"/>
          <w:iCs w:val="1"/>
          <w:color w:val="auto"/>
        </w:rPr>
        <w:t>34832645</w:t>
      </w:r>
    </w:p>
    <w:p>
      <w:pPr>
        <w:sectPr>
          <w:pgSz w:w="11900" w:h="16838" w:orient="portrait"/>
          <w:cols w:equalWidth="0" w:num="1">
            <w:col w:w="11240"/>
          </w:cols>
          <w:pgMar w:left="320" w:top="111" w:right="33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SEC Form F-1 Registration Statement CureVac N.V. dated January 25,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Kemula,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act as German Tax Advisors to the Issuer in connection with the Registration. Certain terms used in this opinion are defined in Annex 1 (Definitions).</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opinion is limited to German tax law in effect on the date of this opinion. This opinion (including all terms used in it) is to be construed in accordance with German tax law.</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purpose of this opinion, we have examined the Registration Statement which we determined to be the only document relevant to rendering this opinion, while relying upon the accuracy of the factual statements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 of this opinion, we have made the following assumptions:</w:t>
      </w:r>
    </w:p>
    <w:p>
      <w:pPr>
        <w:spacing w:after="0" w:line="225" w:lineRule="exact"/>
        <w:rPr>
          <w:sz w:val="20"/>
          <w:szCs w:val="20"/>
          <w:color w:val="auto"/>
        </w:rPr>
      </w:pPr>
    </w:p>
    <w:p>
      <w:pPr>
        <w:ind w:left="660" w:hanging="328"/>
        <w:spacing w:after="0"/>
        <w:tabs>
          <w:tab w:leader="none" w:pos="6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Registration Statement has been or will be filed with the SEC in the form referred to in this opinion.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effective place of management of the Issuer is located in T0bingen,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factual statement in the Registration Statement are true and correct in all respects.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FALK GmbH &amp; Co KG </w:t>
      </w:r>
      <w:r>
        <w:rPr>
          <w:rFonts w:ascii="Arial" w:cs="Arial" w:eastAsia="Arial" w:hAnsi="Arial"/>
          <w:sz w:val="14"/>
          <w:szCs w:val="14"/>
          <w:color w:val="auto"/>
        </w:rPr>
        <w:t>Wirtschaftsprüfungsgesellschaft Steuerberatungsgesellschaft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-19050</wp:posOffset>
            </wp:positionV>
            <wp:extent cx="1208405" cy="87439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53">
                      <a:extLst>
                        <a:ext uri="{28A0092B-C50C-407E-A947-70E740481C1C}"/>
                      </a:extLst>
                    </a:blip>
                    <a:srcRect/>
                    <a:stretch>
                      <a:fillRect/>
                    </a:stretch>
                  </pic:blipFill>
                  <pic:spPr bwMode="auto">
                    <a:xfrm>
                      <a:off x="0" y="0"/>
                      <a:ext cx="1208405" cy="87439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Sitz der Gesellschaft: Heidelberg | AG Mannheim HRA 702086 | USt.-Identifikations-Nr. DE 258 256 316</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Persönlich haftende Gesellschafterin: FALK &amp; Co Verwaltungs-GmbH Wirtschaftsprüfungsgesellschaft</w:t>
      </w:r>
    </w:p>
    <w:p>
      <w:pPr>
        <w:spacing w:after="0"/>
        <w:rPr>
          <w:sz w:val="20"/>
          <w:szCs w:val="20"/>
          <w:color w:val="auto"/>
        </w:rPr>
      </w:pPr>
      <w:r>
        <w:rPr>
          <w:rFonts w:ascii="Arial" w:cs="Arial" w:eastAsia="Arial" w:hAnsi="Arial"/>
          <w:sz w:val="14"/>
          <w:szCs w:val="14"/>
          <w:color w:val="auto"/>
        </w:rPr>
        <w:t>Steuerberatungsgesellschaft Sitz der Gesellschaft: Heidelberg AG Mannheim HRB 705586</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Geschäftsführer: </w:t>
      </w:r>
      <w:r>
        <w:rPr>
          <w:rFonts w:ascii="Arial" w:cs="Arial" w:eastAsia="Arial" w:hAnsi="Arial"/>
          <w:sz w:val="14"/>
          <w:szCs w:val="14"/>
          <w:color w:val="auto"/>
        </w:rPr>
        <w:t>WP StB Gerhard Meyer, WP StB Dr. Martin Ziegler, StB Gerd Fuhrmann, WP StB Thomas Rohling,</w:t>
      </w:r>
    </w:p>
    <w:p>
      <w:pPr>
        <w:spacing w:after="0" w:line="226" w:lineRule="auto"/>
        <w:rPr>
          <w:sz w:val="20"/>
          <w:szCs w:val="20"/>
          <w:color w:val="auto"/>
        </w:rPr>
      </w:pPr>
      <w:r>
        <w:rPr>
          <w:rFonts w:ascii="Arial" w:cs="Arial" w:eastAsia="Arial" w:hAnsi="Arial"/>
          <w:sz w:val="14"/>
          <w:szCs w:val="14"/>
          <w:color w:val="auto"/>
        </w:rPr>
        <w:t>WP StB Markus Schmidtke, WP StB Philip Roth, WP StB Stephan Hilbig, WP CPA Gerhard Müller, WP StB Dr. Stefan Tichy,</w:t>
      </w:r>
    </w:p>
    <w:p>
      <w:pPr>
        <w:spacing w:after="0" w:line="221" w:lineRule="auto"/>
        <w:rPr>
          <w:sz w:val="20"/>
          <w:szCs w:val="20"/>
          <w:color w:val="auto"/>
        </w:rPr>
      </w:pPr>
      <w:r>
        <w:rPr>
          <w:rFonts w:ascii="Arial" w:cs="Arial" w:eastAsia="Arial" w:hAnsi="Arial"/>
          <w:sz w:val="14"/>
          <w:szCs w:val="14"/>
          <w:color w:val="auto"/>
        </w:rPr>
        <w:t>WP StB Andreas Dörschell, WP StB RA Dr. Steffen Bangert, WP StB Dr. Alexander Wünsche, WP StB CPA Steffen Ahrens,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WP StB Thorsten Bischoff, WP StB Kathrin Mindnich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442" w:name="page443"/>
    <w:bookmarkEnd w:id="44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6311900</wp:posOffset>
            </wp:positionH>
            <wp:positionV relativeFrom="page">
              <wp:posOffset>586105</wp:posOffset>
            </wp:positionV>
            <wp:extent cx="1028700" cy="79692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55">
                      <a:clrChange>
                        <a:clrFrom>
                          <a:srgbClr val="FFFFFF"/>
                        </a:clrFrom>
                        <a:clrTo>
                          <a:srgbClr val="FFFFFF">
                            <a:alpha val="0"/>
                          </a:srgbClr>
                        </a:clrTo>
                      </a:clrChange>
                      <a:extLst>
                        <a:ext uri="{28A0092B-C50C-407E-A947-70E740481C1C}"/>
                      </a:extLst>
                    </a:blip>
                    <a:srcRect/>
                    <a:stretch>
                      <a:fillRect/>
                    </a:stretch>
                  </pic:blipFill>
                  <pic:spPr bwMode="auto">
                    <a:xfrm>
                      <a:off x="0" y="0"/>
                      <a:ext cx="1028700" cy="796925"/>
                    </a:xfrm>
                    <a:prstGeom prst="rect">
                      <a:avLst/>
                    </a:prstGeom>
                    <a:noFill/>
                  </pic:spPr>
                </pic:pic>
              </a:graphicData>
            </a:graphic>
          </wp:anchor>
        </w:drawing>
        <w:t>- 2 -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14917</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the documents referred to and the assumptions made above, we hereby confirm that the statements set forth in the Registration Statement under the section “Taxation-Material German Tax Considerations” constitute the opinion of FALK as to the material German tax consequences of purchasing, owning or transferring the shares in the capital of the Issuer.</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opinion is an exhibit to the Registration Statement and may only be relied upon for the purpose of the Registration. It may not be supplied, and its contents or existence may not be disclosed, to any person other than as an Exhibit to (and therefore together with) the Registration Statement and may not be relied upon for any purpose other than the Registration.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Each person relying on this opinion agrees, in so relying, that only FALK shall have any liability in connection with this opinion.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Issuer may:</w:t>
      </w:r>
    </w:p>
    <w:p>
      <w:pPr>
        <w:spacing w:after="0" w:line="225" w:lineRule="exact"/>
        <w:rPr>
          <w:sz w:val="20"/>
          <w:szCs w:val="20"/>
          <w:color w:val="auto"/>
        </w:rPr>
      </w:pPr>
    </w:p>
    <w:p>
      <w:pPr>
        <w:ind w:left="660" w:hanging="328"/>
        <w:spacing w:after="0"/>
        <w:tabs>
          <w:tab w:leader="none" w:pos="6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file this opinion as an exhibit to the Registration Statement, and</w:t>
      </w:r>
    </w:p>
    <w:p>
      <w:pPr>
        <w:spacing w:after="0" w:line="23"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refer to FALK giving this opinion under the heading “Taxation-Material German Tax Considerations” in the prospectus included in the Registration Statement.</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previous sentence is no admittance from us (or FALK) that we are (or FALK is) in the category of persons whose consent for the filing and reference in that paragraph is required under Section 7 of the Securities Act or any rules or regulations of the SEC promulgated under it.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Yours faithfully,</w:t>
            </w:r>
          </w:p>
        </w:tc>
        <w:tc>
          <w:tcPr>
            <w:tcW w:w="5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432"/>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Gerhard Meyer</w:t>
            </w:r>
          </w:p>
        </w:tc>
        <w:tc>
          <w:tcPr>
            <w:tcW w:w="56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Michael Vituschek</w:t>
            </w:r>
          </w:p>
        </w:tc>
        <w:tc>
          <w:tcPr>
            <w:tcW w:w="5040" w:type="dxa"/>
            <w:vAlign w:val="bottom"/>
          </w:tcPr>
          <w:p>
            <w:pPr>
              <w:spacing w:after="0"/>
              <w:rPr>
                <w:sz w:val="24"/>
                <w:szCs w:val="24"/>
                <w:color w:val="auto"/>
              </w:rPr>
            </w:pPr>
          </w:p>
        </w:tc>
      </w:tr>
      <w:tr>
        <w:trPr>
          <w:trHeight w:val="195"/>
        </w:trPr>
        <w:tc>
          <w:tcPr>
            <w:tcW w:w="2820" w:type="dxa"/>
            <w:vAlign w:val="bottom"/>
          </w:tcPr>
          <w:p>
            <w:pPr>
              <w:spacing w:after="0" w:line="195" w:lineRule="exact"/>
              <w:rPr>
                <w:sz w:val="20"/>
                <w:szCs w:val="20"/>
                <w:color w:val="auto"/>
              </w:rPr>
            </w:pPr>
            <w:r>
              <w:rPr>
                <w:rFonts w:ascii="Arial" w:cs="Arial" w:eastAsia="Arial" w:hAnsi="Arial"/>
                <w:sz w:val="18"/>
                <w:szCs w:val="18"/>
                <w:color w:val="auto"/>
              </w:rPr>
              <w:t>(Gerhard Meyer)</w:t>
            </w:r>
          </w:p>
        </w:tc>
        <w:tc>
          <w:tcPr>
            <w:tcW w:w="560" w:type="dxa"/>
            <w:vAlign w:val="bottom"/>
          </w:tcPr>
          <w:p>
            <w:pPr>
              <w:spacing w:after="0"/>
              <w:rPr>
                <w:sz w:val="16"/>
                <w:szCs w:val="16"/>
                <w:color w:val="auto"/>
              </w:rPr>
            </w:pPr>
          </w:p>
        </w:tc>
        <w:tc>
          <w:tcPr>
            <w:tcW w:w="2820" w:type="dxa"/>
            <w:vAlign w:val="bottom"/>
          </w:tcPr>
          <w:p>
            <w:pPr>
              <w:spacing w:after="0" w:line="195" w:lineRule="exact"/>
              <w:rPr>
                <w:sz w:val="20"/>
                <w:szCs w:val="20"/>
                <w:color w:val="auto"/>
              </w:rPr>
            </w:pPr>
            <w:r>
              <w:rPr>
                <w:rFonts w:ascii="Arial" w:cs="Arial" w:eastAsia="Arial" w:hAnsi="Arial"/>
                <w:sz w:val="18"/>
                <w:szCs w:val="18"/>
                <w:color w:val="auto"/>
              </w:rPr>
              <w:t>(Dr. Michael Vituschek)</w:t>
            </w:r>
          </w:p>
        </w:tc>
        <w:tc>
          <w:tcPr>
            <w:tcW w:w="5040" w:type="dxa"/>
            <w:vAlign w:val="bottom"/>
          </w:tcPr>
          <w:p>
            <w:pPr>
              <w:spacing w:after="0"/>
              <w:rPr>
                <w:sz w:val="16"/>
                <w:szCs w:val="16"/>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Steuerberater</w:t>
            </w:r>
          </w:p>
        </w:tc>
        <w:tc>
          <w:tcPr>
            <w:tcW w:w="56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Steuerberater</w:t>
            </w:r>
          </w:p>
        </w:tc>
        <w:tc>
          <w:tcPr>
            <w:tcW w:w="5040" w:type="dxa"/>
            <w:vAlign w:val="bottom"/>
          </w:tcPr>
          <w:p>
            <w:pPr>
              <w:spacing w:after="0"/>
              <w:rPr>
                <w:sz w:val="20"/>
                <w:szCs w:val="20"/>
                <w:color w:val="auto"/>
              </w:rPr>
            </w:pPr>
          </w:p>
        </w:tc>
      </w:tr>
      <w:tr>
        <w:trPr>
          <w:trHeight w:val="418"/>
        </w:trPr>
        <w:tc>
          <w:tcPr>
            <w:tcW w:w="2820" w:type="dxa"/>
            <w:vAlign w:val="bottom"/>
          </w:tcPr>
          <w:p>
            <w:pPr>
              <w:spacing w:after="0"/>
              <w:rPr>
                <w:sz w:val="20"/>
                <w:szCs w:val="20"/>
                <w:color w:val="auto"/>
              </w:rPr>
            </w:pPr>
            <w:r>
              <w:rPr>
                <w:rFonts w:ascii="Arial" w:cs="Arial" w:eastAsia="Arial" w:hAnsi="Arial"/>
                <w:sz w:val="18"/>
                <w:szCs w:val="18"/>
                <w:color w:val="auto"/>
              </w:rPr>
              <w:t>FALK GmbH &amp; Co KG</w:t>
            </w:r>
          </w:p>
        </w:tc>
        <w:tc>
          <w:tcPr>
            <w:tcW w:w="5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Wirtschaftsprüfungsgesellschaft</w:t>
            </w:r>
          </w:p>
        </w:tc>
        <w:tc>
          <w:tcPr>
            <w:tcW w:w="5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Steuerberatungsgesellschaft</w:t>
            </w:r>
          </w:p>
        </w:tc>
        <w:tc>
          <w:tcPr>
            <w:tcW w:w="5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1242"/>
        </w:trPr>
        <w:tc>
          <w:tcPr>
            <w:tcW w:w="28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-659765</wp:posOffset>
            </wp:positionV>
            <wp:extent cx="1191260" cy="22288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56">
                      <a:extLst>
                        <a:ext uri="{28A0092B-C50C-407E-A947-70E740481C1C}"/>
                      </a:extLst>
                    </a:blip>
                    <a:srcRect/>
                    <a:stretch>
                      <a:fillRect/>
                    </a:stretch>
                  </pic:blipFill>
                  <pic:spPr bwMode="auto">
                    <a:xfrm>
                      <a:off x="0" y="0"/>
                      <a:ext cx="1191260" cy="22288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443" w:name="page444"/>
    <w:bookmarkEnd w:id="443"/>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6311900</wp:posOffset>
            </wp:positionH>
            <wp:positionV relativeFrom="page">
              <wp:posOffset>586105</wp:posOffset>
            </wp:positionV>
            <wp:extent cx="1028700" cy="79692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57">
                      <a:clrChange>
                        <a:clrFrom>
                          <a:srgbClr val="FFFFFF"/>
                        </a:clrFrom>
                        <a:clrTo>
                          <a:srgbClr val="FFFFFF">
                            <a:alpha val="0"/>
                          </a:srgbClr>
                        </a:clrTo>
                      </a:clrChange>
                      <a:extLst>
                        <a:ext uri="{28A0092B-C50C-407E-A947-70E740481C1C}"/>
                      </a:extLst>
                    </a:blip>
                    <a:srcRect/>
                    <a:stretch>
                      <a:fillRect/>
                    </a:stretch>
                  </pic:blipFill>
                  <pic:spPr bwMode="auto">
                    <a:xfrm>
                      <a:off x="0" y="0"/>
                      <a:ext cx="1028700" cy="796925"/>
                    </a:xfrm>
                    <a:prstGeom prst="rect">
                      <a:avLst/>
                    </a:prstGeom>
                    <a:noFill/>
                  </pic:spPr>
                </pic:pic>
              </a:graphicData>
            </a:graphic>
          </wp:anchor>
        </w:drawing>
        <w:t>- 3 -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14917</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Annex 1 – Definitions</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“German Tax” </w:t>
      </w:r>
      <w:r>
        <w:rPr>
          <w:rFonts w:ascii="Arial" w:cs="Arial" w:eastAsia="Arial" w:hAnsi="Arial"/>
          <w:sz w:val="18"/>
          <w:szCs w:val="18"/>
          <w:color w:val="auto"/>
        </w:rPr>
        <w:t>means any tax pursuant to Section 3 (1) through to (3) German Fiscal Code (Abgabenordnung) levied by or on behalf of Germany or any</w:t>
      </w:r>
      <w:r>
        <w:rPr>
          <w:rFonts w:ascii="Arial" w:cs="Arial" w:eastAsia="Arial" w:hAnsi="Arial"/>
          <w:sz w:val="18"/>
          <w:szCs w:val="18"/>
          <w:b w:val="1"/>
          <w:bCs w:val="1"/>
          <w:color w:val="auto"/>
        </w:rPr>
        <w:t xml:space="preserve"> </w:t>
      </w:r>
      <w:r>
        <w:rPr>
          <w:rFonts w:ascii="Arial" w:cs="Arial" w:eastAsia="Arial" w:hAnsi="Arial"/>
          <w:sz w:val="18"/>
          <w:szCs w:val="18"/>
          <w:color w:val="auto"/>
        </w:rPr>
        <w:t>of its subdivisions or taxing authorities.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“FALK” </w:t>
      </w:r>
      <w:r>
        <w:rPr>
          <w:rFonts w:ascii="Arial" w:cs="Arial" w:eastAsia="Arial" w:hAnsi="Arial"/>
          <w:sz w:val="18"/>
          <w:szCs w:val="18"/>
          <w:color w:val="auto"/>
        </w:rPr>
        <w:t>means FALK GmbH &amp; Co KG Wirtschaftsprüfungsgesellschaft Steuerberatungsgesellschaft.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“Issuer” </w:t>
      </w:r>
      <w:r>
        <w:rPr>
          <w:rFonts w:ascii="Arial" w:cs="Arial" w:eastAsia="Arial" w:hAnsi="Arial"/>
          <w:sz w:val="18"/>
          <w:szCs w:val="18"/>
          <w:color w:val="auto"/>
        </w:rPr>
        <w:t>means CureVac N.V. with corporate seat in Amsterdam, the Netherlands.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“Registration” </w:t>
      </w:r>
      <w:r>
        <w:rPr>
          <w:rFonts w:ascii="Arial" w:cs="Arial" w:eastAsia="Arial" w:hAnsi="Arial"/>
          <w:sz w:val="18"/>
          <w:szCs w:val="18"/>
          <w:color w:val="auto"/>
        </w:rPr>
        <w:t>means the registration of shares in the capital of the Issuer with the SEC under the Securities Act.</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“Registration Statement” </w:t>
      </w:r>
      <w:r>
        <w:rPr>
          <w:rFonts w:ascii="Arial" w:cs="Arial" w:eastAsia="Arial" w:hAnsi="Arial"/>
          <w:sz w:val="18"/>
          <w:szCs w:val="18"/>
          <w:color w:val="auto"/>
        </w:rPr>
        <w:t>means the registration statement on form F-1 in relation to the Registration to be filed with the SEC in the date hereof</w:t>
      </w:r>
      <w:r>
        <w:rPr>
          <w:rFonts w:ascii="Arial" w:cs="Arial" w:eastAsia="Arial" w:hAnsi="Arial"/>
          <w:sz w:val="18"/>
          <w:szCs w:val="18"/>
          <w:b w:val="1"/>
          <w:bCs w:val="1"/>
          <w:color w:val="auto"/>
        </w:rPr>
        <w:t xml:space="preserve"> </w:t>
      </w:r>
      <w:r>
        <w:rPr>
          <w:rFonts w:ascii="Arial" w:cs="Arial" w:eastAsia="Arial" w:hAnsi="Arial"/>
          <w:sz w:val="18"/>
          <w:szCs w:val="18"/>
          <w:color w:val="auto"/>
        </w:rPr>
        <w:t>(excluding any documents incorporated by reference in it and any exhibits to it).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 </w:t>
      </w:r>
      <w:r>
        <w:rPr>
          <w:rFonts w:ascii="Arial" w:cs="Arial" w:eastAsia="Arial" w:hAnsi="Arial"/>
          <w:sz w:val="18"/>
          <w:szCs w:val="18"/>
          <w:color w:val="auto"/>
        </w:rPr>
        <w:t>means the U.S.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“Securities Act” </w:t>
      </w:r>
      <w:r>
        <w:rPr>
          <w:rFonts w:ascii="Arial" w:cs="Arial" w:eastAsia="Arial" w:hAnsi="Arial"/>
          <w:sz w:val="18"/>
          <w:szCs w:val="18"/>
          <w:color w:val="auto"/>
        </w:rPr>
        <w:t>means the U.S.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805815</wp:posOffset>
            </wp:positionV>
            <wp:extent cx="713232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5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154305</wp:posOffset>
            </wp:positionV>
            <wp:extent cx="1191260" cy="22288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59">
                      <a:extLst>
                        <a:ext uri="{28A0092B-C50C-407E-A947-70E740481C1C}"/>
                      </a:extLst>
                    </a:blip>
                    <a:srcRect/>
                    <a:stretch>
                      <a:fillRect/>
                    </a:stretch>
                  </pic:blipFill>
                  <pic:spPr bwMode="auto">
                    <a:xfrm>
                      <a:off x="0" y="0"/>
                      <a:ext cx="1191260" cy="22288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444" w:name="page445"/>
    <w:bookmarkEnd w:id="444"/>
    <w:p>
      <w:pPr>
        <w:ind w:left="10400"/>
        <w:spacing w:after="0"/>
        <w:rPr>
          <w:sz w:val="20"/>
          <w:szCs w:val="20"/>
          <w:color w:val="auto"/>
        </w:rPr>
      </w:pPr>
      <w:r>
        <w:rPr>
          <w:rFonts w:ascii="Arial" w:cs="Arial" w:eastAsia="Arial" w:hAnsi="Arial"/>
          <w:sz w:val="16"/>
          <w:szCs w:val="16"/>
          <w:b w:val="1"/>
          <w:bCs w:val="1"/>
          <w:color w:val="auto"/>
        </w:rPr>
        <w:t>Exhibit 8.3</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756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0"/>
          <w:szCs w:val="20"/>
          <w:color w:val="auto"/>
        </w:rPr>
      </w:pPr>
    </w:p>
    <w:p>
      <w:pPr>
        <w:ind w:left="7560"/>
        <w:spacing w:after="0"/>
        <w:rPr>
          <w:sz w:val="20"/>
          <w:szCs w:val="20"/>
          <w:color w:val="auto"/>
        </w:rPr>
      </w:pPr>
      <w:r>
        <w:rPr>
          <w:rFonts w:ascii="Arial" w:cs="Arial" w:eastAsia="Arial" w:hAnsi="Arial"/>
          <w:sz w:val="16"/>
          <w:szCs w:val="16"/>
          <w:b w:val="1"/>
          <w:bCs w:val="1"/>
          <w:color w:val="auto"/>
        </w:rPr>
        <w:t>Northern California</w:t>
      </w:r>
    </w:p>
    <w:p>
      <w:pPr>
        <w:spacing w:after="0" w:line="32" w:lineRule="exact"/>
        <w:rPr>
          <w:sz w:val="20"/>
          <w:szCs w:val="20"/>
          <w:color w:val="auto"/>
        </w:rPr>
      </w:pPr>
    </w:p>
    <w:p>
      <w:pPr>
        <w:ind w:left="7560"/>
        <w:spacing w:after="0"/>
        <w:rPr>
          <w:sz w:val="20"/>
          <w:szCs w:val="20"/>
          <w:color w:val="auto"/>
        </w:rPr>
      </w:pPr>
      <w:r>
        <w:rPr>
          <w:rFonts w:ascii="Arial" w:cs="Arial" w:eastAsia="Arial" w:hAnsi="Arial"/>
          <w:sz w:val="18"/>
          <w:szCs w:val="18"/>
          <w:b w:val="1"/>
          <w:bCs w:val="1"/>
          <w:color w:val="auto"/>
        </w:rPr>
        <w:t>Washington DC</w:t>
      </w:r>
    </w:p>
    <w:p>
      <w:pPr>
        <w:spacing w:after="0" w:line="9" w:lineRule="exact"/>
        <w:rPr>
          <w:sz w:val="20"/>
          <w:szCs w:val="20"/>
          <w:color w:val="auto"/>
        </w:rPr>
      </w:pPr>
    </w:p>
    <w:p>
      <w:pPr>
        <w:ind w:left="7560"/>
        <w:spacing w:after="0"/>
        <w:rPr>
          <w:sz w:val="20"/>
          <w:szCs w:val="20"/>
          <w:color w:val="auto"/>
        </w:rPr>
      </w:pPr>
      <w:r>
        <w:rPr>
          <w:rFonts w:ascii="Arial" w:cs="Arial" w:eastAsia="Arial" w:hAnsi="Arial"/>
          <w:sz w:val="18"/>
          <w:szCs w:val="18"/>
          <w:b w:val="1"/>
          <w:bCs w:val="1"/>
          <w:color w:val="auto"/>
        </w:rPr>
        <w:t>São Paulo</w:t>
      </w:r>
    </w:p>
    <w:p>
      <w:pPr>
        <w:spacing w:after="0" w:line="9" w:lineRule="exact"/>
        <w:rPr>
          <w:sz w:val="20"/>
          <w:szCs w:val="20"/>
          <w:color w:val="auto"/>
        </w:rPr>
      </w:pPr>
    </w:p>
    <w:p>
      <w:pPr>
        <w:ind w:left="7560"/>
        <w:spacing w:after="0"/>
        <w:rPr>
          <w:sz w:val="20"/>
          <w:szCs w:val="20"/>
          <w:color w:val="auto"/>
        </w:rPr>
      </w:pPr>
      <w:r>
        <w:rPr>
          <w:rFonts w:ascii="Arial" w:cs="Arial" w:eastAsia="Arial" w:hAnsi="Arial"/>
          <w:sz w:val="18"/>
          <w:szCs w:val="18"/>
          <w:b w:val="1"/>
          <w:bCs w:val="1"/>
          <w:color w:val="auto"/>
        </w:rPr>
        <w:t>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774190" cy="44577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60">
                      <a:extLst>
                        <a:ext uri="{28A0092B-C50C-407E-A947-70E740481C1C}"/>
                      </a:extLst>
                    </a:blip>
                    <a:srcRect/>
                    <a:stretch>
                      <a:fillRect/>
                    </a:stretch>
                  </pic:blipFill>
                  <pic:spPr bwMode="auto">
                    <a:xfrm>
                      <a:off x="0" y="0"/>
                      <a:ext cx="1774190" cy="445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Madrid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Tokyo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Beijing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Hong Kong</w:t>
      </w:r>
    </w:p>
    <w:p>
      <w:pPr>
        <w:spacing w:after="0" w:line="222" w:lineRule="exact"/>
        <w:rPr>
          <w:sz w:val="20"/>
          <w:szCs w:val="20"/>
          <w:color w:val="auto"/>
        </w:rPr>
      </w:pPr>
    </w:p>
    <w:p>
      <w:pPr>
        <w:sectPr>
          <w:pgSz w:w="11900" w:h="16838" w:orient="portrait"/>
          <w:cols w:equalWidth="0" w:num="2">
            <w:col w:w="9100" w:space="460"/>
            <w:col w:w="1680"/>
          </w:cols>
          <w:pgMar w:left="320" w:top="33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20"/>
                <w:szCs w:val="20"/>
                <w:color w:val="auto"/>
              </w:rPr>
            </w:pPr>
            <w:r>
              <w:rPr>
                <w:rFonts w:ascii="Arial" w:cs="Arial" w:eastAsia="Arial" w:hAnsi="Arial"/>
                <w:sz w:val="18"/>
                <w:szCs w:val="18"/>
                <w:color w:val="auto"/>
                <w:w w:val="99"/>
              </w:rPr>
              <w:t xml:space="preserve">Davis Polk &amp; Wardwell </w:t>
            </w:r>
            <w:r>
              <w:rPr>
                <w:rFonts w:ascii="Arial" w:cs="Arial" w:eastAsia="Arial" w:hAnsi="Arial"/>
                <w:sz w:val="12"/>
                <w:szCs w:val="12"/>
                <w:color w:val="auto"/>
                <w:w w:val="99"/>
              </w:rPr>
              <w:t>LLP</w:t>
            </w:r>
          </w:p>
        </w:tc>
        <w:tc>
          <w:tcPr>
            <w:tcW w:w="1340" w:type="dxa"/>
            <w:vAlign w:val="bottom"/>
          </w:tcPr>
          <w:p>
            <w:pPr>
              <w:ind w:left="80"/>
              <w:spacing w:after="0"/>
              <w:rPr>
                <w:sz w:val="20"/>
                <w:szCs w:val="20"/>
                <w:color w:val="auto"/>
              </w:rPr>
            </w:pPr>
            <w:r>
              <w:rPr>
                <w:rFonts w:ascii="Arial" w:cs="Arial" w:eastAsia="Arial" w:hAnsi="Arial"/>
                <w:sz w:val="18"/>
                <w:szCs w:val="18"/>
                <w:color w:val="auto"/>
                <w:w w:val="92"/>
              </w:rPr>
              <w:t>212 450 4000 tel</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450 Lexington Avenue</w:t>
            </w:r>
          </w:p>
        </w:tc>
        <w:tc>
          <w:tcPr>
            <w:tcW w:w="1340" w:type="dxa"/>
            <w:vAlign w:val="bottom"/>
          </w:tcPr>
          <w:p>
            <w:pPr>
              <w:ind w:left="80"/>
              <w:spacing w:after="0"/>
              <w:rPr>
                <w:sz w:val="20"/>
                <w:szCs w:val="20"/>
                <w:color w:val="auto"/>
              </w:rPr>
            </w:pPr>
            <w:r>
              <w:rPr>
                <w:rFonts w:ascii="Arial" w:cs="Arial" w:eastAsia="Arial" w:hAnsi="Arial"/>
                <w:sz w:val="18"/>
                <w:szCs w:val="18"/>
                <w:color w:val="auto"/>
                <w:w w:val="89"/>
              </w:rPr>
              <w:t>212 701 5800 fax</w:t>
            </w: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New York, NY 10017</w:t>
            </w:r>
          </w:p>
        </w:tc>
        <w:tc>
          <w:tcPr>
            <w:tcW w:w="13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January 25,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CureVac N.V.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Friedrich-Miescher-Strasse 1572076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Tübingen, Germany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right="400"/>
        <w:spacing w:after="0" w:line="266" w:lineRule="auto"/>
        <w:rPr>
          <w:sz w:val="20"/>
          <w:szCs w:val="20"/>
          <w:color w:val="auto"/>
        </w:rPr>
      </w:pPr>
      <w:r>
        <w:rPr>
          <w:rFonts w:ascii="Arial" w:cs="Arial" w:eastAsia="Arial" w:hAnsi="Arial"/>
          <w:sz w:val="18"/>
          <w:szCs w:val="18"/>
          <w:color w:val="auto"/>
        </w:rPr>
        <w:t>We are acting as United States counsel to CureVac N.V., a Dutch public company with limited liability (</w:t>
      </w:r>
      <w:r>
        <w:rPr>
          <w:rFonts w:ascii="Arial" w:cs="Arial" w:eastAsia="Arial" w:hAnsi="Arial"/>
          <w:sz w:val="18"/>
          <w:szCs w:val="18"/>
          <w:i w:val="1"/>
          <w:iCs w:val="1"/>
          <w:color w:val="auto"/>
        </w:rPr>
        <w:t>naamloze vennootschap</w:t>
      </w:r>
      <w:r>
        <w:rPr>
          <w:rFonts w:ascii="Arial" w:cs="Arial" w:eastAsia="Arial" w:hAnsi="Arial"/>
          <w:sz w:val="18"/>
          <w:szCs w:val="18"/>
          <w:color w:val="auto"/>
        </w:rPr>
        <w:t>)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preparation of the Registration Statement on Form F-1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filed with the United States Securities and Exchange Commission.</w:t>
      </w:r>
    </w:p>
    <w:p>
      <w:pPr>
        <w:spacing w:after="0" w:line="18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We hereby confirm that our opinion as to the material U.S. federal income tax consequences to U.S. holders of an investment in the Company’s common shares is set forth in full under the caption “Material U.S. Federal Income Tax Considerations to U.S. Holders” in the Registration Statement.</w:t>
      </w:r>
    </w:p>
    <w:p>
      <w:pPr>
        <w:spacing w:after="0" w:line="124"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We are members of the Bar of the State of New York and the foregoing opinion is limited to the laws of the State of New York and the federal laws of the United States.</w:t>
      </w:r>
    </w:p>
    <w:p>
      <w:pPr>
        <w:spacing w:after="0" w:line="170"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We hereby consent to the use of our name under the captions “Material U.S. Federal Income Tax Considerations to U.S. Holders” and “Legal Matters” in the Registration Statement and to the filing, as an exhibit to the Registration Statement, of this letter. In giving this consent we do not admit that we come within the category of persons whose consent is required under Section 7 of the United States Securities Act of 1933.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45" w:name="page446"/>
    <w:bookmarkEnd w:id="445"/>
    <w:p>
      <w:pPr>
        <w:jc w:val="right"/>
        <w:spacing w:after="0"/>
        <w:rPr>
          <w:sz w:val="20"/>
          <w:szCs w:val="20"/>
          <w:color w:val="auto"/>
        </w:rPr>
      </w:pPr>
      <w:r>
        <w:rPr>
          <w:rFonts w:ascii="Arial" w:cs="Arial" w:eastAsia="Arial" w:hAnsi="Arial"/>
          <w:sz w:val="18"/>
          <w:szCs w:val="18"/>
          <w:b w:val="1"/>
          <w:bCs w:val="1"/>
          <w:color w:val="auto"/>
        </w:rPr>
        <w:t>Exhibit 10.42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REDACTED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Certain identified information, indicated by [*****], has been excluded from the exhibit because it is both (i) not material and (ii) would likely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cause competitive harm if publicly disclosed.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1st Amendment to the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DEVELOPMENT AND LICENSE AGREEMENT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effective as of November 9, 2017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CureVac AG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Friedrich-Miescher-Straße 15, 72076 Tübingen, Germany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(hereinafter called "CureVac")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CRISPR Therapeutics AG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Baarerstrasse 14, 6300 Zug, Switzerland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(hereinafter called "CRISPR")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WHEREAS, CRISPR and CUREVAC entered into the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WHEREAS, The Parties wish to adjust the Agreement regarding substitution of Program 1 and the [*****] Program.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THEREFORE, the Parties consent and mutually agree to amend the Agreement as follows.</w:t>
      </w:r>
    </w:p>
    <w:p>
      <w:pPr>
        <w:spacing w:after="0" w:line="225" w:lineRule="exact"/>
        <w:rPr>
          <w:sz w:val="20"/>
          <w:szCs w:val="20"/>
          <w:color w:val="auto"/>
        </w:rPr>
      </w:pPr>
    </w:p>
    <w:p>
      <w:pPr>
        <w:ind w:left="660" w:hanging="328"/>
        <w:spacing w:after="0"/>
        <w:tabs>
          <w:tab w:leader="none" w:pos="660" w:val="left"/>
        </w:tabs>
        <w:numPr>
          <w:ilvl w:val="0"/>
          <w:numId w:val="295"/>
        </w:numPr>
        <w:rPr>
          <w:rFonts w:ascii="Arial" w:cs="Arial" w:eastAsia="Arial" w:hAnsi="Arial"/>
          <w:sz w:val="18"/>
          <w:szCs w:val="18"/>
          <w:b w:val="1"/>
          <w:bCs w:val="1"/>
          <w:color w:val="auto"/>
        </w:rPr>
      </w:pPr>
      <w:r>
        <w:rPr>
          <w:rFonts w:ascii="Arial" w:cs="Arial" w:eastAsia="Arial" w:hAnsi="Arial"/>
          <w:sz w:val="18"/>
          <w:szCs w:val="18"/>
          <w:color w:val="auto"/>
        </w:rPr>
        <w:t>Definition of Reserved Program shall be amended to read:</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1.73 “Reserved Program” shall mean any program that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46" w:name="page447"/>
    <w:bookmarkEnd w:id="446"/>
    <w:p>
      <w:pPr>
        <w:ind w:left="328" w:hanging="328"/>
        <w:spacing w:after="0"/>
        <w:tabs>
          <w:tab w:leader="none" w:pos="328" w:val="left"/>
        </w:tabs>
        <w:numPr>
          <w:ilvl w:val="0"/>
          <w:numId w:val="296"/>
        </w:numPr>
        <w:rPr>
          <w:rFonts w:ascii="Arial" w:cs="Arial" w:eastAsia="Arial" w:hAnsi="Arial"/>
          <w:sz w:val="18"/>
          <w:szCs w:val="18"/>
          <w:b w:val="1"/>
          <w:bCs w:val="1"/>
          <w:color w:val="auto"/>
        </w:rPr>
      </w:pPr>
      <w:r>
        <w:rPr>
          <w:rFonts w:ascii="Arial" w:cs="Arial" w:eastAsia="Arial" w:hAnsi="Arial"/>
          <w:sz w:val="18"/>
          <w:szCs w:val="18"/>
          <w:color w:val="auto"/>
        </w:rPr>
        <w:t>Section 4.2(b) shall hereby be replaced in its entirety and amended to read:</w:t>
      </w:r>
    </w:p>
    <w:p>
      <w:pPr>
        <w:spacing w:after="0" w:line="225" w:lineRule="exact"/>
        <w:rPr>
          <w:sz w:val="20"/>
          <w:szCs w:val="20"/>
          <w:color w:val="auto"/>
        </w:rPr>
      </w:pPr>
    </w:p>
    <w:p>
      <w:pPr>
        <w:ind w:left="528"/>
        <w:spacing w:after="0" w:line="267" w:lineRule="auto"/>
        <w:rPr>
          <w:sz w:val="20"/>
          <w:szCs w:val="20"/>
          <w:color w:val="auto"/>
        </w:rPr>
      </w:pPr>
      <w:r>
        <w:rPr>
          <w:rFonts w:ascii="Arial" w:cs="Arial" w:eastAsia="Arial" w:hAnsi="Arial"/>
          <w:sz w:val="17"/>
          <w:szCs w:val="17"/>
          <w:color w:val="auto"/>
        </w:rPr>
        <w:t>Program 1 Substitution Process. With respect to Program 1, until [*****], CRISPR shall be permitted once to substitute [*****] [*****] for an alternative indication, provided the intended indication has an incidence approximately the same or less than the indication [*****]. The substitution process shall be as follows: CRISPR shall provide CureVac written notice of its request to substitute a target for Program 1 by [*****]. If CureVac provides CRISPR notice that a proposed substitution for Program 1 is a Reserved Program, CureVac shall notify CRISPR within [*****] days after the date on which CureVac receives notice of the proposed substitution if such proposed substitution is a Reserved Program. CureVac shall, if requested by CRISPR in writing, provide CRISPR with such evidence to support that such proposed substitution is a Reserved Program. If after providing such evidence, CRISPR concludes that such a substitution is not a Reserved Program, CRISPR will so notify CureVac, and CureVac will provide such evidence as CureVac believes is reasonably required to establish that such substitution is a Reserved Program to an independent attorney or other expert with experience that is relevant to the dispute and reasonably acceptable to both Parties. Such independent expert will review and make a determination in accordance with this Agreement regarding whether such proposed substitution is a Reserved Program. The independent expert shall promptly notify the Parties of its determination as to whether a proposed substitution is a Reserved Program, but shall not disclose to CRISPR information provided by CureVac in connection with such determination. The independent expert’s determination shall be binding on the Parties, absent a manifest error of such expert's determination. If the independent expert determines such proposed substitution is a Reserved Program, CRISPR shall be permitted to substitute another target for Program 1; if the independent expert determines such proposed substitution is not a Reserved Program, such proposed substitution shall become the target for Program 1. For clarity, the replacement of the primary gene for a back-up gene (as set forth in Attachment G) in accordance with 4.2(a) is not considered a Program 1 substitution.</w:t>
      </w:r>
    </w:p>
    <w:p>
      <w:pPr>
        <w:spacing w:after="0" w:line="191" w:lineRule="exact"/>
        <w:rPr>
          <w:sz w:val="20"/>
          <w:szCs w:val="20"/>
          <w:color w:val="auto"/>
        </w:rPr>
      </w:pPr>
    </w:p>
    <w:p>
      <w:pPr>
        <w:ind w:left="328" w:hanging="328"/>
        <w:spacing w:after="0"/>
        <w:tabs>
          <w:tab w:leader="none" w:pos="328" w:val="left"/>
        </w:tabs>
        <w:numPr>
          <w:ilvl w:val="0"/>
          <w:numId w:val="297"/>
        </w:numPr>
        <w:rPr>
          <w:rFonts w:ascii="Arial" w:cs="Arial" w:eastAsia="Arial" w:hAnsi="Arial"/>
          <w:sz w:val="18"/>
          <w:szCs w:val="18"/>
          <w:b w:val="1"/>
          <w:bCs w:val="1"/>
          <w:color w:val="auto"/>
        </w:rPr>
      </w:pPr>
      <w:r>
        <w:rPr>
          <w:rFonts w:ascii="Arial" w:cs="Arial" w:eastAsia="Arial" w:hAnsi="Arial"/>
          <w:sz w:val="18"/>
          <w:szCs w:val="18"/>
          <w:color w:val="auto"/>
        </w:rPr>
        <w:t>Section 4.2(c) shall hereby be added and shall read:</w:t>
      </w:r>
    </w:p>
    <w:p>
      <w:pPr>
        <w:spacing w:after="0" w:line="225" w:lineRule="exact"/>
        <w:rPr>
          <w:rFonts w:ascii="Arial" w:cs="Arial" w:eastAsia="Arial" w:hAnsi="Arial"/>
          <w:sz w:val="18"/>
          <w:szCs w:val="18"/>
          <w:b w:val="1"/>
          <w:bCs w:val="1"/>
          <w:color w:val="auto"/>
        </w:rPr>
      </w:pPr>
    </w:p>
    <w:p>
      <w:pPr>
        <w:ind w:left="328" w:right="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Substitution Fee. In the event CRISPR substitutes Program 1, a Substitution Fee of [*****] is due within [*****] business days of confirmation of the new target by CureVac, or once the target is confirmed not to be a Reserved Program in accordance with the procedures set forth in Section 4.2(b) above.</w:t>
      </w:r>
    </w:p>
    <w:p>
      <w:pPr>
        <w:spacing w:after="0" w:line="40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447" w:name="page448"/>
    <w:bookmarkEnd w:id="447"/>
    <w:p>
      <w:pPr>
        <w:ind w:left="328" w:hanging="328"/>
        <w:spacing w:after="0"/>
        <w:tabs>
          <w:tab w:leader="none" w:pos="328" w:val="left"/>
        </w:tabs>
        <w:numPr>
          <w:ilvl w:val="0"/>
          <w:numId w:val="298"/>
        </w:numPr>
        <w:rPr>
          <w:rFonts w:ascii="Arial" w:cs="Arial" w:eastAsia="Arial" w:hAnsi="Arial"/>
          <w:sz w:val="18"/>
          <w:szCs w:val="18"/>
          <w:b w:val="1"/>
          <w:bCs w:val="1"/>
          <w:color w:val="auto"/>
        </w:rPr>
      </w:pPr>
      <w:r>
        <w:rPr>
          <w:rFonts w:ascii="Arial" w:cs="Arial" w:eastAsia="Arial" w:hAnsi="Arial"/>
          <w:sz w:val="18"/>
          <w:szCs w:val="18"/>
          <w:color w:val="auto"/>
        </w:rPr>
        <w:t>Section 4.3(a) of the Agreement shall hereby be replaced in its entirety and amended to read:</w:t>
      </w:r>
    </w:p>
    <w:p>
      <w:pPr>
        <w:spacing w:after="0" w:line="225" w:lineRule="exact"/>
        <w:rPr>
          <w:sz w:val="20"/>
          <w:szCs w:val="20"/>
          <w:color w:val="auto"/>
        </w:rPr>
      </w:pPr>
    </w:p>
    <w:p>
      <w:pPr>
        <w:ind w:left="528" w:right="20"/>
        <w:spacing w:after="0" w:line="257" w:lineRule="auto"/>
        <w:rPr>
          <w:sz w:val="20"/>
          <w:szCs w:val="20"/>
          <w:color w:val="auto"/>
        </w:rPr>
      </w:pPr>
      <w:r>
        <w:rPr>
          <w:rFonts w:ascii="Arial" w:cs="Arial" w:eastAsia="Arial" w:hAnsi="Arial"/>
          <w:sz w:val="18"/>
          <w:szCs w:val="18"/>
          <w:color w:val="auto"/>
        </w:rPr>
        <w:t>Substitution. With respect to the [*****] Program, until [*****], CRISPR shall be permitted once to substitute an alternative program for [*****], using the procedures set forth in Section 4.3(b), provided the intended indication has an incidence approximately the same or less than the indication [*****]. The substitution is subject to the substitution fee set forth below in Section 4.3(c), and the milestones set forth in Section 5.4(c) shall not be adjusted for any [*****] Program substitution. For clarity, even if the [*****] Program had already achieved several milestones, the substitution program would have to pay those milestones again.</w:t>
      </w:r>
    </w:p>
    <w:p>
      <w:pPr>
        <w:spacing w:after="0" w:line="188" w:lineRule="exact"/>
        <w:rPr>
          <w:sz w:val="20"/>
          <w:szCs w:val="20"/>
          <w:color w:val="auto"/>
        </w:rPr>
      </w:pPr>
    </w:p>
    <w:p>
      <w:pPr>
        <w:ind w:left="328" w:hanging="328"/>
        <w:spacing w:after="0"/>
        <w:tabs>
          <w:tab w:leader="none" w:pos="328" w:val="left"/>
        </w:tabs>
        <w:numPr>
          <w:ilvl w:val="0"/>
          <w:numId w:val="299"/>
        </w:numPr>
        <w:rPr>
          <w:rFonts w:ascii="Arial" w:cs="Arial" w:eastAsia="Arial" w:hAnsi="Arial"/>
          <w:sz w:val="18"/>
          <w:szCs w:val="18"/>
          <w:b w:val="1"/>
          <w:bCs w:val="1"/>
          <w:color w:val="auto"/>
        </w:rPr>
      </w:pPr>
      <w:r>
        <w:rPr>
          <w:rFonts w:ascii="Arial" w:cs="Arial" w:eastAsia="Arial" w:hAnsi="Arial"/>
          <w:sz w:val="18"/>
          <w:szCs w:val="18"/>
          <w:color w:val="auto"/>
        </w:rPr>
        <w:t>In Section 4.3(b) shall hereby be replaced in its entirety and amended to read:</w:t>
      </w:r>
    </w:p>
    <w:p>
      <w:pPr>
        <w:spacing w:after="0" w:line="225" w:lineRule="exact"/>
        <w:rPr>
          <w:sz w:val="20"/>
          <w:szCs w:val="20"/>
          <w:color w:val="auto"/>
        </w:rPr>
      </w:pPr>
    </w:p>
    <w:p>
      <w:pPr>
        <w:ind w:left="528"/>
        <w:spacing w:after="0" w:line="268" w:lineRule="auto"/>
        <w:rPr>
          <w:sz w:val="20"/>
          <w:szCs w:val="20"/>
          <w:color w:val="auto"/>
        </w:rPr>
      </w:pPr>
      <w:r>
        <w:rPr>
          <w:rFonts w:ascii="Arial" w:cs="Arial" w:eastAsia="Arial" w:hAnsi="Arial"/>
          <w:sz w:val="17"/>
          <w:szCs w:val="17"/>
          <w:color w:val="auto"/>
        </w:rPr>
        <w:t>[*****] Program Substitution Process. CRISPR shall provide CureVac written notice of its request to substitute a target for the [*****] Program by [*****]. If CureVac provides CRISPR notice that a proposed substitution for the [*****] Program is a Reserved Program, CureVac shall notify CRISPR within [*****] days after the date on which CureVac receives notice of the proposed substitution if such proposed substitution is a Reserved Program. CureVac shall, if requested by CRISPR in writing, provide CRISPR with such evidence to support that such proposed substitution is a Reserved Program. If after providing such evidence, CRISPR concludes that such a substitution is not a Reserved Program, CRISPR will so notify CureVac, and CureVac will provide such evidence as CureVac believes is reasonably required to establish that such substitution is a Reserved Program to an independent attorney or other expert with experience that is relevant to the dispute and reasonably acceptable to both Parties. Such independent expert will review and make a determination in accordance with this Agreement regarding whether such proposed substitution is a Reserved Program. The independent expert shall promptly notify the Parties of its determination as to whether a proposed substitution is a Reserved Program, but shall not disclose to CRISPR information provided by CureVac in connection with such determination. The independent expert’s determination shall be binding on the Parties, absent a manifest error of such expert's determination. If the independent expert determines such proposed substitution is a Reserved Program, CRISPR shall be permitted to select another target for the [*****] Program; if the independent expert determines such proposed substitution is not a Reserved Program, such proposed substitution shall become the target for the [*****] Program.</w:t>
      </w:r>
    </w:p>
    <w:p>
      <w:pPr>
        <w:spacing w:after="0" w:line="40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448" w:name="page449"/>
    <w:bookmarkEnd w:id="448"/>
    <w:p>
      <w:pPr>
        <w:ind w:left="660" w:hanging="652"/>
        <w:spacing w:after="0"/>
        <w:tabs>
          <w:tab w:leader="none" w:pos="660" w:val="left"/>
        </w:tabs>
        <w:numPr>
          <w:ilvl w:val="0"/>
          <w:numId w:val="300"/>
        </w:numPr>
        <w:rPr>
          <w:rFonts w:ascii="Arial" w:cs="Arial" w:eastAsia="Arial" w:hAnsi="Arial"/>
          <w:sz w:val="18"/>
          <w:szCs w:val="18"/>
          <w:b w:val="1"/>
          <w:bCs w:val="1"/>
          <w:color w:val="auto"/>
        </w:rPr>
      </w:pPr>
      <w:r>
        <w:rPr>
          <w:rFonts w:ascii="Arial" w:cs="Arial" w:eastAsia="Arial" w:hAnsi="Arial"/>
          <w:sz w:val="18"/>
          <w:szCs w:val="18"/>
          <w:color w:val="auto"/>
        </w:rPr>
        <w:t>In Article 6 “Confidentiality”, the following shall be added to the end of Section 6.1:</w:t>
      </w:r>
    </w:p>
    <w:p>
      <w:pPr>
        <w:spacing w:after="0" w:line="225" w:lineRule="exact"/>
        <w:rPr>
          <w:rFonts w:ascii="Arial" w:cs="Arial" w:eastAsia="Arial" w:hAnsi="Arial"/>
          <w:sz w:val="18"/>
          <w:szCs w:val="18"/>
          <w:b w:val="1"/>
          <w:bCs w:val="1"/>
          <w:color w:val="auto"/>
        </w:rPr>
      </w:pPr>
    </w:p>
    <w:p>
      <w:pPr>
        <w:ind w:left="660"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the purposes of this Article 6 and its Sections 6.1-6.5 and 6.7, Casebia may be a Receiving Party or a Disclosing Party, as the case may be, to allow exchange of Confidential Information amongst CureVac, CRISPR and Casebia.</w:t>
      </w:r>
    </w:p>
    <w:p>
      <w:pPr>
        <w:spacing w:after="0" w:line="170" w:lineRule="exact"/>
        <w:rPr>
          <w:rFonts w:ascii="Arial" w:cs="Arial" w:eastAsia="Arial" w:hAnsi="Arial"/>
          <w:sz w:val="18"/>
          <w:szCs w:val="18"/>
          <w:b w:val="1"/>
          <w:bCs w:val="1"/>
          <w:color w:val="auto"/>
        </w:rPr>
      </w:pPr>
    </w:p>
    <w:p>
      <w:pPr>
        <w:ind w:left="660" w:hanging="652"/>
        <w:spacing w:after="0"/>
        <w:tabs>
          <w:tab w:leader="none" w:pos="660" w:val="left"/>
        </w:tabs>
        <w:numPr>
          <w:ilvl w:val="0"/>
          <w:numId w:val="300"/>
        </w:numPr>
        <w:rPr>
          <w:rFonts w:ascii="Arial" w:cs="Arial" w:eastAsia="Arial" w:hAnsi="Arial"/>
          <w:sz w:val="18"/>
          <w:szCs w:val="18"/>
          <w:b w:val="1"/>
          <w:bCs w:val="1"/>
          <w:color w:val="auto"/>
        </w:rPr>
      </w:pPr>
      <w:r>
        <w:rPr>
          <w:rFonts w:ascii="Arial" w:cs="Arial" w:eastAsia="Arial" w:hAnsi="Arial"/>
          <w:sz w:val="18"/>
          <w:szCs w:val="18"/>
          <w:color w:val="auto"/>
        </w:rPr>
        <w:t>In Article 15.2 CureVac’s address shall be changed to:</w:t>
      </w:r>
    </w:p>
    <w:p>
      <w:pPr>
        <w:spacing w:after="0" w:line="225" w:lineRule="exact"/>
        <w:rPr>
          <w:rFonts w:ascii="Arial" w:cs="Arial" w:eastAsia="Arial" w:hAnsi="Arial"/>
          <w:sz w:val="18"/>
          <w:szCs w:val="18"/>
          <w:b w:val="1"/>
          <w:bCs w:val="1"/>
          <w:color w:val="auto"/>
        </w:rPr>
      </w:pPr>
    </w:p>
    <w:p>
      <w:pPr>
        <w:ind w:left="660" w:right="86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CureVac AG Friedrich-Miescher-Str. 15 72076 Tübingen Germany</w:t>
      </w:r>
    </w:p>
    <w:p>
      <w:pPr>
        <w:spacing w:after="0" w:line="20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Attention: CEO and General Counsel</w:t>
      </w:r>
    </w:p>
    <w:p>
      <w:pPr>
        <w:spacing w:after="0" w:line="214" w:lineRule="exact"/>
        <w:rPr>
          <w:rFonts w:ascii="Arial" w:cs="Arial" w:eastAsia="Arial" w:hAnsi="Arial"/>
          <w:sz w:val="18"/>
          <w:szCs w:val="18"/>
          <w:b w:val="1"/>
          <w:bCs w:val="1"/>
          <w:color w:val="auto"/>
        </w:rPr>
      </w:pPr>
    </w:p>
    <w:p>
      <w:pPr>
        <w:ind w:left="660" w:right="220" w:hanging="652"/>
        <w:spacing w:after="0" w:line="197" w:lineRule="auto"/>
        <w:tabs>
          <w:tab w:leader="none" w:pos="660" w:val="left"/>
        </w:tabs>
        <w:numPr>
          <w:ilvl w:val="0"/>
          <w:numId w:val="300"/>
        </w:numPr>
        <w:rPr>
          <w:rFonts w:ascii="Arial" w:cs="Arial" w:eastAsia="Arial" w:hAnsi="Arial"/>
          <w:sz w:val="34"/>
          <w:szCs w:val="34"/>
          <w:b w:val="1"/>
          <w:bCs w:val="1"/>
          <w:color w:val="auto"/>
          <w:vertAlign w:val="superscript"/>
        </w:rPr>
      </w:pPr>
      <w:r>
        <w:rPr>
          <w:rFonts w:ascii="Arial" w:cs="Arial" w:eastAsia="Arial" w:hAnsi="Arial"/>
          <w:sz w:val="17"/>
          <w:szCs w:val="17"/>
          <w:color w:val="auto"/>
        </w:rPr>
        <w:t>This 1</w:t>
      </w:r>
      <w:r>
        <w:rPr>
          <w:rFonts w:ascii="Arial" w:cs="Arial" w:eastAsia="Arial" w:hAnsi="Arial"/>
          <w:sz w:val="27"/>
          <w:szCs w:val="27"/>
          <w:color w:val="auto"/>
          <w:vertAlign w:val="superscript"/>
        </w:rPr>
        <w:t>st</w:t>
      </w:r>
      <w:r>
        <w:rPr>
          <w:rFonts w:ascii="Arial" w:cs="Arial" w:eastAsia="Arial" w:hAnsi="Arial"/>
          <w:sz w:val="17"/>
          <w:szCs w:val="17"/>
          <w:color w:val="auto"/>
        </w:rPr>
        <w:t xml:space="preserve"> Amendment shall enter into force upon signature by both Parties. The remaining terms and conditions of the Agreement shall remain in full force and effect. Capitalized terms used in this 1st Amendment shall have the same meaning as defined in the Agreement.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CUREVAC AG</w:t>
            </w:r>
          </w:p>
        </w:tc>
        <w:tc>
          <w:tcPr>
            <w:tcW w:w="5840" w:type="dxa"/>
            <w:vAlign w:val="bottom"/>
            <w:gridSpan w:val="2"/>
          </w:tcPr>
          <w:p>
            <w:pPr>
              <w:ind w:left="460"/>
              <w:spacing w:after="0"/>
              <w:rPr>
                <w:sz w:val="20"/>
                <w:szCs w:val="20"/>
                <w:color w:val="auto"/>
              </w:rPr>
            </w:pPr>
            <w:r>
              <w:rPr>
                <w:rFonts w:ascii="Arial" w:cs="Arial" w:eastAsia="Arial" w:hAnsi="Arial"/>
                <w:sz w:val="18"/>
                <w:szCs w:val="18"/>
                <w:b w:val="1"/>
                <w:bCs w:val="1"/>
                <w:color w:val="auto"/>
              </w:rPr>
              <w:t>CRISPR Therapeutics AG</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t>
            </w:r>
          </w:p>
        </w:tc>
        <w:tc>
          <w:tcPr>
            <w:tcW w:w="1020" w:type="dxa"/>
            <w:vAlign w:val="bottom"/>
          </w:tcPr>
          <w:p>
            <w:pPr>
              <w:ind w:left="46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1020" w:type="dxa"/>
            <w:vAlign w:val="bottom"/>
          </w:tcPr>
          <w:p>
            <w:pPr>
              <w:ind w:left="460"/>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Senior Legal Counsel</w:t>
            </w:r>
          </w:p>
        </w:tc>
        <w:tc>
          <w:tcPr>
            <w:tcW w:w="1020" w:type="dxa"/>
            <w:vAlign w:val="bottom"/>
          </w:tcPr>
          <w:p>
            <w:pPr>
              <w:ind w:left="460"/>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t>
            </w:r>
          </w:p>
        </w:tc>
        <w:tc>
          <w:tcPr>
            <w:tcW w:w="102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1020" w:type="dxa"/>
            <w:vAlign w:val="bottom"/>
          </w:tcPr>
          <w:p>
            <w:pPr>
              <w:spacing w:after="0"/>
              <w:rPr>
                <w:sz w:val="16"/>
                <w:szCs w:val="16"/>
                <w:color w:val="auto"/>
              </w:rPr>
            </w:pPr>
          </w:p>
        </w:tc>
        <w:tc>
          <w:tcPr>
            <w:tcW w:w="4820" w:type="dxa"/>
            <w:vAlign w:val="bottom"/>
          </w:tcPr>
          <w:p>
            <w:pPr>
              <w:spacing w:after="0"/>
              <w:rPr>
                <w:sz w:val="16"/>
                <w:szCs w:val="16"/>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Legal Counsel</w:t>
            </w:r>
          </w:p>
        </w:tc>
        <w:tc>
          <w:tcPr>
            <w:tcW w:w="1020" w:type="dxa"/>
            <w:vAlign w:val="bottom"/>
          </w:tcPr>
          <w:p>
            <w:pPr>
              <w:spacing w:after="0"/>
              <w:rPr>
                <w:sz w:val="20"/>
                <w:szCs w:val="20"/>
                <w:color w:val="auto"/>
              </w:rPr>
            </w:pPr>
          </w:p>
        </w:tc>
        <w:tc>
          <w:tcPr>
            <w:tcW w:w="4820" w:type="dxa"/>
            <w:vAlign w:val="bottom"/>
          </w:tcPr>
          <w:p>
            <w:pPr>
              <w:spacing w:after="0"/>
              <w:rPr>
                <w:sz w:val="20"/>
                <w:szCs w:val="20"/>
                <w:color w:val="auto"/>
              </w:rPr>
            </w:pPr>
          </w:p>
        </w:tc>
      </w:tr>
      <w:tr>
        <w:trPr>
          <w:trHeight w:val="648"/>
        </w:trPr>
        <w:tc>
          <w:tcPr>
            <w:tcW w:w="58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4</w:t>
            </w: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449" w:name="page450"/>
    <w:bookmarkEnd w:id="449"/>
    <w:p>
      <w:pPr>
        <w:jc w:val="right"/>
        <w:spacing w:after="0"/>
        <w:rPr>
          <w:sz w:val="20"/>
          <w:szCs w:val="20"/>
          <w:color w:val="auto"/>
        </w:rPr>
      </w:pPr>
      <w:r>
        <w:rPr>
          <w:rFonts w:ascii="Arial" w:cs="Arial" w:eastAsia="Arial" w:hAnsi="Arial"/>
          <w:sz w:val="18"/>
          <w:szCs w:val="18"/>
          <w:b w:val="1"/>
          <w:bCs w:val="1"/>
          <w:color w:val="auto"/>
        </w:rPr>
        <w:t>Exhibit 10.43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REDACTED</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Certain identified information, indicated by [*****], has been excluded from the exhibit because it is both (i) not material and (ii) would likely cause competitive harm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2648585" cy="60007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65">
                      <a:extLst>
                        <a:ext uri="{28A0092B-C50C-407E-A947-70E740481C1C}"/>
                      </a:extLst>
                    </a:blip>
                    <a:srcRect/>
                    <a:stretch>
                      <a:fillRect/>
                    </a:stretch>
                  </pic:blipFill>
                  <pic:spPr bwMode="auto">
                    <a:xfrm>
                      <a:off x="0" y="0"/>
                      <a:ext cx="264858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2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760" w:type="dxa"/>
            <w:vAlign w:val="bottom"/>
            <w:gridSpan w:val="2"/>
          </w:tcPr>
          <w:p>
            <w:pPr>
              <w:jc w:val="center"/>
              <w:ind w:right="3480"/>
              <w:spacing w:after="0"/>
              <w:rPr>
                <w:sz w:val="20"/>
                <w:szCs w:val="20"/>
                <w:color w:val="auto"/>
              </w:rPr>
            </w:pPr>
            <w:r>
              <w:rPr>
                <w:rFonts w:ascii="Arial" w:cs="Arial" w:eastAsia="Arial" w:hAnsi="Arial"/>
                <w:sz w:val="18"/>
                <w:szCs w:val="18"/>
                <w:b w:val="1"/>
                <w:bCs w:val="1"/>
                <w:color w:val="auto"/>
              </w:rPr>
              <w:t>AMENDMENT 4</w:t>
            </w:r>
          </w:p>
        </w:tc>
        <w:tc>
          <w:tcPr>
            <w:tcW w:w="0" w:type="dxa"/>
            <w:vAlign w:val="bottom"/>
          </w:tcPr>
          <w:p>
            <w:pPr>
              <w:spacing w:after="0"/>
              <w:rPr>
                <w:sz w:val="1"/>
                <w:szCs w:val="1"/>
                <w:color w:val="auto"/>
              </w:rPr>
            </w:pPr>
          </w:p>
        </w:tc>
      </w:tr>
      <w:tr>
        <w:trPr>
          <w:trHeight w:val="212"/>
        </w:trPr>
        <w:tc>
          <w:tcPr>
            <w:tcW w:w="2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760" w:type="dxa"/>
            <w:vAlign w:val="bottom"/>
            <w:gridSpan w:val="2"/>
          </w:tcPr>
          <w:p>
            <w:pPr>
              <w:jc w:val="center"/>
              <w:ind w:right="3460"/>
              <w:spacing w:after="0"/>
              <w:rPr>
                <w:sz w:val="20"/>
                <w:szCs w:val="20"/>
                <w:color w:val="auto"/>
              </w:rPr>
            </w:pPr>
            <w:r>
              <w:rPr>
                <w:rFonts w:ascii="Arial" w:cs="Arial" w:eastAsia="Arial" w:hAnsi="Arial"/>
                <w:sz w:val="18"/>
                <w:szCs w:val="18"/>
                <w:color w:val="auto"/>
                <w:w w:val="92"/>
              </w:rPr>
              <w:t>to</w:t>
            </w:r>
          </w:p>
        </w:tc>
        <w:tc>
          <w:tcPr>
            <w:tcW w:w="0" w:type="dxa"/>
            <w:vAlign w:val="bottom"/>
          </w:tcPr>
          <w:p>
            <w:pPr>
              <w:spacing w:after="0"/>
              <w:rPr>
                <w:sz w:val="1"/>
                <w:szCs w:val="1"/>
                <w:color w:val="auto"/>
              </w:rPr>
            </w:pPr>
          </w:p>
        </w:tc>
      </w:tr>
      <w:tr>
        <w:trPr>
          <w:trHeight w:val="220"/>
        </w:trPr>
        <w:tc>
          <w:tcPr>
            <w:tcW w:w="2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760" w:type="dxa"/>
            <w:vAlign w:val="bottom"/>
            <w:gridSpan w:val="2"/>
          </w:tcPr>
          <w:p>
            <w:pPr>
              <w:jc w:val="center"/>
              <w:ind w:right="3480"/>
              <w:spacing w:after="0"/>
              <w:rPr>
                <w:sz w:val="20"/>
                <w:szCs w:val="20"/>
                <w:color w:val="auto"/>
              </w:rPr>
            </w:pPr>
            <w:r>
              <w:rPr>
                <w:rFonts w:ascii="Arial" w:cs="Arial" w:eastAsia="Arial" w:hAnsi="Arial"/>
                <w:sz w:val="18"/>
                <w:szCs w:val="18"/>
                <w:b w:val="1"/>
                <w:bCs w:val="1"/>
                <w:color w:val="auto"/>
              </w:rPr>
              <w:t>DEFINITIVE AGREEMENT 1</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760" w:type="dxa"/>
            <w:vAlign w:val="bottom"/>
            <w:gridSpan w:val="2"/>
          </w:tcPr>
          <w:p>
            <w:pPr>
              <w:jc w:val="center"/>
              <w:ind w:right="3480"/>
              <w:spacing w:after="0"/>
              <w:rPr>
                <w:sz w:val="20"/>
                <w:szCs w:val="20"/>
                <w:color w:val="auto"/>
              </w:rPr>
            </w:pPr>
            <w:r>
              <w:rPr>
                <w:rFonts w:ascii="Arial" w:cs="Arial" w:eastAsia="Arial" w:hAnsi="Arial"/>
                <w:sz w:val="18"/>
                <w:szCs w:val="18"/>
                <w:color w:val="auto"/>
                <w:w w:val="93"/>
              </w:rPr>
              <w:t>Investment ID INV-020846 (previously 25808)</w:t>
            </w:r>
          </w:p>
        </w:tc>
        <w:tc>
          <w:tcPr>
            <w:tcW w:w="0" w:type="dxa"/>
            <w:vAlign w:val="bottom"/>
          </w:tcPr>
          <w:p>
            <w:pPr>
              <w:spacing w:after="0"/>
              <w:rPr>
                <w:sz w:val="1"/>
                <w:szCs w:val="1"/>
                <w:color w:val="auto"/>
              </w:rPr>
            </w:pPr>
          </w:p>
        </w:tc>
      </w:tr>
      <w:tr>
        <w:trPr>
          <w:trHeight w:val="391"/>
        </w:trPr>
        <w:tc>
          <w:tcPr>
            <w:tcW w:w="2840" w:type="dxa"/>
            <w:vAlign w:val="bottom"/>
          </w:tcPr>
          <w:p>
            <w:pPr>
              <w:spacing w:after="0"/>
              <w:rPr>
                <w:sz w:val="24"/>
                <w:szCs w:val="24"/>
                <w:color w:val="auto"/>
              </w:rPr>
            </w:pPr>
          </w:p>
        </w:tc>
        <w:tc>
          <w:tcPr>
            <w:tcW w:w="8400" w:type="dxa"/>
            <w:vAlign w:val="bottom"/>
            <w:gridSpan w:val="3"/>
          </w:tcPr>
          <w:p>
            <w:pPr>
              <w:jc w:val="center"/>
              <w:ind w:right="2840"/>
              <w:spacing w:after="0"/>
              <w:rPr>
                <w:sz w:val="20"/>
                <w:szCs w:val="20"/>
                <w:color w:val="auto"/>
              </w:rPr>
            </w:pPr>
            <w:r>
              <w:rPr>
                <w:rFonts w:ascii="Arial" w:cs="Arial" w:eastAsia="Arial" w:hAnsi="Arial"/>
                <w:sz w:val="18"/>
                <w:szCs w:val="18"/>
                <w:b w:val="1"/>
                <w:bCs w:val="1"/>
                <w:color w:val="auto"/>
              </w:rPr>
              <w:t>AMENDMENT SUMMARY AND SIGNATURE PAGE</w:t>
            </w:r>
          </w:p>
        </w:tc>
        <w:tc>
          <w:tcPr>
            <w:tcW w:w="0" w:type="dxa"/>
            <w:vAlign w:val="bottom"/>
          </w:tcPr>
          <w:p>
            <w:pPr>
              <w:spacing w:after="0"/>
              <w:rPr>
                <w:sz w:val="1"/>
                <w:szCs w:val="1"/>
                <w:color w:val="auto"/>
              </w:rPr>
            </w:pPr>
          </w:p>
        </w:tc>
      </w:tr>
      <w:tr>
        <w:trPr>
          <w:trHeight w:val="237"/>
        </w:trPr>
        <w:tc>
          <w:tcPr>
            <w:tcW w:w="28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280" w:type="dxa"/>
            <w:vAlign w:val="bottom"/>
            <w:tcBorders>
              <w:top w:val="single" w:sz="8" w:color="auto"/>
              <w:bottom w:val="single" w:sz="8" w:color="auto"/>
            </w:tcBorders>
          </w:tcPr>
          <w:p>
            <w:pPr>
              <w:spacing w:after="0"/>
              <w:rPr>
                <w:sz w:val="20"/>
                <w:szCs w:val="20"/>
                <w:color w:val="auto"/>
              </w:rPr>
            </w:pPr>
          </w:p>
        </w:tc>
        <w:tc>
          <w:tcPr>
            <w:tcW w:w="3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8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AMENDMENT INFORMATION</w:t>
            </w:r>
          </w:p>
        </w:tc>
        <w:tc>
          <w:tcPr>
            <w:tcW w:w="640" w:type="dxa"/>
            <w:vAlign w:val="bottom"/>
            <w:tcBorders>
              <w:bottom w:val="single" w:sz="8" w:color="auto"/>
            </w:tcBorders>
          </w:tcPr>
          <w:p>
            <w:pPr>
              <w:spacing w:after="0"/>
              <w:rPr>
                <w:sz w:val="18"/>
                <w:szCs w:val="18"/>
                <w:color w:val="auto"/>
              </w:rPr>
            </w:pPr>
          </w:p>
        </w:tc>
        <w:tc>
          <w:tcPr>
            <w:tcW w:w="4280" w:type="dxa"/>
            <w:vAlign w:val="bottom"/>
            <w:tcBorders>
              <w:bottom w:val="single" w:sz="8" w:color="auto"/>
            </w:tcBorders>
          </w:tcPr>
          <w:p>
            <w:pPr>
              <w:spacing w:after="0"/>
              <w:rPr>
                <w:sz w:val="18"/>
                <w:szCs w:val="18"/>
                <w:color w:val="auto"/>
              </w:rPr>
            </w:pPr>
          </w:p>
        </w:tc>
        <w:tc>
          <w:tcPr>
            <w:tcW w:w="34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8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Agreement to be Amended:</w:t>
            </w:r>
          </w:p>
        </w:tc>
        <w:tc>
          <w:tcPr>
            <w:tcW w:w="8400" w:type="dxa"/>
            <w:vAlign w:val="bottom"/>
            <w:tcBorders>
              <w:right w:val="single" w:sz="8" w:color="auto"/>
            </w:tcBorders>
            <w:gridSpan w:val="3"/>
          </w:tcPr>
          <w:p>
            <w:pPr>
              <w:ind w:left="80"/>
              <w:spacing w:after="0" w:line="195" w:lineRule="exact"/>
              <w:rPr>
                <w:sz w:val="20"/>
                <w:szCs w:val="20"/>
                <w:color w:val="auto"/>
              </w:rPr>
            </w:pPr>
            <w:r>
              <w:rPr>
                <w:rFonts w:ascii="Arial" w:cs="Arial" w:eastAsia="Arial" w:hAnsi="Arial"/>
                <w:sz w:val="18"/>
                <w:szCs w:val="18"/>
                <w:color w:val="auto"/>
                <w:w w:val="93"/>
              </w:rPr>
              <w:t>Definitive Agreement 4 between the Bill &amp; Melinda Gates Foundation and CureVac AG, effective May 15, 2014,</w:t>
            </w:r>
          </w:p>
        </w:tc>
        <w:tc>
          <w:tcPr>
            <w:tcW w:w="0" w:type="dxa"/>
            <w:vAlign w:val="bottom"/>
          </w:tcPr>
          <w:p>
            <w:pPr>
              <w:spacing w:after="0"/>
              <w:rPr>
                <w:sz w:val="1"/>
                <w:szCs w:val="1"/>
                <w:color w:val="auto"/>
              </w:rPr>
            </w:pPr>
          </w:p>
        </w:tc>
      </w:tr>
      <w:tr>
        <w:trPr>
          <w:trHeight w:val="122"/>
        </w:trPr>
        <w:tc>
          <w:tcPr>
            <w:tcW w:w="2840" w:type="dxa"/>
            <w:vAlign w:val="bottom"/>
            <w:tcBorders>
              <w:left w:val="single" w:sz="8" w:color="auto"/>
              <w:right w:val="single" w:sz="8" w:color="auto"/>
            </w:tcBorders>
            <w:vMerge w:val="continue"/>
          </w:tcPr>
          <w:p>
            <w:pPr>
              <w:spacing w:after="0"/>
              <w:rPr>
                <w:sz w:val="10"/>
                <w:szCs w:val="10"/>
                <w:color w:val="auto"/>
              </w:rPr>
            </w:pPr>
          </w:p>
        </w:tc>
        <w:tc>
          <w:tcPr>
            <w:tcW w:w="8400" w:type="dxa"/>
            <w:vAlign w:val="bottom"/>
            <w:tcBorders>
              <w:right w:val="single" w:sz="8" w:color="auto"/>
            </w:tcBorders>
            <w:gridSpan w:val="3"/>
            <w:vMerge w:val="restart"/>
          </w:tcPr>
          <w:p>
            <w:pPr>
              <w:ind w:left="80"/>
              <w:spacing w:after="0"/>
              <w:rPr>
                <w:sz w:val="20"/>
                <w:szCs w:val="20"/>
                <w:color w:val="auto"/>
              </w:rPr>
            </w:pPr>
            <w:r>
              <w:rPr>
                <w:rFonts w:ascii="Arial" w:cs="Arial" w:eastAsia="Arial" w:hAnsi="Arial"/>
                <w:sz w:val="18"/>
                <w:szCs w:val="18"/>
                <w:color w:val="auto"/>
              </w:rPr>
              <w:t>and bearing Investment ID INV-020846</w:t>
            </w: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bottom w:val="single" w:sz="8" w:color="auto"/>
              <w:right w:val="single" w:sz="8" w:color="auto"/>
            </w:tcBorders>
          </w:tcPr>
          <w:p>
            <w:pPr>
              <w:spacing w:after="0"/>
              <w:rPr>
                <w:sz w:val="9"/>
                <w:szCs w:val="9"/>
                <w:color w:val="auto"/>
              </w:rPr>
            </w:pPr>
          </w:p>
        </w:tc>
        <w:tc>
          <w:tcPr>
            <w:tcW w:w="8400" w:type="dxa"/>
            <w:vAlign w:val="bottom"/>
            <w:tcBorders>
              <w:bottom w:val="single" w:sz="8" w:color="auto"/>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Agreement Title:</w:t>
            </w:r>
          </w:p>
        </w:tc>
        <w:tc>
          <w:tcPr>
            <w:tcW w:w="840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Assessment of RNA Vaccine Technology for Non-live Rotavirus Vaccines in Pre- clinical Models</w:t>
            </w:r>
          </w:p>
        </w:tc>
        <w:tc>
          <w:tcPr>
            <w:tcW w:w="0" w:type="dxa"/>
            <w:vAlign w:val="bottom"/>
          </w:tcPr>
          <w:p>
            <w:pPr>
              <w:spacing w:after="0"/>
              <w:rPr>
                <w:sz w:val="1"/>
                <w:szCs w:val="1"/>
                <w:color w:val="auto"/>
              </w:rPr>
            </w:pPr>
          </w:p>
        </w:tc>
      </w:tr>
      <w:tr>
        <w:trPr>
          <w:trHeight w:val="210"/>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Amendment Effective Date</w:t>
            </w:r>
            <w:r>
              <w:rPr>
                <w:rFonts w:ascii="Arial" w:cs="Arial" w:eastAsia="Arial" w:hAnsi="Arial"/>
                <w:sz w:val="18"/>
                <w:szCs w:val="18"/>
                <w:color w:val="auto"/>
              </w:rPr>
              <w:t>”:</w:t>
            </w:r>
          </w:p>
        </w:tc>
        <w:tc>
          <w:tcPr>
            <w:tcW w:w="840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Date of last signature below</w:t>
            </w:r>
          </w:p>
        </w:tc>
        <w:tc>
          <w:tcPr>
            <w:tcW w:w="0" w:type="dxa"/>
            <w:vAlign w:val="bottom"/>
          </w:tcPr>
          <w:p>
            <w:pPr>
              <w:spacing w:after="0"/>
              <w:rPr>
                <w:sz w:val="1"/>
                <w:szCs w:val="1"/>
                <w:color w:val="auto"/>
              </w:rPr>
            </w:pPr>
          </w:p>
        </w:tc>
      </w:tr>
      <w:tr>
        <w:trPr>
          <w:trHeight w:val="209"/>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Amendment Purpose:</w:t>
            </w:r>
          </w:p>
        </w:tc>
        <w:tc>
          <w:tcPr>
            <w:tcW w:w="840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Supplement</w:t>
            </w:r>
          </w:p>
        </w:tc>
        <w:tc>
          <w:tcPr>
            <w:tcW w:w="0" w:type="dxa"/>
            <w:vAlign w:val="bottom"/>
          </w:tcPr>
          <w:p>
            <w:pPr>
              <w:spacing w:after="0"/>
              <w:rPr>
                <w:sz w:val="1"/>
                <w:szCs w:val="1"/>
                <w:color w:val="auto"/>
              </w:rPr>
            </w:pPr>
          </w:p>
        </w:tc>
      </w:tr>
      <w:tr>
        <w:trPr>
          <w:trHeight w:val="411"/>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This Amendment includes</w:t>
            </w:r>
          </w:p>
        </w:tc>
        <w:tc>
          <w:tcPr>
            <w:tcW w:w="840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This Amendment Summary and Signature Page and:</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and incorporates into the</w:t>
            </w:r>
          </w:p>
        </w:tc>
        <w:tc>
          <w:tcPr>
            <w:tcW w:w="840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  Amended Timeline (Attachment C-4 – Appendix 1, Section I,4)</w:t>
            </w:r>
          </w:p>
        </w:tc>
        <w:tc>
          <w:tcPr>
            <w:tcW w:w="0" w:type="dxa"/>
            <w:vAlign w:val="bottom"/>
          </w:tcPr>
          <w:p>
            <w:pPr>
              <w:spacing w:after="0"/>
              <w:rPr>
                <w:sz w:val="1"/>
                <w:szCs w:val="1"/>
                <w:color w:val="auto"/>
              </w:rPr>
            </w:pPr>
          </w:p>
        </w:tc>
      </w:tr>
      <w:tr>
        <w:trPr>
          <w:trHeight w:val="230"/>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Agreement by this reference:</w:t>
            </w:r>
          </w:p>
        </w:tc>
        <w:tc>
          <w:tcPr>
            <w:tcW w:w="840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  Amended Budget and Payment (Attachment D-4 - Appendix 1, Section II, 1)</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280" w:type="dxa"/>
            <w:vAlign w:val="bottom"/>
            <w:tcBorders>
              <w:bottom w:val="single" w:sz="8" w:color="auto"/>
            </w:tcBorders>
          </w:tcPr>
          <w:p>
            <w:pPr>
              <w:spacing w:after="0"/>
              <w:rPr>
                <w:sz w:val="18"/>
                <w:szCs w:val="18"/>
                <w:color w:val="auto"/>
              </w:rPr>
            </w:pPr>
          </w:p>
        </w:tc>
        <w:tc>
          <w:tcPr>
            <w:tcW w:w="34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THIS AMENDMENT </w:t>
      </w:r>
      <w:r>
        <w:rPr>
          <w:rFonts w:ascii="Arial" w:cs="Arial" w:eastAsia="Arial" w:hAnsi="Arial"/>
          <w:sz w:val="17"/>
          <w:szCs w:val="17"/>
          <w:color w:val="auto"/>
        </w:rPr>
        <w:t>amends, and is made part of, the above-referenced Agreement and is effective as of the Amendment Effective Date. Capitalized</w:t>
      </w:r>
      <w:r>
        <w:rPr>
          <w:rFonts w:ascii="Arial" w:cs="Arial" w:eastAsia="Arial" w:hAnsi="Arial"/>
          <w:sz w:val="17"/>
          <w:szCs w:val="17"/>
          <w:b w:val="1"/>
          <w:bCs w:val="1"/>
          <w:color w:val="auto"/>
        </w:rPr>
        <w:t xml:space="preserve"> </w:t>
      </w:r>
      <w:r>
        <w:rPr>
          <w:rFonts w:ascii="Arial" w:cs="Arial" w:eastAsia="Arial" w:hAnsi="Arial"/>
          <w:sz w:val="17"/>
          <w:szCs w:val="17"/>
          <w:color w:val="auto"/>
        </w:rPr>
        <w:t>terms not defined in this Amendment will have the meaning provided in the Agreement. Except as modified by this Amendment, all other terms and conditions of the Agreement remain in full force and effect. By signing below, each Party acknowledges that it has carefully read and fully understood this Amendment, and each agrees to be bound by its terms. Facsimile and electronic signatures will be binding for all purposes.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ind w:left="100"/>
              <w:spacing w:after="0"/>
              <w:rPr>
                <w:sz w:val="20"/>
                <w:szCs w:val="20"/>
                <w:color w:val="auto"/>
              </w:rPr>
            </w:pPr>
            <w:r>
              <w:rPr>
                <w:rFonts w:ascii="Arial" w:cs="Arial" w:eastAsia="Arial" w:hAnsi="Arial"/>
                <w:sz w:val="18"/>
                <w:szCs w:val="18"/>
                <w:b w:val="1"/>
                <w:bCs w:val="1"/>
                <w:color w:val="auto"/>
              </w:rPr>
              <w:t>BILL &amp; MELINDA GATES FOUNDATION</w:t>
            </w:r>
          </w:p>
        </w:tc>
        <w:tc>
          <w:tcPr>
            <w:tcW w:w="660" w:type="dxa"/>
            <w:vAlign w:val="bottom"/>
          </w:tcPr>
          <w:p>
            <w:pPr>
              <w:spacing w:after="0"/>
              <w:rPr>
                <w:sz w:val="20"/>
                <w:szCs w:val="20"/>
                <w:color w:val="auto"/>
              </w:rPr>
            </w:pPr>
          </w:p>
        </w:tc>
        <w:tc>
          <w:tcPr>
            <w:tcW w:w="5500" w:type="dxa"/>
            <w:vAlign w:val="bottom"/>
          </w:tcPr>
          <w:p>
            <w:pPr>
              <w:ind w:left="100"/>
              <w:spacing w:after="0"/>
              <w:rPr>
                <w:sz w:val="20"/>
                <w:szCs w:val="20"/>
                <w:color w:val="auto"/>
              </w:rPr>
            </w:pPr>
            <w:r>
              <w:rPr>
                <w:rFonts w:ascii="Arial" w:cs="Arial" w:eastAsia="Arial" w:hAnsi="Arial"/>
                <w:sz w:val="18"/>
                <w:szCs w:val="18"/>
                <w:b w:val="1"/>
                <w:bCs w:val="1"/>
                <w:color w:val="auto"/>
              </w:rPr>
              <w:t>CUREVAC AG</w:t>
            </w:r>
          </w:p>
        </w:tc>
      </w:tr>
      <w:tr>
        <w:trPr>
          <w:trHeight w:val="432"/>
        </w:trPr>
        <w:tc>
          <w:tcPr>
            <w:tcW w:w="5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w:t>
            </w:r>
          </w:p>
        </w:tc>
        <w:tc>
          <w:tcPr>
            <w:tcW w:w="660" w:type="dxa"/>
            <w:vAlign w:val="bottom"/>
          </w:tcPr>
          <w:p>
            <w:pPr>
              <w:spacing w:after="0"/>
              <w:rPr>
                <w:sz w:val="24"/>
                <w:szCs w:val="24"/>
                <w:color w:val="auto"/>
              </w:rPr>
            </w:pPr>
          </w:p>
        </w:tc>
        <w:tc>
          <w:tcPr>
            <w:tcW w:w="5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w:t>
            </w:r>
          </w:p>
        </w:tc>
      </w:tr>
      <w:tr>
        <w:trPr>
          <w:trHeight w:val="195"/>
        </w:trPr>
        <w:tc>
          <w:tcPr>
            <w:tcW w:w="5080" w:type="dxa"/>
            <w:vAlign w:val="bottom"/>
          </w:tcPr>
          <w:p>
            <w:pPr>
              <w:ind w:left="100"/>
              <w:spacing w:after="0" w:line="195" w:lineRule="exact"/>
              <w:rPr>
                <w:sz w:val="20"/>
                <w:szCs w:val="20"/>
                <w:color w:val="auto"/>
              </w:rPr>
            </w:pPr>
            <w:r>
              <w:rPr>
                <w:rFonts w:ascii="Arial" w:cs="Arial" w:eastAsia="Arial" w:hAnsi="Arial"/>
                <w:sz w:val="18"/>
                <w:szCs w:val="18"/>
                <w:color w:val="auto"/>
              </w:rPr>
              <w:t>By:[*****]</w:t>
            </w:r>
          </w:p>
        </w:tc>
        <w:tc>
          <w:tcPr>
            <w:tcW w:w="660" w:type="dxa"/>
            <w:vAlign w:val="bottom"/>
          </w:tcPr>
          <w:p>
            <w:pPr>
              <w:spacing w:after="0"/>
              <w:rPr>
                <w:sz w:val="16"/>
                <w:szCs w:val="16"/>
                <w:color w:val="auto"/>
              </w:rPr>
            </w:pPr>
          </w:p>
        </w:tc>
        <w:tc>
          <w:tcPr>
            <w:tcW w:w="5500" w:type="dxa"/>
            <w:vAlign w:val="bottom"/>
          </w:tcPr>
          <w:p>
            <w:pPr>
              <w:ind w:left="100"/>
              <w:spacing w:after="0" w:line="195" w:lineRule="exact"/>
              <w:rPr>
                <w:sz w:val="20"/>
                <w:szCs w:val="20"/>
                <w:color w:val="auto"/>
              </w:rPr>
            </w:pPr>
            <w:r>
              <w:rPr>
                <w:rFonts w:ascii="Arial" w:cs="Arial" w:eastAsia="Arial" w:hAnsi="Arial"/>
                <w:sz w:val="18"/>
                <w:szCs w:val="18"/>
                <w:color w:val="auto"/>
              </w:rPr>
              <w:t>By: [*****]</w:t>
            </w:r>
          </w:p>
        </w:tc>
      </w:tr>
      <w:tr>
        <w:trPr>
          <w:trHeight w:val="230"/>
        </w:trPr>
        <w:tc>
          <w:tcPr>
            <w:tcW w:w="5080" w:type="dxa"/>
            <w:vAlign w:val="bottom"/>
          </w:tcPr>
          <w:p>
            <w:pPr>
              <w:ind w:left="10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color w:val="FFFFFF"/>
              </w:rPr>
              <w:t>/</w:t>
            </w: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5500" w:type="dxa"/>
            <w:vAlign w:val="bottom"/>
          </w:tcPr>
          <w:p>
            <w:pPr>
              <w:ind w:left="100"/>
              <w:spacing w:after="0"/>
              <w:rPr>
                <w:sz w:val="20"/>
                <w:szCs w:val="20"/>
                <w:color w:val="auto"/>
              </w:rPr>
            </w:pPr>
            <w:r>
              <w:rPr>
                <w:rFonts w:ascii="Arial" w:cs="Arial" w:eastAsia="Arial" w:hAnsi="Arial"/>
                <w:sz w:val="18"/>
                <w:szCs w:val="18"/>
                <w:color w:val="auto"/>
              </w:rPr>
              <w:t>Title: [*****]</w:t>
            </w:r>
          </w:p>
        </w:tc>
      </w:tr>
      <w:tr>
        <w:trPr>
          <w:trHeight w:val="432"/>
        </w:trPr>
        <w:tc>
          <w:tcPr>
            <w:tcW w:w="5080" w:type="dxa"/>
            <w:vAlign w:val="bottom"/>
          </w:tcPr>
          <w:p>
            <w:pPr>
              <w:ind w:left="180"/>
              <w:spacing w:after="0"/>
              <w:rPr>
                <w:sz w:val="20"/>
                <w:szCs w:val="20"/>
                <w:color w:val="auto"/>
              </w:rPr>
            </w:pPr>
            <w:r>
              <w:rPr>
                <w:rFonts w:ascii="Arial" w:cs="Arial" w:eastAsia="Arial" w:hAnsi="Arial"/>
                <w:sz w:val="18"/>
                <w:szCs w:val="18"/>
                <w:color w:val="auto"/>
              </w:rPr>
              <w:t>November 3, 2020</w:t>
            </w:r>
          </w:p>
        </w:tc>
        <w:tc>
          <w:tcPr>
            <w:tcW w:w="6160" w:type="dxa"/>
            <w:vAlign w:val="bottom"/>
            <w:gridSpan w:val="2"/>
          </w:tcPr>
          <w:p>
            <w:pPr>
              <w:jc w:val="right"/>
              <w:ind w:right="4430"/>
              <w:spacing w:after="0"/>
              <w:rPr>
                <w:sz w:val="20"/>
                <w:szCs w:val="20"/>
                <w:color w:val="auto"/>
              </w:rPr>
            </w:pPr>
            <w:r>
              <w:rPr>
                <w:rFonts w:ascii="Arial" w:cs="Arial" w:eastAsia="Arial" w:hAnsi="Arial"/>
                <w:sz w:val="18"/>
                <w:szCs w:val="18"/>
                <w:color w:val="auto"/>
              </w:rPr>
              <w:t>2020.11.10</w:t>
            </w:r>
          </w:p>
        </w:tc>
      </w:tr>
      <w:tr>
        <w:trPr>
          <w:trHeight w:val="224"/>
        </w:trPr>
        <w:tc>
          <w:tcPr>
            <w:tcW w:w="50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Date</w:t>
            </w:r>
          </w:p>
        </w:tc>
        <w:tc>
          <w:tcPr>
            <w:tcW w:w="660" w:type="dxa"/>
            <w:vAlign w:val="bottom"/>
          </w:tcPr>
          <w:p>
            <w:pPr>
              <w:spacing w:after="0"/>
              <w:rPr>
                <w:sz w:val="19"/>
                <w:szCs w:val="19"/>
                <w:color w:val="auto"/>
              </w:rPr>
            </w:pPr>
          </w:p>
        </w:tc>
        <w:tc>
          <w:tcPr>
            <w:tcW w:w="55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Date</w:t>
            </w:r>
          </w:p>
        </w:tc>
      </w:tr>
      <w:tr>
        <w:trPr>
          <w:trHeight w:val="418"/>
        </w:trPr>
        <w:tc>
          <w:tcPr>
            <w:tcW w:w="5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w:t>
            </w:r>
          </w:p>
        </w:tc>
      </w:tr>
      <w:tr>
        <w:trPr>
          <w:trHeight w:val="195"/>
        </w:trPr>
        <w:tc>
          <w:tcPr>
            <w:tcW w:w="5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500" w:type="dxa"/>
            <w:vAlign w:val="bottom"/>
          </w:tcPr>
          <w:p>
            <w:pPr>
              <w:ind w:left="100"/>
              <w:spacing w:after="0" w:line="195" w:lineRule="exact"/>
              <w:rPr>
                <w:sz w:val="20"/>
                <w:szCs w:val="20"/>
                <w:color w:val="auto"/>
              </w:rPr>
            </w:pPr>
            <w:r>
              <w:rPr>
                <w:rFonts w:ascii="Arial" w:cs="Arial" w:eastAsia="Arial" w:hAnsi="Arial"/>
                <w:sz w:val="18"/>
                <w:szCs w:val="18"/>
                <w:color w:val="auto"/>
              </w:rPr>
              <w:t>By: [*****]</w:t>
            </w:r>
          </w:p>
        </w:tc>
      </w:tr>
      <w:tr>
        <w:trPr>
          <w:trHeight w:val="230"/>
        </w:trPr>
        <w:tc>
          <w:tcPr>
            <w:tcW w:w="5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500" w:type="dxa"/>
            <w:vAlign w:val="bottom"/>
          </w:tcPr>
          <w:p>
            <w:pPr>
              <w:ind w:left="100"/>
              <w:spacing w:after="0"/>
              <w:rPr>
                <w:sz w:val="20"/>
                <w:szCs w:val="20"/>
                <w:color w:val="auto"/>
              </w:rPr>
            </w:pPr>
            <w:r>
              <w:rPr>
                <w:rFonts w:ascii="Arial" w:cs="Arial" w:eastAsia="Arial" w:hAnsi="Arial"/>
                <w:sz w:val="18"/>
                <w:szCs w:val="18"/>
                <w:color w:val="auto"/>
              </w:rPr>
              <w:t>Title: [*****]</w:t>
            </w:r>
          </w:p>
        </w:tc>
      </w:tr>
      <w:tr>
        <w:trPr>
          <w:trHeight w:val="432"/>
        </w:trPr>
        <w:tc>
          <w:tcPr>
            <w:tcW w:w="5080" w:type="dxa"/>
            <w:vAlign w:val="bottom"/>
          </w:tcPr>
          <w:p>
            <w:pPr>
              <w:spacing w:after="0"/>
              <w:rPr>
                <w:sz w:val="24"/>
                <w:szCs w:val="24"/>
                <w:color w:val="auto"/>
              </w:rPr>
            </w:pPr>
          </w:p>
        </w:tc>
        <w:tc>
          <w:tcPr>
            <w:tcW w:w="6160" w:type="dxa"/>
            <w:vAlign w:val="bottom"/>
            <w:gridSpan w:val="2"/>
          </w:tcPr>
          <w:p>
            <w:pPr>
              <w:ind w:left="760"/>
              <w:spacing w:after="0"/>
              <w:rPr>
                <w:sz w:val="20"/>
                <w:szCs w:val="20"/>
                <w:color w:val="auto"/>
              </w:rPr>
            </w:pPr>
            <w:r>
              <w:rPr>
                <w:rFonts w:ascii="Arial" w:cs="Arial" w:eastAsia="Arial" w:hAnsi="Arial"/>
                <w:sz w:val="18"/>
                <w:szCs w:val="18"/>
                <w:color w:val="auto"/>
              </w:rPr>
              <w:t>2020.11.13</w:t>
            </w:r>
          </w:p>
        </w:tc>
      </w:tr>
      <w:tr>
        <w:trPr>
          <w:trHeight w:val="224"/>
        </w:trPr>
        <w:tc>
          <w:tcPr>
            <w:tcW w:w="5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5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Date</w:t>
            </w:r>
          </w:p>
        </w:tc>
      </w:tr>
      <w:tr>
        <w:trPr>
          <w:trHeight w:val="634"/>
        </w:trPr>
        <w:tc>
          <w:tcPr>
            <w:tcW w:w="50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gridSpan w:val="2"/>
          </w:tcPr>
          <w:p>
            <w:pPr>
              <w:jc w:val="right"/>
              <w:ind w:right="5310"/>
              <w:spacing w:after="0"/>
              <w:rPr>
                <w:sz w:val="20"/>
                <w:szCs w:val="20"/>
                <w:color w:val="auto"/>
              </w:rPr>
            </w:pPr>
            <w:r>
              <w:rPr>
                <w:rFonts w:ascii="Arial" w:cs="Arial" w:eastAsia="Arial" w:hAnsi="Arial"/>
                <w:sz w:val="18"/>
                <w:szCs w:val="18"/>
                <w:color w:val="auto"/>
              </w:rPr>
              <w:t>1 of 3</w:t>
            </w:r>
          </w:p>
        </w:tc>
      </w:tr>
    </w:tbl>
    <w:p>
      <w:pPr>
        <w:sectPr>
          <w:pgSz w:w="11900" w:h="16838" w:orient="portrait"/>
          <w:cols w:equalWidth="0" w:num="1">
            <w:col w:w="11240"/>
          </w:cols>
          <w:pgMar w:left="320" w:top="337" w:right="339" w:bottom="1440" w:gutter="0" w:footer="0" w:header="0"/>
        </w:sectPr>
      </w:pPr>
    </w:p>
    <w:bookmarkStart w:id="450" w:name="page451"/>
    <w:bookmarkEnd w:id="450"/>
    <w:p>
      <w:pPr>
        <w:jc w:val="center"/>
        <w:ind w:right="-1100"/>
        <w:spacing w:after="0"/>
        <w:rPr>
          <w:sz w:val="20"/>
          <w:szCs w:val="20"/>
          <w:color w:val="auto"/>
        </w:rPr>
      </w:pPr>
      <w:r>
        <w:rPr>
          <w:rFonts w:ascii="Arial" w:cs="Arial" w:eastAsia="Arial" w:hAnsi="Arial"/>
          <w:sz w:val="18"/>
          <w:szCs w:val="18"/>
          <w:b w:val="1"/>
          <w:bCs w:val="1"/>
          <w:color w:val="auto"/>
        </w:rPr>
        <w:t>AMENDMENT 4</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WORK ORDER</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Investment ID INV-020846 (previously 25808)</w:t>
      </w:r>
    </w:p>
    <w:p>
      <w:pPr>
        <w:spacing w:after="0" w:line="230"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u w:val="single" w:color="auto"/>
          <w:color w:val="auto"/>
        </w:rPr>
        <w:t>ATTACHMENT C-4</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AMENDED TIMELINE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Parties agree to amend Appendix 1 of the Agreement as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6978015" cy="41230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66">
                      <a:extLst>
                        <a:ext uri="{28A0092B-C50C-407E-A947-70E740481C1C}"/>
                      </a:extLst>
                    </a:blip>
                    <a:srcRect/>
                    <a:stretch>
                      <a:fillRect/>
                    </a:stretch>
                  </pic:blipFill>
                  <pic:spPr bwMode="auto">
                    <a:xfrm>
                      <a:off x="0" y="0"/>
                      <a:ext cx="6978015" cy="4123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51" w:name="page452"/>
    <w:bookmarkEnd w:id="451"/>
    <w:p>
      <w:pPr>
        <w:jc w:val="center"/>
        <w:ind w:right="-1092"/>
        <w:spacing w:after="0"/>
        <w:rPr>
          <w:sz w:val="20"/>
          <w:szCs w:val="20"/>
          <w:color w:val="auto"/>
        </w:rPr>
      </w:pPr>
      <w:r>
        <w:rPr>
          <w:rFonts w:ascii="Arial" w:cs="Arial" w:eastAsia="Arial" w:hAnsi="Arial"/>
          <w:sz w:val="18"/>
          <w:szCs w:val="18"/>
          <w:b w:val="1"/>
          <w:bCs w:val="1"/>
          <w:color w:val="auto"/>
        </w:rPr>
        <w:t>AMENDMENT 4</w:t>
      </w:r>
    </w:p>
    <w:p>
      <w:pPr>
        <w:spacing w:after="0" w:line="27" w:lineRule="exact"/>
        <w:rPr>
          <w:sz w:val="20"/>
          <w:szCs w:val="20"/>
          <w:color w:val="auto"/>
        </w:rPr>
      </w:pPr>
    </w:p>
    <w:p>
      <w:pPr>
        <w:jc w:val="center"/>
        <w:ind w:right="-1092"/>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right="-1092"/>
        <w:spacing w:after="0"/>
        <w:rPr>
          <w:sz w:val="20"/>
          <w:szCs w:val="20"/>
          <w:color w:val="auto"/>
        </w:rPr>
      </w:pPr>
      <w:r>
        <w:rPr>
          <w:rFonts w:ascii="Arial" w:cs="Arial" w:eastAsia="Arial" w:hAnsi="Arial"/>
          <w:sz w:val="18"/>
          <w:szCs w:val="18"/>
          <w:b w:val="1"/>
          <w:bCs w:val="1"/>
          <w:color w:val="auto"/>
        </w:rPr>
        <w:t>WORK ORDER</w:t>
      </w:r>
    </w:p>
    <w:p>
      <w:pPr>
        <w:spacing w:after="0" w:line="9" w:lineRule="exact"/>
        <w:rPr>
          <w:sz w:val="20"/>
          <w:szCs w:val="20"/>
          <w:color w:val="auto"/>
        </w:rPr>
      </w:pPr>
    </w:p>
    <w:p>
      <w:pPr>
        <w:jc w:val="center"/>
        <w:ind w:right="-1092"/>
        <w:spacing w:after="0"/>
        <w:rPr>
          <w:sz w:val="20"/>
          <w:szCs w:val="20"/>
          <w:color w:val="auto"/>
        </w:rPr>
      </w:pPr>
      <w:r>
        <w:rPr>
          <w:rFonts w:ascii="Arial" w:cs="Arial" w:eastAsia="Arial" w:hAnsi="Arial"/>
          <w:sz w:val="16"/>
          <w:szCs w:val="16"/>
          <w:color w:val="auto"/>
        </w:rPr>
        <w:t>Investment ID INV-020846 (previously 25808)</w:t>
      </w:r>
    </w:p>
    <w:p>
      <w:pPr>
        <w:spacing w:after="0" w:line="230" w:lineRule="exact"/>
        <w:rPr>
          <w:sz w:val="20"/>
          <w:szCs w:val="20"/>
          <w:color w:val="auto"/>
        </w:rPr>
      </w:pPr>
    </w:p>
    <w:p>
      <w:pPr>
        <w:jc w:val="center"/>
        <w:ind w:right="-1092"/>
        <w:spacing w:after="0"/>
        <w:rPr>
          <w:sz w:val="20"/>
          <w:szCs w:val="20"/>
          <w:color w:val="auto"/>
        </w:rPr>
      </w:pPr>
      <w:r>
        <w:rPr>
          <w:rFonts w:ascii="Arial" w:cs="Arial" w:eastAsia="Arial" w:hAnsi="Arial"/>
          <w:sz w:val="18"/>
          <w:szCs w:val="18"/>
          <w:b w:val="1"/>
          <w:bCs w:val="1"/>
          <w:u w:val="single" w:color="auto"/>
          <w:color w:val="auto"/>
        </w:rPr>
        <w:t>ATTACHMENT D-4</w:t>
      </w:r>
    </w:p>
    <w:p>
      <w:pPr>
        <w:spacing w:after="0" w:line="27" w:lineRule="exact"/>
        <w:rPr>
          <w:sz w:val="20"/>
          <w:szCs w:val="20"/>
          <w:color w:val="auto"/>
        </w:rPr>
      </w:pPr>
    </w:p>
    <w:p>
      <w:pPr>
        <w:jc w:val="center"/>
        <w:ind w:right="-1092"/>
        <w:spacing w:after="0"/>
        <w:rPr>
          <w:sz w:val="20"/>
          <w:szCs w:val="20"/>
          <w:color w:val="auto"/>
        </w:rPr>
      </w:pPr>
      <w:r>
        <w:rPr>
          <w:rFonts w:ascii="Arial" w:cs="Arial" w:eastAsia="Arial" w:hAnsi="Arial"/>
          <w:sz w:val="18"/>
          <w:szCs w:val="18"/>
          <w:color w:val="auto"/>
        </w:rPr>
        <w:t>AMENDED BUDGET AND PAYMENT</w:t>
      </w:r>
    </w:p>
    <w:p>
      <w:pPr>
        <w:spacing w:after="0" w:line="207" w:lineRule="exact"/>
        <w:rPr>
          <w:sz w:val="20"/>
          <w:szCs w:val="20"/>
          <w:color w:val="auto"/>
        </w:rPr>
      </w:pPr>
    </w:p>
    <w:p>
      <w:pPr>
        <w:ind w:left="452" w:hanging="452"/>
        <w:spacing w:after="0"/>
        <w:tabs>
          <w:tab w:leader="none" w:pos="452" w:val="left"/>
        </w:tabs>
        <w:numPr>
          <w:ilvl w:val="0"/>
          <w:numId w:val="301"/>
        </w:numPr>
        <w:rPr>
          <w:rFonts w:ascii="Arial" w:cs="Arial" w:eastAsia="Arial" w:hAnsi="Arial"/>
          <w:sz w:val="18"/>
          <w:szCs w:val="18"/>
          <w:color w:val="auto"/>
        </w:rPr>
      </w:pPr>
      <w:r>
        <w:rPr>
          <w:rFonts w:ascii="Arial" w:cs="Arial" w:eastAsia="Arial" w:hAnsi="Arial"/>
          <w:sz w:val="18"/>
          <w:szCs w:val="18"/>
          <w:b w:val="1"/>
          <w:bCs w:val="1"/>
          <w:color w:val="auto"/>
        </w:rPr>
        <w:t>Overall Cost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6849110" cy="38061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68">
                      <a:extLst>
                        <a:ext uri="{28A0092B-C50C-407E-A947-70E740481C1C}"/>
                      </a:extLst>
                    </a:blip>
                    <a:srcRect/>
                    <a:stretch>
                      <a:fillRect/>
                    </a:stretch>
                  </pic:blipFill>
                  <pic:spPr bwMode="auto">
                    <a:xfrm>
                      <a:off x="0" y="0"/>
                      <a:ext cx="6849110" cy="3806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412"/>
        <w:spacing w:after="0"/>
        <w:rPr>
          <w:sz w:val="20"/>
          <w:szCs w:val="20"/>
          <w:color w:val="auto"/>
        </w:rPr>
      </w:pPr>
      <w:r>
        <w:rPr>
          <w:rFonts w:ascii="Arial" w:cs="Arial" w:eastAsia="Arial" w:hAnsi="Arial"/>
          <w:sz w:val="18"/>
          <w:szCs w:val="18"/>
          <w:color w:val="auto"/>
        </w:rPr>
        <w:t>3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904" w:right="1440" w:bottom="1440" w:gutter="0" w:footer="0" w:header="0"/>
        </w:sectPr>
      </w:pPr>
    </w:p>
    <w:bookmarkStart w:id="452" w:name="page453"/>
    <w:bookmarkEnd w:id="452"/>
    <w:p>
      <w:pPr>
        <w:jc w:val="right"/>
        <w:spacing w:after="0"/>
        <w:rPr>
          <w:sz w:val="20"/>
          <w:szCs w:val="20"/>
          <w:color w:val="auto"/>
        </w:rPr>
      </w:pPr>
      <w:r>
        <w:rPr>
          <w:rFonts w:ascii="Arial" w:cs="Arial" w:eastAsia="Arial" w:hAnsi="Arial"/>
          <w:sz w:val="22"/>
          <w:szCs w:val="22"/>
          <w:b w:val="1"/>
          <w:bCs w:val="1"/>
          <w:color w:val="auto"/>
        </w:rPr>
        <w:t>Exhibit 10.44</w:t>
      </w:r>
    </w:p>
    <w:p>
      <w:pPr>
        <w:spacing w:after="0" w:line="238"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auto"/>
        </w:rPr>
        <w:t>Addendum to the</w:t>
      </w:r>
    </w:p>
    <w:p>
      <w:pPr>
        <w:spacing w:after="0" w:line="226"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auto"/>
        </w:rPr>
        <w:t>Shareholders' Agreement</w:t>
      </w:r>
    </w:p>
    <w:p>
      <w:pPr>
        <w:spacing w:after="0" w:line="230"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 xml:space="preserve">in relation to the </w:t>
      </w:r>
      <w:r>
        <w:rPr>
          <w:rFonts w:ascii="Arial" w:cs="Arial" w:eastAsia="Arial" w:hAnsi="Arial"/>
          <w:sz w:val="12"/>
          <w:szCs w:val="12"/>
          <w:color w:val="auto"/>
        </w:rPr>
        <w:t>PARTIES</w:t>
      </w:r>
      <w:r>
        <w:rPr>
          <w:rFonts w:ascii="Arial" w:cs="Arial" w:eastAsia="Arial" w:hAnsi="Arial"/>
          <w:sz w:val="18"/>
          <w:szCs w:val="18"/>
          <w:b w:val="1"/>
          <w:bCs w:val="1"/>
          <w:color w:val="auto"/>
        </w:rPr>
        <w:t>' share holdings</w:t>
      </w:r>
    </w:p>
    <w:p>
      <w:pPr>
        <w:spacing w:after="0" w:line="27"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in CureVac N.V. (NL-Amsterdam)</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dated June 16, 2020</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KfW</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Palmengartenstr. 5-9</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60325 Frankfurt am Main</w:t>
      </w:r>
    </w:p>
    <w:p>
      <w:pPr>
        <w:spacing w:after="0" w:line="211" w:lineRule="exact"/>
        <w:rPr>
          <w:sz w:val="20"/>
          <w:szCs w:val="20"/>
          <w:color w:val="auto"/>
        </w:rPr>
      </w:pPr>
    </w:p>
    <w:p>
      <w:pPr>
        <w:ind w:left="3940" w:right="4100" w:hanging="957"/>
        <w:spacing w:after="0" w:line="500" w:lineRule="auto"/>
        <w:tabs>
          <w:tab w:leader="none" w:pos="3096" w:val="left"/>
        </w:tabs>
        <w:numPr>
          <w:ilvl w:val="0"/>
          <w:numId w:val="302"/>
        </w:numPr>
        <w:rPr>
          <w:rFonts w:ascii="Arial" w:cs="Arial" w:eastAsia="Arial" w:hAnsi="Arial"/>
          <w:sz w:val="18"/>
          <w:szCs w:val="18"/>
          <w:color w:val="auto"/>
        </w:rPr>
      </w:pPr>
      <w:r>
        <w:rPr>
          <w:rFonts w:ascii="Arial" w:cs="Arial" w:eastAsia="Arial" w:hAnsi="Arial"/>
          <w:sz w:val="18"/>
          <w:szCs w:val="18"/>
          <w:color w:val="auto"/>
        </w:rPr>
        <w:t>hereinafter referred to as "I</w:t>
      </w:r>
      <w:r>
        <w:rPr>
          <w:rFonts w:ascii="Arial" w:cs="Arial" w:eastAsia="Arial" w:hAnsi="Arial"/>
          <w:sz w:val="12"/>
          <w:szCs w:val="12"/>
          <w:color w:val="auto"/>
        </w:rPr>
        <w:t>NVESTOR</w:t>
      </w:r>
      <w:r>
        <w:rPr>
          <w:rFonts w:ascii="Arial" w:cs="Arial" w:eastAsia="Arial" w:hAnsi="Arial"/>
          <w:sz w:val="18"/>
          <w:szCs w:val="18"/>
          <w:color w:val="auto"/>
        </w:rPr>
        <w:t xml:space="preserve"> B</w:t>
      </w:r>
      <w:r>
        <w:rPr>
          <w:rFonts w:ascii="Arial" w:cs="Arial" w:eastAsia="Arial" w:hAnsi="Arial"/>
          <w:sz w:val="12"/>
          <w:szCs w:val="12"/>
          <w:color w:val="auto"/>
        </w:rPr>
        <w:t>UND</w:t>
      </w:r>
      <w:r>
        <w:rPr>
          <w:rFonts w:ascii="Arial" w:cs="Arial" w:eastAsia="Arial" w:hAnsi="Arial"/>
          <w:sz w:val="18"/>
          <w:szCs w:val="18"/>
          <w:color w:val="auto"/>
        </w:rPr>
        <w:t xml:space="preserve"> on the one hand</w:t>
      </w:r>
    </w:p>
    <w:p>
      <w:pPr>
        <w:spacing w:after="0" w:line="2"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dievini Hopp BioTech holding GmbH &amp; Co KG</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represented by its general partner dievini Verwaltungs GmbH</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Johann-Jakob-Astor-Str. 57</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69190 Walldorf</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 hereinafter referred to as "</w:t>
      </w:r>
      <w:r>
        <w:rPr>
          <w:rFonts w:ascii="Arial" w:cs="Arial" w:eastAsia="Arial" w:hAnsi="Arial"/>
          <w:sz w:val="12"/>
          <w:szCs w:val="12"/>
          <w:color w:val="auto"/>
        </w:rPr>
        <w:t>DIEVINI</w:t>
      </w: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Mr. Dietmar Hopp</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Johann-Jakob-Astor-Str. 57</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69190 Walldorf</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 hereinafter referred to as "DH" - -</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DH-LT Investments GmbH</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Opelstraße 28</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68789 St. Leon-Rot</w:t>
      </w:r>
    </w:p>
    <w:p>
      <w:pPr>
        <w:spacing w:after="0" w:line="21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on the other hand</w:t>
      </w:r>
    </w:p>
    <w:p>
      <w:pPr>
        <w:spacing w:after="0" w:line="225" w:lineRule="exact"/>
        <w:rPr>
          <w:sz w:val="20"/>
          <w:szCs w:val="20"/>
          <w:color w:val="auto"/>
        </w:rPr>
      </w:pPr>
    </w:p>
    <w:p>
      <w:pPr>
        <w:ind w:left="1880" w:right="3000" w:firstLine="438"/>
        <w:spacing w:after="0" w:line="623" w:lineRule="auto"/>
        <w:tabs>
          <w:tab w:leader="none" w:pos="2416" w:val="left"/>
        </w:tabs>
        <w:numPr>
          <w:ilvl w:val="0"/>
          <w:numId w:val="303"/>
        </w:numPr>
        <w:rPr>
          <w:rFonts w:ascii="Arial" w:cs="Arial" w:eastAsia="Arial" w:hAnsi="Arial"/>
          <w:sz w:val="16"/>
          <w:szCs w:val="16"/>
          <w:color w:val="auto"/>
        </w:rPr>
      </w:pPr>
      <w:r>
        <w:rPr>
          <w:rFonts w:ascii="Arial" w:cs="Arial" w:eastAsia="Arial" w:hAnsi="Arial"/>
          <w:sz w:val="16"/>
          <w:szCs w:val="16"/>
          <w:color w:val="auto"/>
        </w:rPr>
        <w:t>I</w:t>
      </w:r>
      <w:r>
        <w:rPr>
          <w:rFonts w:ascii="Arial" w:cs="Arial" w:eastAsia="Arial" w:hAnsi="Arial"/>
          <w:sz w:val="11"/>
          <w:szCs w:val="11"/>
          <w:color w:val="auto"/>
        </w:rPr>
        <w:t>NVESTOR</w:t>
      </w:r>
      <w:r>
        <w:rPr>
          <w:rFonts w:ascii="Arial" w:cs="Arial" w:eastAsia="Arial" w:hAnsi="Arial"/>
          <w:sz w:val="16"/>
          <w:szCs w:val="16"/>
          <w:color w:val="auto"/>
        </w:rPr>
        <w:t xml:space="preserve"> B</w:t>
      </w:r>
      <w:r>
        <w:rPr>
          <w:rFonts w:ascii="Arial" w:cs="Arial" w:eastAsia="Arial" w:hAnsi="Arial"/>
          <w:sz w:val="11"/>
          <w:szCs w:val="11"/>
          <w:color w:val="auto"/>
        </w:rPr>
        <w:t>UND</w:t>
      </w:r>
      <w:r>
        <w:rPr>
          <w:rFonts w:ascii="Arial" w:cs="Arial" w:eastAsia="Arial" w:hAnsi="Arial"/>
          <w:sz w:val="16"/>
          <w:szCs w:val="16"/>
          <w:color w:val="auto"/>
        </w:rPr>
        <w:t xml:space="preserve">, </w:t>
      </w:r>
      <w:r>
        <w:rPr>
          <w:rFonts w:ascii="Arial" w:cs="Arial" w:eastAsia="Arial" w:hAnsi="Arial"/>
          <w:sz w:val="11"/>
          <w:szCs w:val="11"/>
          <w:color w:val="auto"/>
        </w:rPr>
        <w:t>DIEVINI</w:t>
      </w:r>
      <w:r>
        <w:rPr>
          <w:rFonts w:ascii="Arial" w:cs="Arial" w:eastAsia="Arial" w:hAnsi="Arial"/>
          <w:sz w:val="16"/>
          <w:szCs w:val="16"/>
          <w:color w:val="auto"/>
        </w:rPr>
        <w:t>, DH and DH-LT Investments GmbH hereinafter jointly referred to as the "P</w:t>
      </w:r>
      <w:r>
        <w:rPr>
          <w:rFonts w:ascii="Arial" w:cs="Arial" w:eastAsia="Arial" w:hAnsi="Arial"/>
          <w:sz w:val="11"/>
          <w:szCs w:val="11"/>
          <w:color w:val="auto"/>
        </w:rPr>
        <w:t>ARTIES</w:t>
      </w:r>
      <w:r>
        <w:rPr>
          <w:rFonts w:ascii="Arial" w:cs="Arial" w:eastAsia="Arial" w:hAnsi="Arial"/>
          <w:sz w:val="16"/>
          <w:szCs w:val="16"/>
          <w:color w:val="auto"/>
        </w:rPr>
        <w:t>" or individually as a "P</w:t>
      </w:r>
      <w:r>
        <w:rPr>
          <w:rFonts w:ascii="Arial" w:cs="Arial" w:eastAsia="Arial" w:hAnsi="Arial"/>
          <w:sz w:val="11"/>
          <w:szCs w:val="11"/>
          <w:color w:val="auto"/>
        </w:rPr>
        <w:t>ARTY</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453" w:name="page454"/>
    <w:bookmarkEnd w:id="453"/>
    <w:p>
      <w:pPr>
        <w:jc w:val="right"/>
        <w:spacing w:after="0"/>
        <w:rPr>
          <w:sz w:val="20"/>
          <w:szCs w:val="20"/>
          <w:color w:val="auto"/>
        </w:rPr>
      </w:pPr>
      <w:r>
        <w:rPr>
          <w:rFonts w:ascii="Arial" w:cs="Arial" w:eastAsia="Arial" w:hAnsi="Arial"/>
          <w:sz w:val="18"/>
          <w:szCs w:val="18"/>
          <w:color w:val="auto"/>
        </w:rPr>
        <w:t>Addendum to the Addendum to the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Shareholders' Agreement between Investor Bund, dievini and DH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Preamble</w:t>
      </w:r>
    </w:p>
    <w:p>
      <w:pPr>
        <w:spacing w:after="0" w:line="229" w:lineRule="exact"/>
        <w:rPr>
          <w:sz w:val="20"/>
          <w:szCs w:val="20"/>
          <w:color w:val="auto"/>
        </w:rPr>
      </w:pPr>
    </w:p>
    <w:p>
      <w:pPr>
        <w:jc w:val="both"/>
        <w:ind w:left="660" w:hanging="652"/>
        <w:spacing w:after="0" w:line="286" w:lineRule="auto"/>
        <w:tabs>
          <w:tab w:leader="none" w:pos="660" w:val="left"/>
        </w:tabs>
        <w:numPr>
          <w:ilvl w:val="0"/>
          <w:numId w:val="304"/>
        </w:numPr>
        <w:rPr>
          <w:rFonts w:ascii="Arial" w:cs="Arial" w:eastAsia="Arial" w:hAnsi="Arial"/>
          <w:sz w:val="16"/>
          <w:szCs w:val="16"/>
          <w:b w:val="1"/>
          <w:bCs w:val="1"/>
          <w:color w:val="auto"/>
        </w:rPr>
      </w:pPr>
      <w:r>
        <w:rPr>
          <w:rFonts w:ascii="Arial" w:cs="Arial" w:eastAsia="Arial" w:hAnsi="Arial"/>
          <w:sz w:val="16"/>
          <w:szCs w:val="16"/>
          <w:color w:val="auto"/>
        </w:rPr>
        <w:t xml:space="preserve">In clause 8 ("Investment Commitment DH") of the </w:t>
      </w:r>
      <w:r>
        <w:rPr>
          <w:rFonts w:ascii="Arial" w:cs="Arial" w:eastAsia="Arial" w:hAnsi="Arial"/>
          <w:sz w:val="11"/>
          <w:szCs w:val="11"/>
          <w:color w:val="auto"/>
        </w:rPr>
        <w:t>SHAREHOLDERS</w:t>
      </w:r>
      <w:r>
        <w:rPr>
          <w:rFonts w:ascii="Arial" w:cs="Arial" w:eastAsia="Arial" w:hAnsi="Arial"/>
          <w:sz w:val="16"/>
          <w:szCs w:val="16"/>
          <w:color w:val="auto"/>
        </w:rPr>
        <w:t xml:space="preserve">' </w:t>
      </w:r>
      <w:r>
        <w:rPr>
          <w:rFonts w:ascii="Arial" w:cs="Arial" w:eastAsia="Arial" w:hAnsi="Arial"/>
          <w:sz w:val="11"/>
          <w:szCs w:val="11"/>
          <w:color w:val="auto"/>
        </w:rPr>
        <w:t>AGREEMENT</w:t>
      </w:r>
      <w:r>
        <w:rPr>
          <w:rFonts w:ascii="Arial" w:cs="Arial" w:eastAsia="Arial" w:hAnsi="Arial"/>
          <w:sz w:val="16"/>
          <w:szCs w:val="16"/>
          <w:color w:val="auto"/>
        </w:rPr>
        <w:t xml:space="preserve"> concluded between the </w:t>
      </w:r>
      <w:r>
        <w:rPr>
          <w:rFonts w:ascii="Arial" w:cs="Arial" w:eastAsia="Arial" w:hAnsi="Arial"/>
          <w:sz w:val="11"/>
          <w:szCs w:val="11"/>
          <w:color w:val="auto"/>
        </w:rPr>
        <w:t>PARTIES</w:t>
      </w:r>
      <w:r>
        <w:rPr>
          <w:rFonts w:ascii="Arial" w:cs="Arial" w:eastAsia="Arial" w:hAnsi="Arial"/>
          <w:sz w:val="16"/>
          <w:szCs w:val="16"/>
          <w:color w:val="auto"/>
        </w:rPr>
        <w:t xml:space="preserve"> (with the exception of DH-LT Investments GmbH) with regard to the </w:t>
      </w:r>
      <w:r>
        <w:rPr>
          <w:rFonts w:ascii="Arial" w:cs="Arial" w:eastAsia="Arial" w:hAnsi="Arial"/>
          <w:sz w:val="11"/>
          <w:szCs w:val="11"/>
          <w:color w:val="auto"/>
        </w:rPr>
        <w:t>PARTIES</w:t>
      </w:r>
      <w:r>
        <w:rPr>
          <w:rFonts w:ascii="Arial" w:cs="Arial" w:eastAsia="Arial" w:hAnsi="Arial"/>
          <w:sz w:val="16"/>
          <w:szCs w:val="16"/>
          <w:color w:val="auto"/>
        </w:rPr>
        <w:t>' shareholdings in C</w:t>
      </w:r>
      <w:r>
        <w:rPr>
          <w:rFonts w:ascii="Arial" w:cs="Arial" w:eastAsia="Arial" w:hAnsi="Arial"/>
          <w:sz w:val="11"/>
          <w:szCs w:val="11"/>
          <w:color w:val="auto"/>
        </w:rPr>
        <w:t>URE</w:t>
      </w:r>
      <w:r>
        <w:rPr>
          <w:rFonts w:ascii="Arial" w:cs="Arial" w:eastAsia="Arial" w:hAnsi="Arial"/>
          <w:sz w:val="16"/>
          <w:szCs w:val="16"/>
          <w:color w:val="auto"/>
        </w:rPr>
        <w:t>V</w:t>
      </w:r>
      <w:r>
        <w:rPr>
          <w:rFonts w:ascii="Arial" w:cs="Arial" w:eastAsia="Arial" w:hAnsi="Arial"/>
          <w:sz w:val="11"/>
          <w:szCs w:val="11"/>
          <w:color w:val="auto"/>
        </w:rPr>
        <w:t>AC</w:t>
      </w:r>
      <w:r>
        <w:rPr>
          <w:rFonts w:ascii="Arial" w:cs="Arial" w:eastAsia="Arial" w:hAnsi="Arial"/>
          <w:sz w:val="16"/>
          <w:szCs w:val="16"/>
          <w:color w:val="auto"/>
        </w:rPr>
        <w:t xml:space="preserve"> N.V. (NL-Amsterdam) dated 16 June 2020 ("</w:t>
      </w:r>
      <w:r>
        <w:rPr>
          <w:rFonts w:ascii="Arial" w:cs="Arial" w:eastAsia="Arial" w:hAnsi="Arial"/>
          <w:sz w:val="16"/>
          <w:szCs w:val="16"/>
          <w:b w:val="1"/>
          <w:bCs w:val="1"/>
          <w:color w:val="auto"/>
        </w:rPr>
        <w:t>S</w:t>
      </w:r>
      <w:r>
        <w:rPr>
          <w:rFonts w:ascii="Arial" w:cs="Arial" w:eastAsia="Arial" w:hAnsi="Arial"/>
          <w:sz w:val="11"/>
          <w:szCs w:val="11"/>
          <w:b w:val="1"/>
          <w:bCs w:val="1"/>
          <w:color w:val="auto"/>
        </w:rPr>
        <w:t>HAREHOLDERS</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A</w:t>
      </w:r>
      <w:r>
        <w:rPr>
          <w:rFonts w:ascii="Arial" w:cs="Arial" w:eastAsia="Arial" w:hAnsi="Arial"/>
          <w:sz w:val="11"/>
          <w:szCs w:val="11"/>
          <w:b w:val="1"/>
          <w:bCs w:val="1"/>
          <w:color w:val="auto"/>
        </w:rPr>
        <w:t>GREEMENT</w:t>
      </w:r>
      <w:r>
        <w:rPr>
          <w:rFonts w:ascii="Arial" w:cs="Arial" w:eastAsia="Arial" w:hAnsi="Arial"/>
          <w:sz w:val="16"/>
          <w:szCs w:val="16"/>
          <w:color w:val="auto"/>
        </w:rPr>
        <w:t>"), DH has undertaken to invest an amount of EUR 100 million into C</w:t>
      </w:r>
      <w:r>
        <w:rPr>
          <w:rFonts w:ascii="Arial" w:cs="Arial" w:eastAsia="Arial" w:hAnsi="Arial"/>
          <w:sz w:val="11"/>
          <w:szCs w:val="11"/>
          <w:color w:val="auto"/>
        </w:rPr>
        <w:t>URE</w:t>
      </w:r>
      <w:r>
        <w:rPr>
          <w:rFonts w:ascii="Arial" w:cs="Arial" w:eastAsia="Arial" w:hAnsi="Arial"/>
          <w:sz w:val="16"/>
          <w:szCs w:val="16"/>
          <w:color w:val="auto"/>
        </w:rPr>
        <w:t>V</w:t>
      </w:r>
      <w:r>
        <w:rPr>
          <w:rFonts w:ascii="Arial" w:cs="Arial" w:eastAsia="Arial" w:hAnsi="Arial"/>
          <w:sz w:val="11"/>
          <w:szCs w:val="11"/>
          <w:color w:val="auto"/>
        </w:rPr>
        <w:t>AC</w:t>
      </w:r>
      <w:r>
        <w:rPr>
          <w:rFonts w:ascii="Arial" w:cs="Arial" w:eastAsia="Arial" w:hAnsi="Arial"/>
          <w:sz w:val="16"/>
          <w:szCs w:val="16"/>
          <w:b w:val="1"/>
          <w:bCs w:val="1"/>
          <w:color w:val="auto"/>
        </w:rPr>
        <w:t xml:space="preserve"> </w:t>
      </w:r>
      <w:r>
        <w:rPr>
          <w:rFonts w:ascii="Arial" w:cs="Arial" w:eastAsia="Arial" w:hAnsi="Arial"/>
          <w:sz w:val="16"/>
          <w:szCs w:val="16"/>
          <w:color w:val="auto"/>
        </w:rPr>
        <w:t>N.V. on the occasion of the IPO in order to acquire</w:t>
      </w:r>
      <w:r>
        <w:rPr>
          <w:rFonts w:ascii="Arial" w:cs="Arial" w:eastAsia="Arial" w:hAnsi="Arial"/>
          <w:sz w:val="16"/>
          <w:szCs w:val="16"/>
          <w:b w:val="1"/>
          <w:bCs w:val="1"/>
          <w:color w:val="auto"/>
        </w:rPr>
        <w:t xml:space="preserve"> </w:t>
      </w:r>
      <w:r>
        <w:rPr>
          <w:rFonts w:ascii="Arial" w:cs="Arial" w:eastAsia="Arial" w:hAnsi="Arial"/>
          <w:sz w:val="16"/>
          <w:szCs w:val="16"/>
          <w:color w:val="auto"/>
        </w:rPr>
        <w:t>shares at economic terms and in particular at a share price corresponding to the issue price of a share in the IPO ("</w:t>
      </w:r>
      <w:r>
        <w:rPr>
          <w:rFonts w:ascii="Arial" w:cs="Arial" w:eastAsia="Arial" w:hAnsi="Arial"/>
          <w:sz w:val="16"/>
          <w:szCs w:val="16"/>
          <w:i w:val="1"/>
          <w:iCs w:val="1"/>
          <w:color w:val="auto"/>
        </w:rPr>
        <w:t>concurrent private placement</w:t>
      </w:r>
      <w:r>
        <w:rPr>
          <w:rFonts w:ascii="Arial" w:cs="Arial" w:eastAsia="Arial" w:hAnsi="Arial"/>
          <w:sz w:val="16"/>
          <w:szCs w:val="16"/>
          <w:color w:val="auto"/>
        </w:rPr>
        <w:t>")</w:t>
      </w:r>
    </w:p>
    <w:p>
      <w:pPr>
        <w:spacing w:after="0" w:line="1"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I</w:t>
      </w:r>
      <w:r>
        <w:rPr>
          <w:rFonts w:ascii="Arial" w:cs="Arial" w:eastAsia="Arial" w:hAnsi="Arial"/>
          <w:sz w:val="12"/>
          <w:szCs w:val="12"/>
          <w:b w:val="1"/>
          <w:bCs w:val="1"/>
          <w:color w:val="auto"/>
        </w:rPr>
        <w:t>NVESTMENT</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2"/>
          <w:szCs w:val="12"/>
          <w:b w:val="1"/>
          <w:bCs w:val="1"/>
          <w:color w:val="auto"/>
        </w:rPr>
        <w:t>MOUNT</w:t>
      </w:r>
      <w:r>
        <w:rPr>
          <w:rFonts w:ascii="Arial" w:cs="Arial" w:eastAsia="Arial" w:hAnsi="Arial"/>
          <w:sz w:val="18"/>
          <w:szCs w:val="18"/>
          <w:color w:val="auto"/>
        </w:rPr>
        <w:t>").</w:t>
      </w:r>
    </w:p>
    <w:p>
      <w:pPr>
        <w:spacing w:after="0" w:line="211" w:lineRule="exact"/>
        <w:rPr>
          <w:sz w:val="20"/>
          <w:szCs w:val="20"/>
          <w:color w:val="auto"/>
        </w:rPr>
      </w:pPr>
    </w:p>
    <w:p>
      <w:pPr>
        <w:ind w:left="660" w:hanging="652"/>
        <w:spacing w:after="0" w:line="308" w:lineRule="auto"/>
        <w:tabs>
          <w:tab w:leader="none" w:pos="660" w:val="left"/>
        </w:tabs>
        <w:numPr>
          <w:ilvl w:val="0"/>
          <w:numId w:val="305"/>
        </w:numPr>
        <w:rPr>
          <w:rFonts w:ascii="Arial" w:cs="Arial" w:eastAsia="Arial" w:hAnsi="Arial"/>
          <w:sz w:val="17"/>
          <w:szCs w:val="17"/>
          <w:b w:val="1"/>
          <w:bCs w:val="1"/>
          <w:color w:val="auto"/>
        </w:rPr>
      </w:pPr>
      <w:r>
        <w:rPr>
          <w:rFonts w:ascii="Arial" w:cs="Arial" w:eastAsia="Arial" w:hAnsi="Arial"/>
          <w:sz w:val="17"/>
          <w:szCs w:val="17"/>
          <w:color w:val="auto"/>
        </w:rPr>
        <w:t>DH intends to fulfil this obligation not personally, but rather through DH-LT Investments GmbH, headquartered in St. Leon-Rot, registered in the Commercial Register of the Local Court in Mannheim under HRB 732866 ("</w:t>
      </w:r>
      <w:r>
        <w:rPr>
          <w:rFonts w:ascii="Arial" w:cs="Arial" w:eastAsia="Arial" w:hAnsi="Arial"/>
          <w:sz w:val="17"/>
          <w:szCs w:val="17"/>
          <w:b w:val="1"/>
          <w:bCs w:val="1"/>
          <w:color w:val="auto"/>
        </w:rPr>
        <w:t>DH-LT</w:t>
      </w:r>
      <w:r>
        <w:rPr>
          <w:rFonts w:ascii="Arial" w:cs="Arial" w:eastAsia="Arial" w:hAnsi="Arial"/>
          <w:sz w:val="17"/>
          <w:szCs w:val="17"/>
          <w:color w:val="auto"/>
        </w:rPr>
        <w:t>"), of which DH is the sole shareholder.</w:t>
      </w:r>
    </w:p>
    <w:p>
      <w:pPr>
        <w:spacing w:after="0" w:line="146" w:lineRule="exact"/>
        <w:rPr>
          <w:sz w:val="20"/>
          <w:szCs w:val="20"/>
          <w:color w:val="auto"/>
        </w:rPr>
      </w:pPr>
    </w:p>
    <w:p>
      <w:pPr>
        <w:ind w:left="660" w:hanging="652"/>
        <w:spacing w:after="0"/>
        <w:tabs>
          <w:tab w:leader="none" w:pos="660" w:val="left"/>
        </w:tabs>
        <w:numPr>
          <w:ilvl w:val="0"/>
          <w:numId w:val="306"/>
        </w:numPr>
        <w:rPr>
          <w:rFonts w:ascii="Arial" w:cs="Arial" w:eastAsia="Arial" w:hAnsi="Arial"/>
          <w:sz w:val="17"/>
          <w:szCs w:val="17"/>
          <w:b w:val="1"/>
          <w:bCs w:val="1"/>
          <w:color w:val="auto"/>
        </w:rPr>
      </w:pPr>
      <w:r>
        <w:rPr>
          <w:rFonts w:ascii="Arial" w:cs="Arial" w:eastAsia="Arial" w:hAnsi="Arial"/>
          <w:sz w:val="17"/>
          <w:szCs w:val="17"/>
          <w:color w:val="auto"/>
        </w:rPr>
        <w:t xml:space="preserve">Therefore, the other </w:t>
      </w:r>
      <w:r>
        <w:rPr>
          <w:rFonts w:ascii="Arial" w:cs="Arial" w:eastAsia="Arial" w:hAnsi="Arial"/>
          <w:sz w:val="11"/>
          <w:szCs w:val="11"/>
          <w:color w:val="auto"/>
        </w:rPr>
        <w:t>PARTIES</w:t>
      </w:r>
      <w:r>
        <w:rPr>
          <w:rFonts w:ascii="Arial" w:cs="Arial" w:eastAsia="Arial" w:hAnsi="Arial"/>
          <w:sz w:val="17"/>
          <w:szCs w:val="17"/>
          <w:color w:val="auto"/>
        </w:rPr>
        <w:t xml:space="preserve"> and DH-LT agree to include DH-LT in the S</w:t>
      </w:r>
      <w:r>
        <w:rPr>
          <w:rFonts w:ascii="Arial" w:cs="Arial" w:eastAsia="Arial" w:hAnsi="Arial"/>
          <w:sz w:val="11"/>
          <w:szCs w:val="11"/>
          <w:color w:val="auto"/>
        </w:rPr>
        <w:t>HAREHOLDER</w:t>
      </w:r>
      <w:r>
        <w:rPr>
          <w:rFonts w:ascii="Arial" w:cs="Arial" w:eastAsia="Arial" w:hAnsi="Arial"/>
          <w:sz w:val="17"/>
          <w:szCs w:val="17"/>
          <w:color w:val="auto"/>
        </w:rPr>
        <w:t xml:space="preserve"> A</w:t>
      </w:r>
      <w:r>
        <w:rPr>
          <w:rFonts w:ascii="Arial" w:cs="Arial" w:eastAsia="Arial" w:hAnsi="Arial"/>
          <w:sz w:val="11"/>
          <w:szCs w:val="11"/>
          <w:color w:val="auto"/>
        </w:rPr>
        <w:t>GREEMENT</w:t>
      </w:r>
      <w:r>
        <w:rPr>
          <w:rFonts w:ascii="Arial" w:cs="Arial" w:eastAsia="Arial" w:hAnsi="Arial"/>
          <w:sz w:val="17"/>
          <w:szCs w:val="17"/>
          <w:color w:val="auto"/>
        </w:rPr>
        <w:t xml:space="preserve"> alongside DH by way of this Addendum to the</w:t>
      </w:r>
    </w:p>
    <w:p>
      <w:pPr>
        <w:spacing w:after="0" w:line="34" w:lineRule="exact"/>
        <w:rPr>
          <w:rFonts w:ascii="Arial" w:cs="Arial" w:eastAsia="Arial" w:hAnsi="Arial"/>
          <w:sz w:val="17"/>
          <w:szCs w:val="17"/>
          <w:b w:val="1"/>
          <w:bCs w:val="1"/>
          <w:color w:val="auto"/>
        </w:rPr>
      </w:pPr>
    </w:p>
    <w:p>
      <w:pPr>
        <w:ind w:left="660"/>
        <w:spacing w:after="0"/>
        <w:rPr>
          <w:rFonts w:ascii="Arial" w:cs="Arial" w:eastAsia="Arial" w:hAnsi="Arial"/>
          <w:sz w:val="17"/>
          <w:szCs w:val="17"/>
          <w:b w:val="1"/>
          <w:bCs w:val="1"/>
          <w:color w:val="auto"/>
        </w:rPr>
      </w:pPr>
      <w:r>
        <w:rPr>
          <w:rFonts w:ascii="Arial" w:cs="Arial" w:eastAsia="Arial" w:hAnsi="Arial"/>
          <w:sz w:val="18"/>
          <w:szCs w:val="18"/>
          <w:color w:val="auto"/>
        </w:rPr>
        <w:t>S</w:t>
      </w:r>
      <w:r>
        <w:rPr>
          <w:rFonts w:ascii="Arial" w:cs="Arial" w:eastAsia="Arial" w:hAnsi="Arial"/>
          <w:sz w:val="12"/>
          <w:szCs w:val="12"/>
          <w:color w:val="auto"/>
        </w:rPr>
        <w:t>HAREHOLDERS</w:t>
      </w:r>
      <w:r>
        <w:rPr>
          <w:rFonts w:ascii="Arial" w:cs="Arial" w:eastAsia="Arial" w:hAnsi="Arial"/>
          <w:sz w:val="18"/>
          <w:szCs w:val="18"/>
          <w:color w:val="auto"/>
        </w:rPr>
        <w:t>'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aforesaid, the P</w:t>
      </w:r>
      <w:r>
        <w:rPr>
          <w:rFonts w:ascii="Arial" w:cs="Arial" w:eastAsia="Arial" w:hAnsi="Arial"/>
          <w:sz w:val="12"/>
          <w:szCs w:val="12"/>
          <w:color w:val="auto"/>
        </w:rPr>
        <w:t>ARTIES</w:t>
      </w:r>
      <w:r>
        <w:rPr>
          <w:rFonts w:ascii="Arial" w:cs="Arial" w:eastAsia="Arial" w:hAnsi="Arial"/>
          <w:sz w:val="18"/>
          <w:szCs w:val="18"/>
          <w:color w:val="auto"/>
        </w:rPr>
        <w:t xml:space="preserve"> agree on the following:</w:t>
      </w:r>
    </w:p>
    <w:p>
      <w:pPr>
        <w:spacing w:after="0" w:line="221" w:lineRule="exact"/>
        <w:rPr>
          <w:sz w:val="20"/>
          <w:szCs w:val="20"/>
          <w:color w:val="auto"/>
        </w:rPr>
      </w:pPr>
    </w:p>
    <w:p>
      <w:pPr>
        <w:ind w:left="660" w:hanging="652"/>
        <w:spacing w:after="0"/>
        <w:tabs>
          <w:tab w:leader="none" w:pos="660" w:val="left"/>
        </w:tabs>
        <w:numPr>
          <w:ilvl w:val="0"/>
          <w:numId w:val="307"/>
        </w:numPr>
        <w:rPr>
          <w:rFonts w:ascii="Arial" w:cs="Arial" w:eastAsia="Arial" w:hAnsi="Arial"/>
          <w:sz w:val="18"/>
          <w:szCs w:val="18"/>
          <w:b w:val="1"/>
          <w:bCs w:val="1"/>
          <w:color w:val="auto"/>
        </w:rPr>
      </w:pPr>
      <w:r>
        <w:rPr>
          <w:rFonts w:ascii="Arial" w:cs="Arial" w:eastAsia="Arial" w:hAnsi="Arial"/>
          <w:sz w:val="18"/>
          <w:szCs w:val="18"/>
          <w:b w:val="1"/>
          <w:bCs w:val="1"/>
          <w:color w:val="auto"/>
        </w:rPr>
        <w:t>Accession of DH-LT to the S</w:t>
      </w:r>
      <w:r>
        <w:rPr>
          <w:rFonts w:ascii="Arial" w:cs="Arial" w:eastAsia="Arial" w:hAnsi="Arial"/>
          <w:sz w:val="12"/>
          <w:szCs w:val="12"/>
          <w:b w:val="1"/>
          <w:bCs w:val="1"/>
          <w:color w:val="auto"/>
        </w:rPr>
        <w:t>HAREHOLDERS</w:t>
      </w:r>
      <w:r>
        <w:rPr>
          <w:rFonts w:ascii="Arial" w:cs="Arial" w:eastAsia="Arial" w:hAnsi="Arial"/>
          <w:sz w:val="18"/>
          <w:szCs w:val="18"/>
          <w:b w:val="1"/>
          <w:bCs w:val="1"/>
          <w:color w:val="auto"/>
        </w:rPr>
        <w:t>’ A</w:t>
      </w:r>
      <w:r>
        <w:rPr>
          <w:rFonts w:ascii="Arial" w:cs="Arial" w:eastAsia="Arial" w:hAnsi="Arial"/>
          <w:sz w:val="12"/>
          <w:szCs w:val="12"/>
          <w:b w:val="1"/>
          <w:bCs w:val="1"/>
          <w:color w:val="auto"/>
        </w:rPr>
        <w:t>GREEMENT</w:t>
      </w:r>
      <w:r>
        <w:rPr>
          <w:rFonts w:ascii="Arial" w:cs="Arial" w:eastAsia="Arial" w:hAnsi="Arial"/>
          <w:sz w:val="18"/>
          <w:szCs w:val="18"/>
          <w:b w:val="1"/>
          <w:bCs w:val="1"/>
          <w:color w:val="auto"/>
        </w:rPr>
        <w:t xml:space="preserve"> ; Consent of the other P</w:t>
      </w:r>
      <w:r>
        <w:rPr>
          <w:rFonts w:ascii="Arial" w:cs="Arial" w:eastAsia="Arial" w:hAnsi="Arial"/>
          <w:sz w:val="12"/>
          <w:szCs w:val="12"/>
          <w:b w:val="1"/>
          <w:bCs w:val="1"/>
          <w:color w:val="auto"/>
        </w:rPr>
        <w:t>ARTIES</w:t>
      </w:r>
    </w:p>
    <w:p>
      <w:pPr>
        <w:spacing w:after="0" w:line="229" w:lineRule="exact"/>
        <w:rPr>
          <w:rFonts w:ascii="Arial" w:cs="Arial" w:eastAsia="Arial" w:hAnsi="Arial"/>
          <w:sz w:val="18"/>
          <w:szCs w:val="18"/>
          <w:b w:val="1"/>
          <w:bCs w:val="1"/>
          <w:color w:val="auto"/>
        </w:rPr>
      </w:pPr>
    </w:p>
    <w:p>
      <w:pPr>
        <w:jc w:val="both"/>
        <w:ind w:left="660" w:right="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 xml:space="preserve">DH-LT hereby accedes to the </w:t>
      </w:r>
      <w:r>
        <w:rPr>
          <w:rFonts w:ascii="Arial" w:cs="Arial" w:eastAsia="Arial" w:hAnsi="Arial"/>
          <w:sz w:val="12"/>
          <w:szCs w:val="12"/>
          <w:color w:val="auto"/>
        </w:rPr>
        <w:t>SHAREHOLDERS</w:t>
      </w:r>
      <w:r>
        <w:rPr>
          <w:rFonts w:ascii="Arial" w:cs="Arial" w:eastAsia="Arial" w:hAnsi="Arial"/>
          <w:sz w:val="18"/>
          <w:szCs w:val="18"/>
          <w:color w:val="auto"/>
        </w:rPr>
        <w:t xml:space="preserve">' </w:t>
      </w:r>
      <w:r>
        <w:rPr>
          <w:rFonts w:ascii="Arial" w:cs="Arial" w:eastAsia="Arial" w:hAnsi="Arial"/>
          <w:sz w:val="12"/>
          <w:szCs w:val="12"/>
          <w:color w:val="auto"/>
        </w:rPr>
        <w:t>AGREEMENT</w:t>
      </w:r>
      <w:r>
        <w:rPr>
          <w:rFonts w:ascii="Arial" w:cs="Arial" w:eastAsia="Arial" w:hAnsi="Arial"/>
          <w:sz w:val="18"/>
          <w:szCs w:val="18"/>
          <w:color w:val="auto"/>
        </w:rPr>
        <w:t xml:space="preserve"> alongside of DH. DH-LT shall therefore have the same rights and obligations as DH under the </w:t>
      </w:r>
      <w:r>
        <w:rPr>
          <w:rFonts w:ascii="Arial" w:cs="Arial" w:eastAsia="Arial" w:hAnsi="Arial"/>
          <w:sz w:val="12"/>
          <w:szCs w:val="12"/>
          <w:color w:val="auto"/>
        </w:rPr>
        <w:t>SHAREHOLDERS</w:t>
      </w:r>
      <w:r>
        <w:rPr>
          <w:rFonts w:ascii="Arial" w:cs="Arial" w:eastAsia="Arial" w:hAnsi="Arial"/>
          <w:sz w:val="18"/>
          <w:szCs w:val="18"/>
          <w:color w:val="auto"/>
        </w:rPr>
        <w:t xml:space="preserve">' </w:t>
      </w:r>
      <w:r>
        <w:rPr>
          <w:rFonts w:ascii="Arial" w:cs="Arial" w:eastAsia="Arial" w:hAnsi="Arial"/>
          <w:sz w:val="12"/>
          <w:szCs w:val="12"/>
          <w:color w:val="auto"/>
        </w:rPr>
        <w:t>AGREEMENT</w:t>
      </w:r>
      <w:r>
        <w:rPr>
          <w:rFonts w:ascii="Arial" w:cs="Arial" w:eastAsia="Arial" w:hAnsi="Arial"/>
          <w:sz w:val="18"/>
          <w:szCs w:val="18"/>
          <w:color w:val="auto"/>
        </w:rPr>
        <w:t xml:space="preserve">. The shares in CureVac N.V. already acquired or to be acquired in the future by DH-LT in the course of the </w:t>
      </w:r>
      <w:r>
        <w:rPr>
          <w:rFonts w:ascii="Arial" w:cs="Arial" w:eastAsia="Arial" w:hAnsi="Arial"/>
          <w:sz w:val="18"/>
          <w:szCs w:val="18"/>
          <w:i w:val="1"/>
          <w:iCs w:val="1"/>
          <w:color w:val="auto"/>
        </w:rPr>
        <w:t xml:space="preserve">concurrent private placement </w:t>
      </w:r>
      <w:r>
        <w:rPr>
          <w:rFonts w:ascii="Arial" w:cs="Arial" w:eastAsia="Arial" w:hAnsi="Arial"/>
          <w:sz w:val="18"/>
          <w:szCs w:val="18"/>
          <w:color w:val="auto"/>
        </w:rPr>
        <w:t>shall be deemed IPO shares within the meaning of the S</w:t>
      </w:r>
      <w:r>
        <w:rPr>
          <w:rFonts w:ascii="Arial" w:cs="Arial" w:eastAsia="Arial" w:hAnsi="Arial"/>
          <w:sz w:val="12"/>
          <w:szCs w:val="12"/>
          <w:color w:val="auto"/>
        </w:rPr>
        <w:t>HAREHOLDERS</w:t>
      </w:r>
      <w:r>
        <w:rPr>
          <w:rFonts w:ascii="Arial" w:cs="Arial" w:eastAsia="Arial" w:hAnsi="Arial"/>
          <w:sz w:val="18"/>
          <w:szCs w:val="18"/>
          <w:color w:val="auto"/>
        </w:rPr>
        <w:t>'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440" w:type="dxa"/>
            <w:vAlign w:val="bottom"/>
          </w:tcPr>
          <w:p>
            <w:pPr>
              <w:jc w:val="right"/>
              <w:ind w:right="110"/>
              <w:spacing w:after="0"/>
              <w:rPr>
                <w:sz w:val="20"/>
                <w:szCs w:val="20"/>
                <w:color w:val="auto"/>
              </w:rPr>
            </w:pPr>
            <w:r>
              <w:rPr>
                <w:rFonts w:ascii="Arial" w:cs="Arial" w:eastAsia="Arial" w:hAnsi="Arial"/>
                <w:sz w:val="18"/>
                <w:szCs w:val="18"/>
                <w:color w:val="auto"/>
                <w:w w:val="87"/>
              </w:rPr>
              <w:t>1.2</w:t>
            </w:r>
          </w:p>
        </w:tc>
        <w:tc>
          <w:tcPr>
            <w:tcW w:w="10800" w:type="dxa"/>
            <w:vAlign w:val="bottom"/>
          </w:tcPr>
          <w:p>
            <w:pPr>
              <w:ind w:left="220"/>
              <w:spacing w:after="0"/>
              <w:rPr>
                <w:sz w:val="20"/>
                <w:szCs w:val="20"/>
                <w:color w:val="auto"/>
              </w:rPr>
            </w:pPr>
            <w:r>
              <w:rPr>
                <w:rFonts w:ascii="Arial" w:cs="Arial" w:eastAsia="Arial" w:hAnsi="Arial"/>
                <w:sz w:val="18"/>
                <w:szCs w:val="18"/>
                <w:color w:val="auto"/>
                <w:w w:val="95"/>
              </w:rPr>
              <w:t>In particular, but without limitation, DH-LT shall be obligated under clause 8, 2</w:t>
            </w:r>
            <w:r>
              <w:rPr>
                <w:rFonts w:ascii="Arial" w:cs="Arial" w:eastAsia="Arial" w:hAnsi="Arial"/>
                <w:sz w:val="29"/>
                <w:szCs w:val="29"/>
                <w:color w:val="auto"/>
                <w:w w:val="95"/>
                <w:vertAlign w:val="superscript"/>
              </w:rPr>
              <w:t>nd</w:t>
            </w:r>
            <w:r>
              <w:rPr>
                <w:rFonts w:ascii="Arial" w:cs="Arial" w:eastAsia="Arial" w:hAnsi="Arial"/>
                <w:sz w:val="18"/>
                <w:szCs w:val="18"/>
                <w:color w:val="auto"/>
                <w:w w:val="95"/>
              </w:rPr>
              <w:t xml:space="preserve"> sentence in connection with clause 4.5 of the </w:t>
            </w:r>
            <w:r>
              <w:rPr>
                <w:rFonts w:ascii="Arial" w:cs="Arial" w:eastAsia="Arial" w:hAnsi="Arial"/>
                <w:sz w:val="12"/>
                <w:szCs w:val="12"/>
                <w:color w:val="auto"/>
                <w:w w:val="95"/>
              </w:rPr>
              <w:t>SHAREHOLDERS</w:t>
            </w:r>
            <w:r>
              <w:rPr>
                <w:rFonts w:ascii="Arial" w:cs="Arial" w:eastAsia="Arial" w:hAnsi="Arial"/>
                <w:sz w:val="18"/>
                <w:szCs w:val="18"/>
                <w:color w:val="auto"/>
                <w:w w:val="95"/>
              </w:rPr>
              <w:t>'</w:t>
            </w:r>
          </w:p>
        </w:tc>
      </w:tr>
      <w:tr>
        <w:trPr>
          <w:trHeight w:val="216"/>
        </w:trPr>
        <w:tc>
          <w:tcPr>
            <w:tcW w:w="440" w:type="dxa"/>
            <w:vAlign w:val="bottom"/>
          </w:tcPr>
          <w:p>
            <w:pPr>
              <w:spacing w:after="0"/>
              <w:rPr>
                <w:sz w:val="18"/>
                <w:szCs w:val="18"/>
                <w:color w:val="auto"/>
              </w:rPr>
            </w:pPr>
          </w:p>
        </w:tc>
        <w:tc>
          <w:tcPr>
            <w:tcW w:w="10800" w:type="dxa"/>
            <w:vAlign w:val="bottom"/>
          </w:tcPr>
          <w:p>
            <w:pPr>
              <w:ind w:left="220"/>
              <w:spacing w:after="0"/>
              <w:rPr>
                <w:sz w:val="20"/>
                <w:szCs w:val="20"/>
                <w:color w:val="auto"/>
              </w:rPr>
            </w:pPr>
            <w:r>
              <w:rPr>
                <w:rFonts w:ascii="Arial" w:cs="Arial" w:eastAsia="Arial" w:hAnsi="Arial"/>
                <w:sz w:val="12"/>
                <w:szCs w:val="12"/>
                <w:color w:val="auto"/>
                <w:w w:val="98"/>
              </w:rPr>
              <w:t xml:space="preserve">AGREEMENT </w:t>
            </w:r>
            <w:r>
              <w:rPr>
                <w:rFonts w:ascii="Arial" w:cs="Arial" w:eastAsia="Arial" w:hAnsi="Arial"/>
                <w:sz w:val="17"/>
                <w:szCs w:val="17"/>
                <w:color w:val="auto"/>
                <w:w w:val="98"/>
              </w:rPr>
              <w:t>to exercise the rights from IPO</w:t>
            </w:r>
            <w:r>
              <w:rPr>
                <w:rFonts w:ascii="Arial" w:cs="Arial" w:eastAsia="Arial" w:hAnsi="Arial"/>
                <w:sz w:val="12"/>
                <w:szCs w:val="12"/>
                <w:color w:val="auto"/>
                <w:w w:val="98"/>
              </w:rPr>
              <w:t xml:space="preserve"> SHARES </w:t>
            </w:r>
            <w:r>
              <w:rPr>
                <w:rFonts w:ascii="Arial" w:cs="Arial" w:eastAsia="Arial" w:hAnsi="Arial"/>
                <w:sz w:val="17"/>
                <w:szCs w:val="17"/>
                <w:color w:val="auto"/>
                <w:w w:val="98"/>
              </w:rPr>
              <w:t>in the case of resolutions of the general meeting on R</w:t>
            </w:r>
            <w:r>
              <w:rPr>
                <w:rFonts w:ascii="Arial" w:cs="Arial" w:eastAsia="Arial" w:hAnsi="Arial"/>
                <w:sz w:val="12"/>
                <w:szCs w:val="12"/>
                <w:color w:val="auto"/>
                <w:w w:val="98"/>
              </w:rPr>
              <w:t xml:space="preserve">ESTRICTED </w:t>
            </w:r>
            <w:r>
              <w:rPr>
                <w:rFonts w:ascii="Arial" w:cs="Arial" w:eastAsia="Arial" w:hAnsi="Arial"/>
                <w:sz w:val="17"/>
                <w:szCs w:val="17"/>
                <w:color w:val="auto"/>
                <w:w w:val="98"/>
              </w:rPr>
              <w:t>I</w:t>
            </w:r>
            <w:r>
              <w:rPr>
                <w:rFonts w:ascii="Arial" w:cs="Arial" w:eastAsia="Arial" w:hAnsi="Arial"/>
                <w:sz w:val="12"/>
                <w:szCs w:val="12"/>
                <w:color w:val="auto"/>
                <w:w w:val="98"/>
              </w:rPr>
              <w:t xml:space="preserve">TEMS OF </w:t>
            </w:r>
            <w:r>
              <w:rPr>
                <w:rFonts w:ascii="Arial" w:cs="Arial" w:eastAsia="Arial" w:hAnsi="Arial"/>
                <w:sz w:val="17"/>
                <w:szCs w:val="17"/>
                <w:color w:val="auto"/>
                <w:w w:val="98"/>
              </w:rPr>
              <w:t>R</w:t>
            </w:r>
            <w:r>
              <w:rPr>
                <w:rFonts w:ascii="Arial" w:cs="Arial" w:eastAsia="Arial" w:hAnsi="Arial"/>
                <w:sz w:val="12"/>
                <w:szCs w:val="12"/>
                <w:color w:val="auto"/>
                <w:w w:val="98"/>
              </w:rPr>
              <w:t xml:space="preserve">ESOLUTION </w:t>
            </w:r>
            <w:r>
              <w:rPr>
                <w:rFonts w:ascii="Arial" w:cs="Arial" w:eastAsia="Arial" w:hAnsi="Arial"/>
                <w:sz w:val="17"/>
                <w:szCs w:val="17"/>
                <w:color w:val="auto"/>
                <w:w w:val="98"/>
              </w:rPr>
              <w:t>in the same</w:t>
            </w:r>
          </w:p>
        </w:tc>
      </w:tr>
      <w:tr>
        <w:trPr>
          <w:trHeight w:val="230"/>
        </w:trPr>
        <w:tc>
          <w:tcPr>
            <w:tcW w:w="440" w:type="dxa"/>
            <w:vAlign w:val="bottom"/>
          </w:tcPr>
          <w:p>
            <w:pPr>
              <w:spacing w:after="0"/>
              <w:rPr>
                <w:sz w:val="20"/>
                <w:szCs w:val="20"/>
                <w:color w:val="auto"/>
              </w:rPr>
            </w:pPr>
          </w:p>
        </w:tc>
        <w:tc>
          <w:tcPr>
            <w:tcW w:w="10800" w:type="dxa"/>
            <w:vAlign w:val="bottom"/>
          </w:tcPr>
          <w:p>
            <w:pPr>
              <w:ind w:left="220"/>
              <w:spacing w:after="0"/>
              <w:rPr>
                <w:sz w:val="20"/>
                <w:szCs w:val="20"/>
                <w:color w:val="auto"/>
              </w:rPr>
            </w:pPr>
            <w:r>
              <w:rPr>
                <w:rFonts w:ascii="Arial" w:cs="Arial" w:eastAsia="Arial" w:hAnsi="Arial"/>
                <w:sz w:val="18"/>
                <w:szCs w:val="18"/>
                <w:color w:val="auto"/>
              </w:rPr>
              <w:t>way as the voting rights from the R</w:t>
            </w:r>
            <w:r>
              <w:rPr>
                <w:rFonts w:ascii="Arial" w:cs="Arial" w:eastAsia="Arial" w:hAnsi="Arial"/>
                <w:sz w:val="12"/>
                <w:szCs w:val="12"/>
                <w:color w:val="auto"/>
              </w:rPr>
              <w:t>ESTRICTED</w:t>
            </w:r>
            <w:r>
              <w:rPr>
                <w:rFonts w:ascii="Arial" w:cs="Arial" w:eastAsia="Arial" w:hAnsi="Arial"/>
                <w:sz w:val="18"/>
                <w:szCs w:val="18"/>
                <w:color w:val="auto"/>
              </w:rPr>
              <w:t xml:space="preserve"> S</w:t>
            </w:r>
            <w:r>
              <w:rPr>
                <w:rFonts w:ascii="Arial" w:cs="Arial" w:eastAsia="Arial" w:hAnsi="Arial"/>
                <w:sz w:val="12"/>
                <w:szCs w:val="12"/>
                <w:color w:val="auto"/>
              </w:rPr>
              <w:t>HARES</w:t>
            </w:r>
            <w:r>
              <w:rPr>
                <w:rFonts w:ascii="Arial" w:cs="Arial" w:eastAsia="Arial" w:hAnsi="Arial"/>
                <w:sz w:val="18"/>
                <w:szCs w:val="18"/>
                <w:color w:val="auto"/>
              </w:rPr>
              <w:t>.</w:t>
            </w:r>
          </w:p>
        </w:tc>
      </w:tr>
    </w:tbl>
    <w:p>
      <w:pPr>
        <w:spacing w:after="0" w:line="200" w:lineRule="exact"/>
        <w:rPr>
          <w:sz w:val="20"/>
          <w:szCs w:val="20"/>
          <w:color w:val="auto"/>
        </w:rPr>
      </w:pPr>
    </w:p>
    <w:p>
      <w:pPr>
        <w:spacing w:after="0" w:line="218" w:lineRule="exact"/>
        <w:rPr>
          <w:sz w:val="20"/>
          <w:szCs w:val="20"/>
          <w:color w:val="auto"/>
        </w:rPr>
      </w:pPr>
    </w:p>
    <w:p>
      <w:pPr>
        <w:ind w:left="10480"/>
        <w:spacing w:after="0"/>
        <w:rPr>
          <w:sz w:val="20"/>
          <w:szCs w:val="20"/>
          <w:color w:val="auto"/>
        </w:rPr>
      </w:pPr>
      <w:r>
        <w:rPr>
          <w:rFonts w:ascii="Arial" w:cs="Arial" w:eastAsia="Arial" w:hAnsi="Arial"/>
          <w:sz w:val="15"/>
          <w:szCs w:val="15"/>
          <w:color w:val="auto"/>
        </w:rPr>
        <w:t>Page 2of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4" w:name="page455"/>
    <w:bookmarkEnd w:id="454"/>
    <w:p>
      <w:pPr>
        <w:jc w:val="right"/>
        <w:spacing w:after="0"/>
        <w:rPr>
          <w:sz w:val="20"/>
          <w:szCs w:val="20"/>
          <w:color w:val="auto"/>
        </w:rPr>
      </w:pPr>
      <w:r>
        <w:rPr>
          <w:rFonts w:ascii="Arial" w:cs="Arial" w:eastAsia="Arial" w:hAnsi="Arial"/>
          <w:sz w:val="18"/>
          <w:szCs w:val="18"/>
          <w:color w:val="auto"/>
        </w:rPr>
        <w:t>Addendum to the Addendum to the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Shareholders' Agreement between Investor Bund, dievini and DH</w:t>
      </w:r>
    </w:p>
    <w:p>
      <w:pPr>
        <w:spacing w:after="0" w:line="211"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 xml:space="preserve">For the avoidance of doubt, even with DH-LT's accession to the </w:t>
      </w:r>
      <w:r>
        <w:rPr>
          <w:rFonts w:ascii="Arial" w:cs="Arial" w:eastAsia="Arial" w:hAnsi="Arial"/>
          <w:sz w:val="12"/>
          <w:szCs w:val="12"/>
          <w:color w:val="auto"/>
        </w:rPr>
        <w:t>SHAREHOLDERS</w:t>
      </w:r>
      <w:r>
        <w:rPr>
          <w:rFonts w:ascii="Arial" w:cs="Arial" w:eastAsia="Arial" w:hAnsi="Arial"/>
          <w:sz w:val="18"/>
          <w:szCs w:val="18"/>
          <w:color w:val="auto"/>
        </w:rPr>
        <w:t xml:space="preserve">' </w:t>
      </w:r>
      <w:r>
        <w:rPr>
          <w:rFonts w:ascii="Arial" w:cs="Arial" w:eastAsia="Arial" w:hAnsi="Arial"/>
          <w:sz w:val="12"/>
          <w:szCs w:val="12"/>
          <w:color w:val="auto"/>
        </w:rPr>
        <w:t>AGREEMENT</w:t>
      </w:r>
      <w:r>
        <w:rPr>
          <w:rFonts w:ascii="Arial" w:cs="Arial" w:eastAsia="Arial" w:hAnsi="Arial"/>
          <w:sz w:val="18"/>
          <w:szCs w:val="18"/>
          <w:color w:val="auto"/>
        </w:rPr>
        <w:t xml:space="preserve">, as described above, the </w:t>
      </w:r>
      <w:r>
        <w:rPr>
          <w:rFonts w:ascii="Arial" w:cs="Arial" w:eastAsia="Arial" w:hAnsi="Arial"/>
          <w:sz w:val="12"/>
          <w:szCs w:val="12"/>
          <w:color w:val="auto"/>
        </w:rPr>
        <w:t>INVESTMENT AMOUNT</w:t>
      </w:r>
      <w:r>
        <w:rPr>
          <w:rFonts w:ascii="Arial" w:cs="Arial" w:eastAsia="Arial" w:hAnsi="Arial"/>
          <w:sz w:val="18"/>
          <w:szCs w:val="18"/>
          <w:color w:val="auto"/>
        </w:rPr>
        <w:t xml:space="preserve"> is only due and payable once.</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The other P</w:t>
      </w:r>
      <w:r>
        <w:rPr>
          <w:rFonts w:ascii="Arial" w:cs="Arial" w:eastAsia="Arial" w:hAnsi="Arial"/>
          <w:sz w:val="11"/>
          <w:szCs w:val="11"/>
          <w:color w:val="auto"/>
        </w:rPr>
        <w:t>ARTIES</w:t>
      </w:r>
      <w:r>
        <w:rPr>
          <w:rFonts w:ascii="Arial" w:cs="Arial" w:eastAsia="Arial" w:hAnsi="Arial"/>
          <w:sz w:val="16"/>
          <w:szCs w:val="16"/>
          <w:color w:val="auto"/>
        </w:rPr>
        <w:t xml:space="preserve"> hereby agree to DH-LT's accession to the S</w:t>
      </w:r>
      <w:r>
        <w:rPr>
          <w:rFonts w:ascii="Arial" w:cs="Arial" w:eastAsia="Arial" w:hAnsi="Arial"/>
          <w:sz w:val="11"/>
          <w:szCs w:val="11"/>
          <w:color w:val="auto"/>
        </w:rPr>
        <w:t>HAREHOLDERS</w:t>
      </w:r>
      <w:r>
        <w:rPr>
          <w:rFonts w:ascii="Arial" w:cs="Arial" w:eastAsia="Arial" w:hAnsi="Arial"/>
          <w:sz w:val="16"/>
          <w:szCs w:val="16"/>
          <w:color w:val="auto"/>
        </w:rPr>
        <w:t>' A</w:t>
      </w:r>
      <w:r>
        <w:rPr>
          <w:rFonts w:ascii="Arial" w:cs="Arial" w:eastAsia="Arial" w:hAnsi="Arial"/>
          <w:sz w:val="11"/>
          <w:szCs w:val="11"/>
          <w:color w:val="auto"/>
        </w:rPr>
        <w:t>GREEMENT AS</w:t>
      </w:r>
      <w:r>
        <w:rPr>
          <w:rFonts w:ascii="Arial" w:cs="Arial" w:eastAsia="Arial" w:hAnsi="Arial"/>
          <w:sz w:val="16"/>
          <w:szCs w:val="16"/>
          <w:color w:val="auto"/>
        </w:rPr>
        <w:t xml:space="preserve"> described in clause 1.1.</w:t>
      </w:r>
    </w:p>
    <w:p>
      <w:pPr>
        <w:spacing w:after="0" w:line="221" w:lineRule="exact"/>
        <w:rPr>
          <w:sz w:val="20"/>
          <w:szCs w:val="20"/>
          <w:color w:val="auto"/>
        </w:rPr>
      </w:pPr>
    </w:p>
    <w:p>
      <w:pPr>
        <w:ind w:left="660" w:hanging="652"/>
        <w:spacing w:after="0"/>
        <w:tabs>
          <w:tab w:leader="none" w:pos="660"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Notices to DH-LT</w:t>
      </w:r>
    </w:p>
    <w:p>
      <w:pPr>
        <w:spacing w:after="0" w:line="229" w:lineRule="exact"/>
        <w:rPr>
          <w:rFonts w:ascii="Arial" w:cs="Arial" w:eastAsia="Arial" w:hAnsi="Arial"/>
          <w:sz w:val="18"/>
          <w:szCs w:val="18"/>
          <w:b w:val="1"/>
          <w:bCs w:val="1"/>
          <w:color w:val="auto"/>
        </w:rPr>
      </w:pPr>
    </w:p>
    <w:p>
      <w:pPr>
        <w:jc w:val="both"/>
        <w:ind w:left="6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All declarations and other notices from and in connection with the S</w:t>
      </w:r>
      <w:r>
        <w:rPr>
          <w:rFonts w:ascii="Arial" w:cs="Arial" w:eastAsia="Arial" w:hAnsi="Arial"/>
          <w:sz w:val="12"/>
          <w:szCs w:val="12"/>
          <w:color w:val="auto"/>
        </w:rPr>
        <w:t>HAREHOLDERS</w:t>
      </w:r>
      <w:r>
        <w:rPr>
          <w:rFonts w:ascii="Arial" w:cs="Arial" w:eastAsia="Arial" w:hAnsi="Arial"/>
          <w:sz w:val="18"/>
          <w:szCs w:val="18"/>
          <w:color w:val="auto"/>
        </w:rPr>
        <w:t>’ A</w:t>
      </w:r>
      <w:r>
        <w:rPr>
          <w:rFonts w:ascii="Arial" w:cs="Arial" w:eastAsia="Arial" w:hAnsi="Arial"/>
          <w:sz w:val="12"/>
          <w:szCs w:val="12"/>
          <w:color w:val="auto"/>
        </w:rPr>
        <w:t>GREEMENT</w:t>
      </w:r>
      <w:r>
        <w:rPr>
          <w:rFonts w:ascii="Arial" w:cs="Arial" w:eastAsia="Arial" w:hAnsi="Arial"/>
          <w:sz w:val="18"/>
          <w:szCs w:val="18"/>
          <w:color w:val="auto"/>
        </w:rPr>
        <w:t xml:space="preserve"> and this </w:t>
      </w:r>
      <w:r>
        <w:rPr>
          <w:rFonts w:ascii="Arial" w:cs="Arial" w:eastAsia="Arial" w:hAnsi="Arial"/>
          <w:sz w:val="12"/>
          <w:szCs w:val="12"/>
          <w:color w:val="auto"/>
        </w:rPr>
        <w:t>ADDENDUM TO THE</w:t>
      </w:r>
      <w:r>
        <w:rPr>
          <w:rFonts w:ascii="Arial" w:cs="Arial" w:eastAsia="Arial" w:hAnsi="Arial"/>
          <w:sz w:val="18"/>
          <w:szCs w:val="18"/>
          <w:color w:val="auto"/>
        </w:rPr>
        <w:t xml:space="preserve"> S</w:t>
      </w:r>
      <w:r>
        <w:rPr>
          <w:rFonts w:ascii="Arial" w:cs="Arial" w:eastAsia="Arial" w:hAnsi="Arial"/>
          <w:sz w:val="12"/>
          <w:szCs w:val="12"/>
          <w:color w:val="auto"/>
        </w:rPr>
        <w:t>HAREHOLDERS</w:t>
      </w:r>
      <w:r>
        <w:rPr>
          <w:rFonts w:ascii="Arial" w:cs="Arial" w:eastAsia="Arial" w:hAnsi="Arial"/>
          <w:sz w:val="18"/>
          <w:szCs w:val="18"/>
          <w:color w:val="auto"/>
        </w:rPr>
        <w:t>’ A</w:t>
      </w:r>
      <w:r>
        <w:rPr>
          <w:rFonts w:ascii="Arial" w:cs="Arial" w:eastAsia="Arial" w:hAnsi="Arial"/>
          <w:sz w:val="12"/>
          <w:szCs w:val="12"/>
          <w:color w:val="auto"/>
        </w:rPr>
        <w:t>GREEMENT</w:t>
      </w:r>
      <w:r>
        <w:rPr>
          <w:rFonts w:ascii="Arial" w:cs="Arial" w:eastAsia="Arial" w:hAnsi="Arial"/>
          <w:sz w:val="18"/>
          <w:szCs w:val="18"/>
          <w:color w:val="auto"/>
        </w:rPr>
        <w:t xml:space="preserve"> shall be sent by the </w:t>
      </w:r>
      <w:r>
        <w:rPr>
          <w:rFonts w:ascii="Arial" w:cs="Arial" w:eastAsia="Arial" w:hAnsi="Arial"/>
          <w:sz w:val="12"/>
          <w:szCs w:val="12"/>
          <w:color w:val="auto"/>
        </w:rPr>
        <w:t>PARTIES</w:t>
      </w:r>
      <w:r>
        <w:rPr>
          <w:rFonts w:ascii="Arial" w:cs="Arial" w:eastAsia="Arial" w:hAnsi="Arial"/>
          <w:sz w:val="18"/>
          <w:szCs w:val="18"/>
          <w:color w:val="auto"/>
        </w:rPr>
        <w:t xml:space="preserve"> to the persons listed below at the contact details, who shall act as authorized service agents for DH-LT until such authorization is revoked:</w:t>
      </w:r>
    </w:p>
    <w:p>
      <w:pPr>
        <w:spacing w:after="0" w:line="1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DH-LT Investments GmbH:</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Opelstrasse 28</w:t>
      </w:r>
    </w:p>
    <w:p>
      <w:pPr>
        <w:spacing w:after="0" w:line="2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68789 St. Leon-Rot</w:t>
      </w:r>
    </w:p>
    <w:p>
      <w:pPr>
        <w:spacing w:after="0" w:line="21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Fax: + 49 (0) 6227 8608 470</w:t>
      </w:r>
    </w:p>
    <w:p>
      <w:pPr>
        <w:spacing w:after="0" w:line="23" w:lineRule="exact"/>
        <w:rPr>
          <w:rFonts w:ascii="Arial" w:cs="Arial" w:eastAsia="Arial" w:hAnsi="Arial"/>
          <w:sz w:val="18"/>
          <w:szCs w:val="18"/>
          <w:b w:val="1"/>
          <w:bCs w:val="1"/>
          <w:color w:val="auto"/>
        </w:rPr>
      </w:pPr>
    </w:p>
    <w:p>
      <w:pPr>
        <w:ind w:left="660" w:right="8440"/>
        <w:spacing w:after="0" w:line="554" w:lineRule="auto"/>
        <w:rPr>
          <w:rFonts w:ascii="Arial" w:cs="Arial" w:eastAsia="Arial" w:hAnsi="Arial"/>
          <w:sz w:val="18"/>
          <w:szCs w:val="18"/>
          <w:b w:val="1"/>
          <w:bCs w:val="1"/>
          <w:color w:val="auto"/>
        </w:rPr>
      </w:pPr>
      <w:r>
        <w:rPr>
          <w:rFonts w:ascii="Arial" w:cs="Arial" w:eastAsia="Arial" w:hAnsi="Arial"/>
          <w:sz w:val="16"/>
          <w:szCs w:val="16"/>
          <w:color w:val="auto"/>
        </w:rPr>
        <w:t>E-Mail: contact@dievini.com each with a copy:</w:t>
      </w: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Prof. Dr. Christof Hettich</w:t>
      </w:r>
    </w:p>
    <w:p>
      <w:pPr>
        <w:spacing w:after="0" w:line="23" w:lineRule="exact"/>
        <w:rPr>
          <w:rFonts w:ascii="Arial" w:cs="Arial" w:eastAsia="Arial" w:hAnsi="Arial"/>
          <w:sz w:val="18"/>
          <w:szCs w:val="18"/>
          <w:b w:val="1"/>
          <w:bCs w:val="1"/>
          <w:color w:val="auto"/>
        </w:rPr>
      </w:pPr>
    </w:p>
    <w:p>
      <w:pPr>
        <w:ind w:left="660" w:right="5700"/>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c/o RITTERSHAUS Rechtsanwälte Partnerschaftsgesellschaft mbB Harrlachweg 4</w:t>
      </w: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68163 Mannheim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+49 (0) 621 4256 250</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christof.hettich@rittershaus.net</w:t>
      </w:r>
    </w:p>
    <w:p>
      <w:pPr>
        <w:spacing w:after="0" w:line="207" w:lineRule="exact"/>
        <w:rPr>
          <w:sz w:val="20"/>
          <w:szCs w:val="20"/>
          <w:color w:val="auto"/>
        </w:rPr>
      </w:pPr>
    </w:p>
    <w:p>
      <w:pPr>
        <w:ind w:left="660" w:hanging="652"/>
        <w:spacing w:after="0"/>
        <w:tabs>
          <w:tab w:leader="none" w:pos="660"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t>Final provisions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 xml:space="preserve">The provisions of the </w:t>
      </w:r>
      <w:r>
        <w:rPr>
          <w:rFonts w:ascii="Arial" w:cs="Arial" w:eastAsia="Arial" w:hAnsi="Arial"/>
          <w:sz w:val="11"/>
          <w:szCs w:val="11"/>
          <w:color w:val="auto"/>
        </w:rPr>
        <w:t>SHAREHOLDERS</w:t>
      </w:r>
      <w:r>
        <w:rPr>
          <w:rFonts w:ascii="Arial" w:cs="Arial" w:eastAsia="Arial" w:hAnsi="Arial"/>
          <w:sz w:val="16"/>
          <w:szCs w:val="16"/>
          <w:color w:val="auto"/>
        </w:rPr>
        <w:t xml:space="preserve">' </w:t>
      </w:r>
      <w:r>
        <w:rPr>
          <w:rFonts w:ascii="Arial" w:cs="Arial" w:eastAsia="Arial" w:hAnsi="Arial"/>
          <w:sz w:val="11"/>
          <w:szCs w:val="11"/>
          <w:color w:val="auto"/>
        </w:rPr>
        <w:t>AGREEMENT</w:t>
      </w:r>
      <w:r>
        <w:rPr>
          <w:rFonts w:ascii="Arial" w:cs="Arial" w:eastAsia="Arial" w:hAnsi="Arial"/>
          <w:sz w:val="16"/>
          <w:szCs w:val="16"/>
          <w:color w:val="auto"/>
        </w:rPr>
        <w:t xml:space="preserve"> shall otherwise remain unchanged and continue to apply.</w:t>
      </w:r>
    </w:p>
    <w:p>
      <w:pPr>
        <w:spacing w:after="0" w:line="200" w:lineRule="exact"/>
        <w:rPr>
          <w:sz w:val="20"/>
          <w:szCs w:val="20"/>
          <w:color w:val="auto"/>
        </w:rPr>
      </w:pPr>
    </w:p>
    <w:p>
      <w:pPr>
        <w:spacing w:after="0" w:line="241" w:lineRule="exact"/>
        <w:rPr>
          <w:sz w:val="20"/>
          <w:szCs w:val="20"/>
          <w:color w:val="auto"/>
        </w:rPr>
      </w:pPr>
    </w:p>
    <w:p>
      <w:pPr>
        <w:ind w:left="10480"/>
        <w:spacing w:after="0"/>
        <w:rPr>
          <w:sz w:val="20"/>
          <w:szCs w:val="20"/>
          <w:color w:val="auto"/>
        </w:rPr>
      </w:pPr>
      <w:r>
        <w:rPr>
          <w:rFonts w:ascii="Arial" w:cs="Arial" w:eastAsia="Arial" w:hAnsi="Arial"/>
          <w:sz w:val="15"/>
          <w:szCs w:val="15"/>
          <w:color w:val="auto"/>
        </w:rPr>
        <w:t>Page 3of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5" w:name="page456"/>
    <w:bookmarkEnd w:id="455"/>
    <w:p>
      <w:pPr>
        <w:jc w:val="right"/>
        <w:spacing w:after="0"/>
        <w:rPr>
          <w:sz w:val="20"/>
          <w:szCs w:val="20"/>
          <w:color w:val="auto"/>
        </w:rPr>
      </w:pPr>
      <w:r>
        <w:rPr>
          <w:rFonts w:ascii="Arial" w:cs="Arial" w:eastAsia="Arial" w:hAnsi="Arial"/>
          <w:sz w:val="18"/>
          <w:szCs w:val="18"/>
          <w:color w:val="auto"/>
        </w:rPr>
        <w:t>Addendum to the Addendum to the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Shareholders' Agreement between Investor Bund, dievini and DH</w:t>
      </w:r>
    </w:p>
    <w:p>
      <w:pPr>
        <w:spacing w:after="0" w:line="211" w:lineRule="exact"/>
        <w:rPr>
          <w:sz w:val="20"/>
          <w:szCs w:val="20"/>
          <w:color w:val="auto"/>
        </w:rPr>
      </w:pPr>
    </w:p>
    <w:p>
      <w:pPr>
        <w:jc w:val="both"/>
        <w:ind w:left="660" w:hanging="647"/>
        <w:spacing w:after="0" w:line="291"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 xml:space="preserve">Terms defined in this Addendum (including the list of parties and the preamble) shall have the same meaning when they are written in </w:t>
      </w:r>
      <w:r>
        <w:rPr>
          <w:rFonts w:ascii="Arial" w:cs="Arial" w:eastAsia="Arial" w:hAnsi="Arial"/>
          <w:sz w:val="11"/>
          <w:szCs w:val="11"/>
          <w:color w:val="auto"/>
        </w:rPr>
        <w:t>SMALL CAPS</w:t>
      </w:r>
      <w:r>
        <w:rPr>
          <w:rFonts w:ascii="Arial" w:cs="Arial" w:eastAsia="Arial" w:hAnsi="Arial"/>
          <w:sz w:val="16"/>
          <w:szCs w:val="16"/>
          <w:color w:val="auto"/>
        </w:rPr>
        <w:t xml:space="preserve">. Terms written in </w:t>
      </w:r>
      <w:r>
        <w:rPr>
          <w:rFonts w:ascii="Arial" w:cs="Arial" w:eastAsia="Arial" w:hAnsi="Arial"/>
          <w:sz w:val="11"/>
          <w:szCs w:val="11"/>
          <w:color w:val="auto"/>
        </w:rPr>
        <w:t>SMALL CAPS</w:t>
      </w:r>
      <w:r>
        <w:rPr>
          <w:rFonts w:ascii="Arial" w:cs="Arial" w:eastAsia="Arial" w:hAnsi="Arial"/>
          <w:sz w:val="16"/>
          <w:szCs w:val="16"/>
          <w:color w:val="auto"/>
        </w:rPr>
        <w:t xml:space="preserve"> in this Addendum and not defined separately in this Addendum shall have the meaning assigned to them in the</w:t>
      </w:r>
    </w:p>
    <w:p>
      <w:pPr>
        <w:ind w:left="6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HAREHOLDERS</w:t>
      </w:r>
      <w:r>
        <w:rPr>
          <w:rFonts w:ascii="Arial" w:cs="Arial" w:eastAsia="Arial" w:hAnsi="Arial"/>
          <w:sz w:val="18"/>
          <w:szCs w:val="18"/>
          <w:color w:val="auto"/>
        </w:rPr>
        <w:t>’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This Addendum is subject to the laws of the Federal Republic of Germany.</w:t>
      </w:r>
    </w:p>
    <w:p>
      <w:pPr>
        <w:spacing w:after="0" w:line="22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Revisions or amendments to this Addendum or an agreement on its cancellation must be made in writing to be effective. The written form shall not be fulfilled in this respect by means of telecommunication transmission (fax), exchange of letters, electronic form (e-mail) or other text form (sec 126b German Civil Code (BGB)). The requirement of written form requirement agreed herein may only be waived, if the requirement of written form is complied with. Oral agreements do not exist.</w:t>
      </w:r>
    </w:p>
    <w:p>
      <w:pPr>
        <w:spacing w:after="0" w:line="187" w:lineRule="exact"/>
        <w:rPr>
          <w:sz w:val="20"/>
          <w:szCs w:val="20"/>
          <w:color w:val="auto"/>
        </w:rPr>
      </w:pPr>
    </w:p>
    <w:p>
      <w:pPr>
        <w:jc w:val="both"/>
        <w:ind w:left="660" w:hanging="647"/>
        <w:spacing w:after="0" w:line="272" w:lineRule="auto"/>
        <w:tabs>
          <w:tab w:leader="none" w:pos="6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color w:val="auto"/>
        </w:rPr>
        <w:t xml:space="preserve">Should individual provisions of this amended are or become invalid or unenforceable or should this Addendum contain gaps, the validity of the remaining provisions of this Addendum shall unaffected. In place of the invalid, unenforceable or missing provision, such valid provision shall be deemed to be agreed which the </w:t>
      </w:r>
      <w:r>
        <w:rPr>
          <w:rFonts w:ascii="Arial" w:cs="Arial" w:eastAsia="Arial" w:hAnsi="Arial"/>
          <w:sz w:val="11"/>
          <w:szCs w:val="11"/>
          <w:color w:val="auto"/>
        </w:rPr>
        <w:t>PARTIES</w:t>
      </w:r>
      <w:r>
        <w:rPr>
          <w:rFonts w:ascii="Arial" w:cs="Arial" w:eastAsia="Arial" w:hAnsi="Arial"/>
          <w:sz w:val="17"/>
          <w:szCs w:val="17"/>
          <w:color w:val="auto"/>
        </w:rPr>
        <w:t xml:space="preserve"> would reasonably have agreed upon if they had been aware of the invalidity, unenforceability or gap at the time of conclusion of this Addendum. If any provision of this Addendum is or becomes invalid because of the scope of performance or time periods agreed therein, the scope of performance or time periods agreed in the provision shall be adjusted to the legally permissible scope(s) or periods which comes closest to the agreed scope(s) or measure. The </w:t>
      </w:r>
      <w:r>
        <w:rPr>
          <w:rFonts w:ascii="Arial" w:cs="Arial" w:eastAsia="Arial" w:hAnsi="Arial"/>
          <w:sz w:val="11"/>
          <w:szCs w:val="11"/>
          <w:color w:val="auto"/>
        </w:rPr>
        <w:t>PARTIES</w:t>
      </w:r>
      <w:r>
        <w:rPr>
          <w:rFonts w:ascii="Arial" w:cs="Arial" w:eastAsia="Arial" w:hAnsi="Arial"/>
          <w:sz w:val="17"/>
          <w:szCs w:val="17"/>
          <w:color w:val="auto"/>
        </w:rPr>
        <w:t xml:space="preserve"> agree that the above provisions not only represent a reversal of the burden of proof, but that § 139 BGB is waived in its entirety.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intentionally left blank -</w:t>
      </w:r>
    </w:p>
    <w:p>
      <w:pPr>
        <w:spacing w:after="0" w:line="200" w:lineRule="exact"/>
        <w:rPr>
          <w:sz w:val="20"/>
          <w:szCs w:val="20"/>
          <w:color w:val="auto"/>
        </w:rPr>
      </w:pPr>
    </w:p>
    <w:p>
      <w:pPr>
        <w:spacing w:after="0" w:line="241" w:lineRule="exact"/>
        <w:rPr>
          <w:sz w:val="20"/>
          <w:szCs w:val="20"/>
          <w:color w:val="auto"/>
        </w:rPr>
      </w:pPr>
    </w:p>
    <w:p>
      <w:pPr>
        <w:ind w:left="10480"/>
        <w:spacing w:after="0"/>
        <w:rPr>
          <w:sz w:val="20"/>
          <w:szCs w:val="20"/>
          <w:color w:val="auto"/>
        </w:rPr>
      </w:pPr>
      <w:r>
        <w:rPr>
          <w:rFonts w:ascii="Arial" w:cs="Arial" w:eastAsia="Arial" w:hAnsi="Arial"/>
          <w:sz w:val="15"/>
          <w:szCs w:val="15"/>
          <w:color w:val="auto"/>
        </w:rPr>
        <w:t>Page 4of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6" w:name="page457"/>
    <w:bookmarkEnd w:id="456"/>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Walldorf, 14.08.2020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Dietmar Hopp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14370"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7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Dietmar Hopp</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Frankfurt,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KfW</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/s/ Dr. Nils Reichhelm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1437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75">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Dr. Nils Reichhelm</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Walldorf, ……………………….</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dievini Hopp BioTech holding GmbH&amp; Co KG </w:t>
      </w:r>
      <w:r>
        <w:rPr>
          <w:rFonts w:ascii="Arial" w:cs="Arial" w:eastAsia="Arial" w:hAnsi="Arial"/>
          <w:sz w:val="16"/>
          <w:szCs w:val="16"/>
          <w:color w:val="auto"/>
        </w:rPr>
        <w:t>represented by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dievini Verwaltungs GmbH, which in turn is represented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 Dietmar Hopp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1437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7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Dietmar Hopp</w:t>
      </w:r>
    </w:p>
    <w:p>
      <w:pPr>
        <w:spacing w:after="0" w:line="20" w:lineRule="exact"/>
        <w:rPr>
          <w:sz w:val="20"/>
          <w:szCs w:val="20"/>
          <w:color w:val="auto"/>
        </w:rPr>
      </w:pPr>
      <w:r>
        <w:rPr>
          <w:sz w:val="20"/>
          <w:szCs w:val="20"/>
          <w:color w:val="auto"/>
        </w:rPr>
        <w:br w:type="column"/>
      </w:r>
    </w:p>
    <w:p>
      <w:pPr>
        <w:jc w:val="right"/>
        <w:ind w:left="320"/>
        <w:spacing w:after="0" w:line="277" w:lineRule="auto"/>
        <w:rPr>
          <w:sz w:val="20"/>
          <w:szCs w:val="20"/>
          <w:color w:val="auto"/>
        </w:rPr>
      </w:pPr>
      <w:r>
        <w:rPr>
          <w:rFonts w:ascii="Arial" w:cs="Arial" w:eastAsia="Arial" w:hAnsi="Arial"/>
          <w:sz w:val="18"/>
          <w:szCs w:val="18"/>
          <w:color w:val="auto"/>
        </w:rPr>
        <w:t>Addendum to the Addendum to the Shareholders' Agreement between Investor Bund, dievini and DH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Dr. Elina Pradkhan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06115"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7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Dr. Elina Pradkhan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 Dr. Mathias Hothum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06115"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7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Dr. Mathias Hothum</w:t>
      </w:r>
    </w:p>
    <w:p>
      <w:pPr>
        <w:spacing w:after="0" w:line="200" w:lineRule="exact"/>
        <w:rPr>
          <w:sz w:val="20"/>
          <w:szCs w:val="20"/>
          <w:color w:val="auto"/>
        </w:rPr>
      </w:pPr>
    </w:p>
    <w:p>
      <w:pPr>
        <w:spacing w:after="0" w:line="240" w:lineRule="exact"/>
        <w:rPr>
          <w:sz w:val="20"/>
          <w:szCs w:val="20"/>
          <w:color w:val="auto"/>
        </w:rPr>
      </w:pPr>
    </w:p>
    <w:p>
      <w:pPr>
        <w:ind w:left="4280"/>
        <w:spacing w:after="0"/>
        <w:rPr>
          <w:sz w:val="20"/>
          <w:szCs w:val="20"/>
          <w:color w:val="auto"/>
        </w:rPr>
      </w:pPr>
      <w:r>
        <w:rPr>
          <w:rFonts w:ascii="Arial" w:cs="Arial" w:eastAsia="Arial" w:hAnsi="Arial"/>
          <w:sz w:val="15"/>
          <w:szCs w:val="15"/>
          <w:color w:val="auto"/>
        </w:rPr>
        <w:t>Page 5of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36830</wp:posOffset>
            </wp:positionV>
            <wp:extent cx="7132320"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5480" w:space="720"/>
            <w:col w:w="5040"/>
          </w:cols>
          <w:pgMar w:left="320" w:top="908" w:right="339" w:bottom="1440" w:gutter="0" w:footer="0" w:header="0"/>
        </w:sectPr>
      </w:pPr>
    </w:p>
    <w:bookmarkStart w:id="457" w:name="page458"/>
    <w:bookmarkEnd w:id="457"/>
    <w:p>
      <w:pPr>
        <w:jc w:val="right"/>
        <w:spacing w:after="0"/>
        <w:rPr>
          <w:sz w:val="20"/>
          <w:szCs w:val="20"/>
          <w:color w:val="auto"/>
        </w:rPr>
      </w:pPr>
      <w:r>
        <w:rPr>
          <w:rFonts w:ascii="Arial" w:cs="Arial" w:eastAsia="Arial" w:hAnsi="Arial"/>
          <w:sz w:val="18"/>
          <w:szCs w:val="18"/>
          <w:color w:val="auto"/>
        </w:rPr>
        <w:t>Addendum to the Addendum to the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Shareholders' Agreement between Investor Bund, dievini and DH</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St. Leon-Rot, 14.08.2020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DH-LT Investments GmbH</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/s/ Dietmar Hopp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14370"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8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Dietmar Hopp</w:t>
      </w:r>
    </w:p>
    <w:p>
      <w:pPr>
        <w:spacing w:after="0" w:line="200" w:lineRule="exact"/>
        <w:rPr>
          <w:sz w:val="20"/>
          <w:szCs w:val="20"/>
          <w:color w:val="auto"/>
        </w:rPr>
      </w:pPr>
    </w:p>
    <w:p>
      <w:pPr>
        <w:spacing w:after="0" w:line="240" w:lineRule="exact"/>
        <w:rPr>
          <w:sz w:val="20"/>
          <w:szCs w:val="20"/>
          <w:color w:val="auto"/>
        </w:rPr>
      </w:pPr>
    </w:p>
    <w:p>
      <w:pPr>
        <w:ind w:left="10480"/>
        <w:spacing w:after="0"/>
        <w:rPr>
          <w:sz w:val="20"/>
          <w:szCs w:val="20"/>
          <w:color w:val="auto"/>
        </w:rPr>
      </w:pPr>
      <w:r>
        <w:rPr>
          <w:rFonts w:ascii="Arial" w:cs="Arial" w:eastAsia="Arial" w:hAnsi="Arial"/>
          <w:sz w:val="15"/>
          <w:szCs w:val="15"/>
          <w:color w:val="auto"/>
        </w:rPr>
        <w:t>Page 6of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8" w:name="page459"/>
    <w:bookmarkEnd w:id="458"/>
    <w:p>
      <w:pPr>
        <w:jc w:val="right"/>
        <w:spacing w:after="0"/>
        <w:rPr>
          <w:sz w:val="20"/>
          <w:szCs w:val="20"/>
          <w:color w:val="auto"/>
        </w:rPr>
      </w:pPr>
      <w:r>
        <w:rPr>
          <w:rFonts w:ascii="Arial" w:cs="Arial" w:eastAsia="Arial" w:hAnsi="Arial"/>
          <w:sz w:val="18"/>
          <w:szCs w:val="18"/>
          <w:b w:val="1"/>
          <w:bCs w:val="1"/>
          <w:color w:val="auto"/>
        </w:rPr>
        <w:t>Exhibit 10.46</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REDACTED</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Certain identified information, indicated by [*****], has been excluded from the exhibit because it is both (i) not material and (ii) would likely</w:t>
      </w:r>
    </w:p>
    <w:p>
      <w:pPr>
        <w:spacing w:after="0" w:line="32"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cause competitive harm if publicly disclosed.</w:t>
      </w:r>
    </w:p>
    <w:p>
      <w:pPr>
        <w:spacing w:after="0" w:line="20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SECOND AMENDMENT TO</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COLLABORATION</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AND LICENSE</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Dated 19 December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GENMAB B.V.</w:t>
      </w:r>
    </w:p>
    <w:p>
      <w:pPr>
        <w:spacing w:after="0" w:line="200" w:lineRule="exact"/>
        <w:rPr>
          <w:sz w:val="20"/>
          <w:szCs w:val="20"/>
          <w:color w:val="auto"/>
        </w:rPr>
      </w:pPr>
    </w:p>
    <w:p>
      <w:pPr>
        <w:spacing w:after="0" w:line="241"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AND</w:t>
      </w:r>
    </w:p>
    <w:p>
      <w:pPr>
        <w:spacing w:after="0" w:line="200" w:lineRule="exact"/>
        <w:rPr>
          <w:sz w:val="20"/>
          <w:szCs w:val="20"/>
          <w:color w:val="auto"/>
        </w:rPr>
      </w:pPr>
    </w:p>
    <w:p>
      <w:pPr>
        <w:spacing w:after="0" w:line="241"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CUREVAC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445770</wp:posOffset>
            </wp:positionV>
            <wp:extent cx="7132320"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500" w:top="337" w:right="339" w:bottom="1440" w:gutter="0" w:footer="0" w:header="0"/>
        </w:sectPr>
      </w:pPr>
    </w:p>
    <w:bookmarkStart w:id="459" w:name="page460"/>
    <w:bookmarkEnd w:id="459"/>
    <w:p>
      <w:pPr>
        <w:jc w:val="center"/>
        <w:spacing w:after="0"/>
        <w:rPr>
          <w:sz w:val="20"/>
          <w:szCs w:val="20"/>
          <w:color w:val="auto"/>
        </w:rPr>
      </w:pPr>
      <w:r>
        <w:rPr>
          <w:rFonts w:ascii="Arial" w:cs="Arial" w:eastAsia="Arial" w:hAnsi="Arial"/>
          <w:sz w:val="18"/>
          <w:szCs w:val="18"/>
          <w:b w:val="1"/>
          <w:bCs w:val="1"/>
          <w:color w:val="auto"/>
        </w:rPr>
        <w:t>SECOND AMENDMENT TO COLLABORATION AND LICENSE AGREEMENT</w:t>
      </w:r>
    </w:p>
    <w:p>
      <w:pPr>
        <w:spacing w:after="0" w:line="229" w:lineRule="exact"/>
        <w:rPr>
          <w:sz w:val="20"/>
          <w:szCs w:val="20"/>
          <w:color w:val="auto"/>
        </w:rPr>
      </w:pPr>
    </w:p>
    <w:p>
      <w:pPr>
        <w:ind w:left="20" w:right="20"/>
        <w:spacing w:after="0" w:line="277" w:lineRule="auto"/>
        <w:rPr>
          <w:sz w:val="20"/>
          <w:szCs w:val="20"/>
          <w:color w:val="auto"/>
        </w:rPr>
      </w:pPr>
      <w:r>
        <w:rPr>
          <w:rFonts w:ascii="Arial" w:cs="Arial" w:eastAsia="Arial" w:hAnsi="Arial"/>
          <w:sz w:val="18"/>
          <w:szCs w:val="18"/>
          <w:color w:val="auto"/>
        </w:rPr>
        <w:t xml:space="preserve">This SECOND AMENDMENT TO COLLABORATION AND LICENSE AGREEMENT (“ </w:t>
      </w:r>
      <w:r>
        <w:rPr>
          <w:rFonts w:ascii="Arial" w:cs="Arial" w:eastAsia="Arial" w:hAnsi="Arial"/>
          <w:sz w:val="18"/>
          <w:szCs w:val="18"/>
          <w:u w:val="single" w:color="auto"/>
          <w:color w:val="auto"/>
        </w:rPr>
        <w:t>Second Amendment</w:t>
      </w:r>
      <w:r>
        <w:rPr>
          <w:rFonts w:ascii="Arial" w:cs="Arial" w:eastAsia="Arial" w:hAnsi="Arial"/>
          <w:sz w:val="18"/>
          <w:szCs w:val="18"/>
          <w:color w:val="auto"/>
        </w:rPr>
        <w:t>”) is made the 15thnd day of December 2020 (“</w:t>
      </w:r>
      <w:r>
        <w:rPr>
          <w:rFonts w:ascii="Arial" w:cs="Arial" w:eastAsia="Arial" w:hAnsi="Arial"/>
          <w:sz w:val="18"/>
          <w:szCs w:val="18"/>
          <w:u w:val="single" w:color="auto"/>
          <w:color w:val="auto"/>
        </w:rPr>
        <w:t>Second Amendment Effective Date</w:t>
      </w:r>
      <w:r>
        <w:rPr>
          <w:rFonts w:ascii="Arial" w:cs="Arial" w:eastAsia="Arial" w:hAnsi="Arial"/>
          <w:sz w:val="18"/>
          <w:szCs w:val="18"/>
          <w:color w:val="auto"/>
        </w:rPr>
        <w:t>”), by and between:</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Genmab B.V.</w:t>
      </w:r>
      <w:r>
        <w:rPr>
          <w:rFonts w:ascii="Arial" w:cs="Arial" w:eastAsia="Arial" w:hAnsi="Arial"/>
          <w:sz w:val="16"/>
          <w:szCs w:val="16"/>
          <w:color w:val="auto"/>
        </w:rPr>
        <w:t>, KvK no. 3016 9902, a Dutch corporation having its principal office at Uppsalalaan 15, 3584 CM Utrecht, the Netherlands (“</w:t>
      </w:r>
      <w:r>
        <w:rPr>
          <w:rFonts w:ascii="Arial" w:cs="Arial" w:eastAsia="Arial" w:hAnsi="Arial"/>
          <w:sz w:val="16"/>
          <w:szCs w:val="16"/>
          <w:u w:val="single" w:color="auto"/>
          <w:color w:val="auto"/>
        </w:rPr>
        <w:t>Genmab</w:t>
      </w:r>
      <w:r>
        <w:rPr>
          <w:rFonts w:ascii="Arial" w:cs="Arial" w:eastAsia="Arial" w:hAnsi="Arial"/>
          <w:sz w:val="16"/>
          <w:szCs w:val="16"/>
          <w:color w:val="auto"/>
        </w:rPr>
        <w:t>”); and</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CureVac AG</w:t>
      </w:r>
      <w:r>
        <w:rPr>
          <w:rFonts w:ascii="Arial" w:cs="Arial" w:eastAsia="Arial" w:hAnsi="Arial"/>
          <w:sz w:val="18"/>
          <w:szCs w:val="18"/>
          <w:color w:val="auto"/>
        </w:rPr>
        <w:t>, a German corporation having its principal office at Friedrich-Miescher-Strasse 15, 72076 Tübingen, Germany (“</w:t>
      </w:r>
      <w:r>
        <w:rPr>
          <w:rFonts w:ascii="Arial" w:cs="Arial" w:eastAsia="Arial" w:hAnsi="Arial"/>
          <w:sz w:val="18"/>
          <w:szCs w:val="18"/>
          <w:u w:val="single" w:color="auto"/>
          <w:color w:val="auto"/>
        </w:rPr>
        <w:t>CureVac</w:t>
      </w:r>
      <w:r>
        <w:rPr>
          <w:rFonts w:ascii="Arial" w:cs="Arial" w:eastAsia="Arial" w:hAnsi="Arial"/>
          <w:sz w:val="18"/>
          <w:szCs w:val="18"/>
          <w:color w:val="auto"/>
        </w:rPr>
        <w:t>”).</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(Genmab and CureVac are sometimes hereinafter referred to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 or individually as a "</w:t>
      </w:r>
      <w:r>
        <w:rPr>
          <w:rFonts w:ascii="Arial" w:cs="Arial" w:eastAsia="Arial" w:hAnsi="Arial"/>
          <w:sz w:val="18"/>
          <w:szCs w:val="18"/>
          <w:u w:val="single" w:color="auto"/>
          <w:color w:val="auto"/>
        </w:rPr>
        <w:t>Party</w:t>
      </w:r>
      <w:r>
        <w:rPr>
          <w:rFonts w:ascii="Arial" w:cs="Arial" w:eastAsia="Arial" w:hAnsi="Arial"/>
          <w:sz w:val="18"/>
          <w:szCs w:val="18"/>
          <w:color w:val="auto"/>
        </w:rPr>
        <w:t>")</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520" w:hanging="512"/>
        <w:spacing w:after="0"/>
        <w:tabs>
          <w:tab w:leader="none" w:pos="52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Genmab and CureVac entered into a Collaboration and License Agreement dated 19 December 2019 (the “</w:t>
      </w:r>
      <w:r>
        <w:rPr>
          <w:rFonts w:ascii="Arial" w:cs="Arial" w:eastAsia="Arial" w:hAnsi="Arial"/>
          <w:sz w:val="18"/>
          <w:szCs w:val="18"/>
          <w:u w:val="single" w:color="auto"/>
          <w:color w:val="auto"/>
        </w:rPr>
        <w:t>Agreement</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Under the Agreement the Parties committed to negotiate and enter into a clinical supply agreement within [*****] after the Effective Date of the Agreement.</w:t>
      </w:r>
    </w:p>
    <w:p>
      <w:pPr>
        <w:spacing w:after="0" w:line="170" w:lineRule="exact"/>
        <w:rPr>
          <w:rFonts w:ascii="Arial" w:cs="Arial" w:eastAsia="Arial" w:hAnsi="Arial"/>
          <w:sz w:val="18"/>
          <w:szCs w:val="18"/>
          <w:color w:val="auto"/>
        </w:rPr>
      </w:pPr>
    </w:p>
    <w:p>
      <w:pPr>
        <w:jc w:val="both"/>
        <w:ind w:left="520" w:hanging="512"/>
        <w:spacing w:after="0" w:line="263" w:lineRule="auto"/>
        <w:tabs>
          <w:tab w:leader="none" w:pos="52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 xml:space="preserve">Genmab and CureVac then entered into a First Amendment to Collaboration and License Agreement dated 19 December 2019 (the “First </w:t>
      </w:r>
      <w:r>
        <w:rPr>
          <w:rFonts w:ascii="Arial" w:cs="Arial" w:eastAsia="Arial" w:hAnsi="Arial"/>
          <w:sz w:val="18"/>
          <w:szCs w:val="18"/>
          <w:u w:val="single" w:color="auto"/>
          <w:color w:val="auto"/>
        </w:rPr>
        <w:t>Amendment</w:t>
      </w:r>
      <w:r>
        <w:rPr>
          <w:rFonts w:ascii="Arial" w:cs="Arial" w:eastAsia="Arial" w:hAnsi="Arial"/>
          <w:sz w:val="18"/>
          <w:szCs w:val="18"/>
          <w:color w:val="auto"/>
        </w:rPr>
        <w:t>”) to extend the deadline to negotiate and enter into a clinical supply agreement within [*****] after the Effective Date of the Agreement</w:t>
      </w:r>
    </w:p>
    <w:p>
      <w:pPr>
        <w:spacing w:after="0" w:line="183" w:lineRule="exact"/>
        <w:rPr>
          <w:rFonts w:ascii="Arial" w:cs="Arial" w:eastAsia="Arial" w:hAnsi="Arial"/>
          <w:sz w:val="18"/>
          <w:szCs w:val="18"/>
          <w:color w:val="auto"/>
        </w:rPr>
      </w:pPr>
    </w:p>
    <w:p>
      <w:pPr>
        <w:ind w:left="520" w:hanging="512"/>
        <w:spacing w:after="0"/>
        <w:tabs>
          <w:tab w:leader="none" w:pos="52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Genmab and CureVac would like to again extend the term for entering into such clinical supply agreement.</w:t>
      </w:r>
    </w:p>
    <w:p>
      <w:pPr>
        <w:spacing w:after="0" w:line="225" w:lineRule="exact"/>
        <w:rPr>
          <w:sz w:val="20"/>
          <w:szCs w:val="20"/>
          <w:color w:val="auto"/>
        </w:rPr>
      </w:pPr>
    </w:p>
    <w:p>
      <w:pPr>
        <w:ind w:left="20"/>
        <w:spacing w:after="0" w:line="308" w:lineRule="auto"/>
        <w:rPr>
          <w:sz w:val="20"/>
          <w:szCs w:val="20"/>
          <w:color w:val="auto"/>
        </w:rPr>
      </w:pPr>
      <w:r>
        <w:rPr>
          <w:rFonts w:ascii="Arial" w:cs="Arial" w:eastAsia="Arial" w:hAnsi="Arial"/>
          <w:sz w:val="17"/>
          <w:szCs w:val="17"/>
          <w:color w:val="auto"/>
        </w:rPr>
        <w:t>NOW, THEREFORE, in consideration of the premises and the mutual covenants and agreements herein contained, and for good and valuable consideration the receipt and sufficiency of which are hereby acknowledged, the Parties, intending to be legally bound, hereby agree to the following:</w:t>
      </w:r>
    </w:p>
    <w:p>
      <w:pPr>
        <w:spacing w:after="0" w:line="146" w:lineRule="exact"/>
        <w:rPr>
          <w:sz w:val="20"/>
          <w:szCs w:val="20"/>
          <w:color w:val="auto"/>
        </w:rPr>
      </w:pPr>
    </w:p>
    <w:p>
      <w:pPr>
        <w:ind w:left="640" w:hanging="632"/>
        <w:spacing w:after="0"/>
        <w:tabs>
          <w:tab w:leader="none" w:pos="640" w:val="left"/>
        </w:tabs>
        <w:numPr>
          <w:ilvl w:val="0"/>
          <w:numId w:val="311"/>
        </w:numPr>
        <w:rPr>
          <w:rFonts w:ascii="Arial" w:cs="Arial" w:eastAsia="Arial" w:hAnsi="Arial"/>
          <w:sz w:val="17"/>
          <w:szCs w:val="17"/>
          <w:b w:val="1"/>
          <w:bCs w:val="1"/>
          <w:color w:val="auto"/>
        </w:rPr>
      </w:pPr>
      <w:r>
        <w:rPr>
          <w:rFonts w:ascii="Arial" w:cs="Arial" w:eastAsia="Arial" w:hAnsi="Arial"/>
          <w:sz w:val="17"/>
          <w:szCs w:val="17"/>
          <w:color w:val="auto"/>
        </w:rPr>
        <w:t>Except as otherwise defined herein, the words and phrases in the Agreement shall have the same meaning in this Second Amendment.</w:t>
      </w:r>
    </w:p>
    <w:p>
      <w:pPr>
        <w:spacing w:after="0" w:line="236" w:lineRule="exact"/>
        <w:rPr>
          <w:rFonts w:ascii="Arial" w:cs="Arial" w:eastAsia="Arial" w:hAnsi="Arial"/>
          <w:sz w:val="17"/>
          <w:szCs w:val="17"/>
          <w:b w:val="1"/>
          <w:bCs w:val="1"/>
          <w:color w:val="auto"/>
        </w:rPr>
      </w:pPr>
    </w:p>
    <w:p>
      <w:pPr>
        <w:ind w:left="640" w:hanging="632"/>
        <w:spacing w:after="0"/>
        <w:tabs>
          <w:tab w:leader="none" w:pos="640" w:val="left"/>
        </w:tabs>
        <w:numPr>
          <w:ilvl w:val="0"/>
          <w:numId w:val="311"/>
        </w:numPr>
        <w:rPr>
          <w:rFonts w:ascii="Arial" w:cs="Arial" w:eastAsia="Arial" w:hAnsi="Arial"/>
          <w:sz w:val="18"/>
          <w:szCs w:val="18"/>
          <w:b w:val="1"/>
          <w:bCs w:val="1"/>
          <w:color w:val="auto"/>
        </w:rPr>
      </w:pPr>
      <w:r>
        <w:rPr>
          <w:rFonts w:ascii="Arial" w:cs="Arial" w:eastAsia="Arial" w:hAnsi="Arial"/>
          <w:sz w:val="18"/>
          <w:szCs w:val="18"/>
          <w:color w:val="auto"/>
        </w:rPr>
        <w:t>The first sentence of Section 6.2 of the Agreement is hereby deleted in its entirety and replaced with the following:</w:t>
      </w:r>
    </w:p>
    <w:p>
      <w:pPr>
        <w:spacing w:after="0" w:line="225" w:lineRule="exact"/>
        <w:rPr>
          <w:rFonts w:ascii="Arial" w:cs="Arial" w:eastAsia="Arial" w:hAnsi="Arial"/>
          <w:sz w:val="18"/>
          <w:szCs w:val="18"/>
          <w:b w:val="1"/>
          <w:bCs w:val="1"/>
          <w:color w:val="auto"/>
        </w:rPr>
      </w:pPr>
    </w:p>
    <w:p>
      <w:pPr>
        <w:jc w:val="both"/>
        <w:ind w:left="640" w:firstLine="1"/>
        <w:spacing w:after="0" w:line="257" w:lineRule="auto"/>
        <w:rPr>
          <w:rFonts w:ascii="Arial" w:cs="Arial" w:eastAsia="Arial" w:hAnsi="Arial"/>
          <w:sz w:val="18"/>
          <w:szCs w:val="18"/>
          <w:b w:val="1"/>
          <w:bCs w:val="1"/>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6.2.</w:t>
      </w:r>
      <w:r>
        <w:rPr>
          <w:rFonts w:ascii="Arial" w:cs="Arial" w:eastAsia="Arial" w:hAnsi="Arial"/>
          <w:sz w:val="18"/>
          <w:szCs w:val="18"/>
          <w:i w:val="1"/>
          <w:iCs w:val="1"/>
          <w:color w:val="auto"/>
        </w:rPr>
        <w:t xml:space="preserve"> No later than [*****], the Parties will enter into a clinical supply agreement and related agreements (including a quality agreement) according to which CureVac shall Manufacture or have Manufactured for Genmab by an approved subcontractor under Section 5.11 or by a CMO approved by Genmab, and will supply or have supplied to Genmab, Genmab’s demand for the Single Antibody Product which is the subject of the First Program Research Plan (whether related to the First Collaboration Target or any Replacement Target) to perform Clinical Phase I Studies (</w:t>
      </w:r>
      <w:r>
        <w:rPr>
          <w:rFonts w:ascii="Arial" w:cs="Arial" w:eastAsia="Arial" w:hAnsi="Arial"/>
          <w:sz w:val="18"/>
          <w:szCs w:val="18"/>
          <w:b w:val="1"/>
          <w:bCs w:val="1"/>
          <w:i w:val="1"/>
          <w:iCs w:val="1"/>
          <w:color w:val="auto"/>
        </w:rPr>
        <w:t>“Early Clinical Supply Agreement”</w:t>
      </w:r>
      <w:r>
        <w:rPr>
          <w:rFonts w:ascii="Arial" w:cs="Arial" w:eastAsia="Arial" w:hAnsi="Arial"/>
          <w:sz w:val="18"/>
          <w:szCs w:val="18"/>
          <w:i w:val="1"/>
          <w:iCs w:val="1"/>
          <w:color w:val="auto"/>
        </w:rPr>
        <w:t>). […]”</w:t>
      </w:r>
    </w:p>
    <w:p>
      <w:pPr>
        <w:spacing w:after="0" w:line="187"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For avoidance of doubt, the remainder of Section 6.2 of the Agreement shall remain in effect unchanged.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0" w:name="page461"/>
    <w:bookmarkEnd w:id="460"/>
    <w:p>
      <w:pPr>
        <w:ind w:left="640" w:hanging="632"/>
        <w:spacing w:after="0"/>
        <w:tabs>
          <w:tab w:leader="none" w:pos="640" w:val="left"/>
        </w:tabs>
        <w:numPr>
          <w:ilvl w:val="0"/>
          <w:numId w:val="312"/>
        </w:numPr>
        <w:rPr>
          <w:rFonts w:ascii="Arial" w:cs="Arial" w:eastAsia="Arial" w:hAnsi="Arial"/>
          <w:sz w:val="18"/>
          <w:szCs w:val="18"/>
          <w:b w:val="1"/>
          <w:bCs w:val="1"/>
          <w:color w:val="auto"/>
        </w:rPr>
      </w:pPr>
      <w:r>
        <w:rPr>
          <w:rFonts w:ascii="Arial" w:cs="Arial" w:eastAsia="Arial" w:hAnsi="Arial"/>
          <w:sz w:val="18"/>
          <w:szCs w:val="18"/>
          <w:color w:val="auto"/>
        </w:rPr>
        <w:t>This Second Amendment shall be subject to the same governing law as set forth in Section 17.4 of the Agreement.</w:t>
      </w:r>
    </w:p>
    <w:p>
      <w:pPr>
        <w:spacing w:after="0" w:line="225" w:lineRule="exact"/>
        <w:rPr>
          <w:rFonts w:ascii="Arial" w:cs="Arial" w:eastAsia="Arial" w:hAnsi="Arial"/>
          <w:sz w:val="18"/>
          <w:szCs w:val="18"/>
          <w:b w:val="1"/>
          <w:bCs w:val="1"/>
          <w:color w:val="auto"/>
        </w:rPr>
      </w:pPr>
    </w:p>
    <w:p>
      <w:pPr>
        <w:ind w:left="640" w:hanging="632"/>
        <w:spacing w:after="0"/>
        <w:tabs>
          <w:tab w:leader="none" w:pos="640" w:val="left"/>
        </w:tabs>
        <w:numPr>
          <w:ilvl w:val="0"/>
          <w:numId w:val="312"/>
        </w:numPr>
        <w:rPr>
          <w:rFonts w:ascii="Arial" w:cs="Arial" w:eastAsia="Arial" w:hAnsi="Arial"/>
          <w:sz w:val="18"/>
          <w:szCs w:val="18"/>
          <w:b w:val="1"/>
          <w:bCs w:val="1"/>
          <w:color w:val="auto"/>
        </w:rPr>
      </w:pPr>
      <w:r>
        <w:rPr>
          <w:rFonts w:ascii="Arial" w:cs="Arial" w:eastAsia="Arial" w:hAnsi="Arial"/>
          <w:sz w:val="18"/>
          <w:szCs w:val="18"/>
          <w:color w:val="auto"/>
        </w:rPr>
        <w:t>Save as set forth in this Second Amendment, all other terms and conditions of the Agreement shall remain in full force and effect.</w:t>
      </w:r>
    </w:p>
    <w:p>
      <w:pPr>
        <w:spacing w:after="0" w:line="225" w:lineRule="exact"/>
        <w:rPr>
          <w:rFonts w:ascii="Arial" w:cs="Arial" w:eastAsia="Arial" w:hAnsi="Arial"/>
          <w:sz w:val="18"/>
          <w:szCs w:val="18"/>
          <w:b w:val="1"/>
          <w:bCs w:val="1"/>
          <w:color w:val="auto"/>
        </w:rPr>
      </w:pPr>
    </w:p>
    <w:p>
      <w:pPr>
        <w:jc w:val="both"/>
        <w:ind w:left="640" w:hanging="632"/>
        <w:spacing w:after="0" w:line="263" w:lineRule="auto"/>
        <w:tabs>
          <w:tab w:leader="none" w:pos="640" w:val="left"/>
        </w:tabs>
        <w:numPr>
          <w:ilvl w:val="0"/>
          <w:numId w:val="312"/>
        </w:numPr>
        <w:rPr>
          <w:rFonts w:ascii="Arial" w:cs="Arial" w:eastAsia="Arial" w:hAnsi="Arial"/>
          <w:sz w:val="18"/>
          <w:szCs w:val="18"/>
          <w:b w:val="1"/>
          <w:bCs w:val="1"/>
          <w:color w:val="auto"/>
        </w:rPr>
      </w:pPr>
      <w:r>
        <w:rPr>
          <w:rFonts w:ascii="Arial" w:cs="Arial" w:eastAsia="Arial" w:hAnsi="Arial"/>
          <w:sz w:val="18"/>
          <w:szCs w:val="18"/>
          <w:color w:val="auto"/>
        </w:rPr>
        <w:t>The Parties agree that this Second Amendment may be signed using a DocuSign® electronic signature. Such electronic signature is the legally binding equivalent to a Party’s handwritten signature and it has the same validity, enforceability and meaning as a handwritten signature and the Parties hereby waive any objection to the contrary.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20" w:right="320" w:firstLine="648"/>
        <w:spacing w:after="0" w:line="277" w:lineRule="auto"/>
        <w:rPr>
          <w:sz w:val="20"/>
          <w:szCs w:val="20"/>
          <w:color w:val="auto"/>
        </w:rPr>
      </w:pPr>
      <w:r>
        <w:rPr>
          <w:rFonts w:ascii="Arial" w:cs="Arial" w:eastAsia="Arial" w:hAnsi="Arial"/>
          <w:sz w:val="18"/>
          <w:szCs w:val="18"/>
          <w:color w:val="auto"/>
        </w:rPr>
        <w:t>IN WITNESS WHEREOF, the Parties hereto have caused this Second Amendment to be executed and delivered as of the Second Amendment Effective Date.</w:t>
      </w:r>
    </w:p>
    <w:p>
      <w:pPr>
        <w:spacing w:after="0" w:line="166"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b w:val="1"/>
          <w:bCs w:val="1"/>
          <w:color w:val="auto"/>
        </w:rPr>
        <w:t>Genmab B.V.</w:t>
      </w:r>
      <w:r>
        <w:rPr>
          <w:sz w:val="20"/>
          <w:szCs w:val="20"/>
          <w:color w:val="auto"/>
        </w:rPr>
        <w:tab/>
      </w:r>
      <w:r>
        <w:rPr>
          <w:rFonts w:ascii="Arial" w:cs="Arial" w:eastAsia="Arial" w:hAnsi="Arial"/>
          <w:sz w:val="17"/>
          <w:szCs w:val="17"/>
          <w:b w:val="1"/>
          <w:bCs w:val="1"/>
          <w:color w:val="auto"/>
        </w:rPr>
        <w:t>CureVac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Birgitte Stephensen</w:t>
            </w:r>
          </w:p>
        </w:tc>
        <w:tc>
          <w:tcPr>
            <w:tcW w:w="780" w:type="dxa"/>
            <w:vAlign w:val="bottom"/>
          </w:tcPr>
          <w:p>
            <w:pPr>
              <w:ind w:left="2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Babka</w:t>
            </w:r>
          </w:p>
        </w:tc>
      </w:tr>
      <w:tr>
        <w:trPr>
          <w:trHeight w:val="642"/>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Birgitte Stephensen</w:t>
            </w:r>
          </w:p>
        </w:tc>
        <w:tc>
          <w:tcPr>
            <w:tcW w:w="780" w:type="dxa"/>
            <w:vAlign w:val="bottom"/>
          </w:tcPr>
          <w:p>
            <w:pPr>
              <w:ind w:left="220"/>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Daniel Babka</w:t>
            </w:r>
          </w:p>
        </w:tc>
      </w:tr>
      <w:tr>
        <w:trPr>
          <w:trHeight w:val="64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Senior Vice President, IPR &amp; Legal</w:t>
            </w:r>
          </w:p>
        </w:tc>
        <w:tc>
          <w:tcPr>
            <w:tcW w:w="780" w:type="dxa"/>
            <w:vAlign w:val="bottom"/>
          </w:tcPr>
          <w:p>
            <w:pPr>
              <w:ind w:left="220"/>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Senior Legal Counsel</w:t>
            </w:r>
          </w:p>
        </w:tc>
      </w:tr>
      <w:tr>
        <w:trPr>
          <w:trHeight w:val="641"/>
        </w:trPr>
        <w:tc>
          <w:tcPr>
            <w:tcW w:w="5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780" w:type="dxa"/>
            <w:vAlign w:val="bottom"/>
          </w:tcPr>
          <w:p>
            <w:pPr>
              <w:ind w:left="2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Ulrich Kruse</w:t>
            </w:r>
          </w:p>
        </w:tc>
      </w:tr>
      <w:tr>
        <w:trPr>
          <w:trHeight w:val="642"/>
        </w:trPr>
        <w:tc>
          <w:tcPr>
            <w:tcW w:w="5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780" w:type="dxa"/>
            <w:vAlign w:val="bottom"/>
          </w:tcPr>
          <w:p>
            <w:pPr>
              <w:ind w:left="220"/>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Dr. Ulrich Kruse</w:t>
            </w:r>
          </w:p>
        </w:tc>
      </w:tr>
      <w:tr>
        <w:trPr>
          <w:trHeight w:val="641"/>
        </w:trPr>
        <w:tc>
          <w:tcPr>
            <w:tcW w:w="5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780" w:type="dxa"/>
            <w:vAlign w:val="bottom"/>
          </w:tcPr>
          <w:p>
            <w:pPr>
              <w:ind w:left="220"/>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Senior Director IP Licensing</w:t>
            </w:r>
          </w:p>
        </w:tc>
      </w:tr>
      <w:tr>
        <w:trPr>
          <w:trHeight w:val="642"/>
        </w:trPr>
        <w:tc>
          <w:tcPr>
            <w:tcW w:w="5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w:t>
            </w: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461" w:name="page462"/>
    <w:bookmarkEnd w:id="461"/>
    <w:p>
      <w:pPr>
        <w:jc w:val="right"/>
        <w:spacing w:after="0"/>
        <w:rPr>
          <w:sz w:val="20"/>
          <w:szCs w:val="20"/>
          <w:color w:val="auto"/>
        </w:rPr>
      </w:pPr>
      <w:r>
        <w:rPr>
          <w:rFonts w:ascii="Arial" w:cs="Arial" w:eastAsia="Arial" w:hAnsi="Arial"/>
          <w:sz w:val="18"/>
          <w:szCs w:val="18"/>
          <w:b w:val="1"/>
          <w:bCs w:val="1"/>
          <w:color w:val="auto"/>
        </w:rPr>
        <w:t>Exhibit 10.47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REDACTED</w:t>
      </w:r>
    </w:p>
    <w:p>
      <w:pPr>
        <w:spacing w:after="0" w:line="2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b w:val="1"/>
          <w:bCs w:val="1"/>
          <w:color w:val="auto"/>
        </w:rPr>
        <w:t>Certain identified information, indicated by [*****], has been excluded from the exhibit because it is both (i) not material and (ii) would likely cause competitive harm if publicly disclosed.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Three to Development and Option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Amendment Three to the Development and Option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December 24, 2020 (the "</w:t>
      </w:r>
      <w:r>
        <w:rPr>
          <w:rFonts w:ascii="Arial" w:cs="Arial" w:eastAsia="Arial" w:hAnsi="Arial"/>
          <w:sz w:val="18"/>
          <w:szCs w:val="18"/>
          <w:u w:val="single" w:color="auto"/>
          <w:color w:val="auto"/>
        </w:rPr>
        <w:t>Amendment Three</w:t>
      </w:r>
      <w:r>
        <w:rPr>
          <w:rFonts w:ascii="Arial" w:cs="Arial" w:eastAsia="Arial" w:hAnsi="Arial"/>
          <w:sz w:val="18"/>
          <w:szCs w:val="18"/>
          <w:color w:val="auto"/>
        </w:rPr>
        <w:t xml:space="preserve"> </w:t>
      </w:r>
      <w:r>
        <w:rPr>
          <w:rFonts w:ascii="Arial" w:cs="Arial" w:eastAsia="Arial" w:hAnsi="Arial"/>
          <w:sz w:val="18"/>
          <w:szCs w:val="18"/>
          <w:u w:val="single" w:color="auto"/>
          <w:color w:val="auto"/>
        </w:rPr>
        <w:t>Effective Date</w:t>
      </w:r>
      <w:r>
        <w:rPr>
          <w:rFonts w:ascii="Arial" w:cs="Arial" w:eastAsia="Arial" w:hAnsi="Arial"/>
          <w:sz w:val="18"/>
          <w:szCs w:val="18"/>
          <w:color w:val="auto"/>
        </w:rPr>
        <w:t>"), is made by and between CureVac AG, a German stock corporation with offices at Friedrich-Miescher-Strasse 15, 72076 Tübingen, Germany ("</w:t>
      </w:r>
      <w:r>
        <w:rPr>
          <w:rFonts w:ascii="Arial" w:cs="Arial" w:eastAsia="Arial" w:hAnsi="Arial"/>
          <w:sz w:val="18"/>
          <w:szCs w:val="18"/>
          <w:u w:val="single" w:color="auto"/>
          <w:color w:val="auto"/>
        </w:rPr>
        <w:t>CureVac</w:t>
      </w:r>
      <w:r>
        <w:rPr>
          <w:rFonts w:ascii="Arial" w:cs="Arial" w:eastAsia="Arial" w:hAnsi="Arial"/>
          <w:sz w:val="18"/>
          <w:szCs w:val="18"/>
          <w:color w:val="auto"/>
        </w:rPr>
        <w:t>"), and Acuitas Therapeutics Inc., a British Columbia corporation with offices at 6190 Agronomy Road, Suite 405, Vancouver, British Columbia, V6T 1Z3, Canada ("</w:t>
      </w:r>
      <w:r>
        <w:rPr>
          <w:rFonts w:ascii="Arial" w:cs="Arial" w:eastAsia="Arial" w:hAnsi="Arial"/>
          <w:sz w:val="18"/>
          <w:szCs w:val="18"/>
          <w:u w:val="single" w:color="auto"/>
          <w:color w:val="auto"/>
        </w:rPr>
        <w:t>Acuitas</w:t>
      </w:r>
      <w:r>
        <w:rPr>
          <w:rFonts w:ascii="Arial" w:cs="Arial" w:eastAsia="Arial" w:hAnsi="Arial"/>
          <w:sz w:val="18"/>
          <w:szCs w:val="18"/>
          <w:color w:val="auto"/>
        </w:rPr>
        <w:t>") and amends the Development and Option Agreement dated April 29, 2016 (as amended by Side Agreement and Amendment Number One dated December 1, 2016 and Amendment Two to the Development and Option Agreement dated July 10, 2020) between CureVac and Acuitas (as amended, the “</w:t>
      </w:r>
      <w:r>
        <w:rPr>
          <w:rFonts w:ascii="Arial" w:cs="Arial" w:eastAsia="Arial" w:hAnsi="Arial"/>
          <w:sz w:val="18"/>
          <w:szCs w:val="18"/>
          <w:u w:val="single" w:color="auto"/>
          <w:color w:val="auto"/>
        </w:rPr>
        <w:t>Development and Option Agreement</w:t>
      </w:r>
      <w:r>
        <w:rPr>
          <w:rFonts w:ascii="Arial" w:cs="Arial" w:eastAsia="Arial" w:hAnsi="Arial"/>
          <w:sz w:val="18"/>
          <w:szCs w:val="18"/>
          <w:color w:val="auto"/>
        </w:rPr>
        <w:t>”). Each of CureVac and Acuitas may be referred to herein as a "</w:t>
      </w:r>
      <w:r>
        <w:rPr>
          <w:rFonts w:ascii="Arial" w:cs="Arial" w:eastAsia="Arial" w:hAnsi="Arial"/>
          <w:sz w:val="18"/>
          <w:szCs w:val="18"/>
          <w:u w:val="single" w:color="auto"/>
          <w:color w:val="auto"/>
        </w:rPr>
        <w:t>Party</w:t>
      </w:r>
      <w:r>
        <w:rPr>
          <w:rFonts w:ascii="Arial" w:cs="Arial" w:eastAsia="Arial" w:hAnsi="Arial"/>
          <w:sz w:val="18"/>
          <w:szCs w:val="18"/>
          <w:color w:val="auto"/>
        </w:rPr>
        <w:t>" or together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9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Acuitas and CureVac entered into the Development and Option Agreement relating to the evaluation of and options to license</w:t>
      </w:r>
      <w:r>
        <w:rPr>
          <w:rFonts w:ascii="Arial" w:cs="Arial" w:eastAsia="Arial" w:hAnsi="Arial"/>
          <w:sz w:val="18"/>
          <w:szCs w:val="18"/>
          <w:b w:val="1"/>
          <w:bCs w:val="1"/>
          <w:color w:val="auto"/>
        </w:rPr>
        <w:t xml:space="preserve"> </w:t>
      </w:r>
      <w:r>
        <w:rPr>
          <w:rFonts w:ascii="Arial" w:cs="Arial" w:eastAsia="Arial" w:hAnsi="Arial"/>
          <w:sz w:val="18"/>
          <w:szCs w:val="18"/>
          <w:color w:val="auto"/>
        </w:rPr>
        <w:t>Acuitas LNP Technology for the research, development, manufacture and/or commercialisation of products incorporating Acuitas LNP Technology and CureVac Technology;</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Side Agreement and Amendment Number One dated December 1, 2016 to the Development and Option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Acuitas and CureVac agreed, </w:t>
      </w:r>
      <w:r>
        <w:rPr>
          <w:rFonts w:ascii="Arial" w:cs="Arial" w:eastAsia="Arial" w:hAnsi="Arial"/>
          <w:sz w:val="18"/>
          <w:szCs w:val="18"/>
          <w:i w:val="1"/>
          <w:iCs w:val="1"/>
          <w:color w:val="auto"/>
        </w:rPr>
        <w:t>inter-alia</w:t>
      </w:r>
      <w:r>
        <w:rPr>
          <w:rFonts w:ascii="Arial" w:cs="Arial" w:eastAsia="Arial" w:hAnsi="Arial"/>
          <w:sz w:val="18"/>
          <w:szCs w:val="18"/>
          <w:color w:val="auto"/>
        </w:rPr>
        <w:t>, to include in the Work Plan the evaluation of Acuitas LNP Technology together with CureVac Technology relating to Gene Editing and to discuss and negotiate in good faith the terms and conditions under which the Development and Option Agreement will be amended to encompass Licensed Products useful for Gene Editing purposes;</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Amendment Two to the Development and Option Agreement, Acuitas and CureVac agreed that CureVac will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 to exchange up to [*****] Targets, and any associated [*****] Targets being the subject of Non-exclusive License Agreement(s), with [*****] alternate [*****] Targets and, optionally, any alternate [*****] Targets associated therewith for a period of [*****] from the Amendment Two Effective Date.</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CureVac and Acuitas now wish to amend the Development and Option Agreement to include therein the terms and conditions for</w:t>
      </w:r>
      <w:r>
        <w:rPr>
          <w:rFonts w:ascii="Arial" w:cs="Arial" w:eastAsia="Arial" w:hAnsi="Arial"/>
          <w:sz w:val="18"/>
          <w:szCs w:val="18"/>
          <w:b w:val="1"/>
          <w:bCs w:val="1"/>
          <w:color w:val="auto"/>
        </w:rPr>
        <w:t xml:space="preserve"> </w:t>
      </w:r>
      <w:r>
        <w:rPr>
          <w:rFonts w:ascii="Arial" w:cs="Arial" w:eastAsia="Arial" w:hAnsi="Arial"/>
          <w:sz w:val="18"/>
          <w:szCs w:val="18"/>
          <w:color w:val="auto"/>
        </w:rPr>
        <w:t>Extension Term Options (as defined below);</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and representations contained herein, and for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amount and sufficiency of which are hereby acknowledged, the Parties hereby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One</w:t>
      </w:r>
      <w:r>
        <w:rPr>
          <w:rFonts w:ascii="Arial" w:cs="Arial" w:eastAsia="Arial" w:hAnsi="Arial"/>
          <w:sz w:val="18"/>
          <w:szCs w:val="18"/>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Defined Terms and Amendment of Article 1 of the Development and Option Agreement.</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Capitalized terms not defined herein have the definitions set forth in the Development and Option Agreement.</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The following new definitions are hereby added to Article 1 of the Development and Option Agreement:</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1.12a</w:t>
      </w:r>
      <w:r>
        <w:rPr>
          <w:rFonts w:ascii="Arial" w:cs="Arial" w:eastAsia="Arial" w:hAnsi="Arial"/>
          <w:sz w:val="18"/>
          <w:szCs w:val="18"/>
          <w:color w:val="auto"/>
        </w:rPr>
        <w:t xml:space="preserve"> “</w:t>
      </w:r>
      <w:r>
        <w:rPr>
          <w:rFonts w:ascii="Arial" w:cs="Arial" w:eastAsia="Arial" w:hAnsi="Arial"/>
          <w:sz w:val="18"/>
          <w:szCs w:val="18"/>
          <w:u w:val="single" w:color="auto"/>
          <w:color w:val="auto"/>
        </w:rPr>
        <w:t>Base Term</w:t>
      </w:r>
      <w:r>
        <w:rPr>
          <w:rFonts w:ascii="Arial" w:cs="Arial" w:eastAsia="Arial" w:hAnsi="Arial"/>
          <w:sz w:val="18"/>
          <w:szCs w:val="18"/>
          <w:color w:val="auto"/>
        </w:rPr>
        <w:t>” means the period starting on April 29, 2016 and ending on April 29, 2021.”</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1.12b</w:t>
      </w:r>
      <w:r>
        <w:rPr>
          <w:rFonts w:ascii="Arial" w:cs="Arial" w:eastAsia="Arial" w:hAnsi="Arial"/>
          <w:sz w:val="18"/>
          <w:szCs w:val="18"/>
          <w:color w:val="auto"/>
        </w:rPr>
        <w:t xml:space="preserve"> “</w:t>
      </w:r>
      <w:r>
        <w:rPr>
          <w:rFonts w:ascii="Arial" w:cs="Arial" w:eastAsia="Arial" w:hAnsi="Arial"/>
          <w:sz w:val="18"/>
          <w:szCs w:val="18"/>
          <w:u w:val="single" w:color="auto"/>
          <w:color w:val="auto"/>
        </w:rPr>
        <w:t>Base Term Option</w:t>
      </w:r>
      <w:r>
        <w:rPr>
          <w:rFonts w:ascii="Arial" w:cs="Arial" w:eastAsia="Arial" w:hAnsi="Arial"/>
          <w:sz w:val="18"/>
          <w:szCs w:val="18"/>
          <w:color w:val="auto"/>
        </w:rPr>
        <w:t>” has the meaning set forth in Section 5.1.”</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1.32a</w:t>
      </w:r>
      <w:r>
        <w:rPr>
          <w:rFonts w:ascii="Arial" w:cs="Arial" w:eastAsia="Arial" w:hAnsi="Arial"/>
          <w:sz w:val="18"/>
          <w:szCs w:val="18"/>
          <w:color w:val="auto"/>
        </w:rPr>
        <w:t xml:space="preserve"> “</w:t>
      </w:r>
      <w:r>
        <w:rPr>
          <w:rFonts w:ascii="Arial" w:cs="Arial" w:eastAsia="Arial" w:hAnsi="Arial"/>
          <w:sz w:val="18"/>
          <w:szCs w:val="18"/>
          <w:u w:val="single" w:color="auto"/>
          <w:color w:val="auto"/>
        </w:rPr>
        <w:t>Extension Term</w:t>
      </w:r>
      <w:r>
        <w:rPr>
          <w:rFonts w:ascii="Arial" w:cs="Arial" w:eastAsia="Arial" w:hAnsi="Arial"/>
          <w:sz w:val="18"/>
          <w:szCs w:val="18"/>
          <w:color w:val="auto"/>
        </w:rPr>
        <w:t>” means the period starting on April 29, 2021 and ending on April 29, 2025.”</w:t>
      </w:r>
    </w:p>
    <w:p>
      <w:pPr>
        <w:spacing w:after="0" w:line="200" w:lineRule="exact"/>
        <w:rPr>
          <w:sz w:val="20"/>
          <w:szCs w:val="20"/>
          <w:color w:val="auto"/>
        </w:rPr>
      </w:pPr>
    </w:p>
    <w:p>
      <w:pPr>
        <w:spacing w:after="0" w:line="27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2" w:name="page463"/>
    <w:bookmarkEnd w:id="462"/>
    <w:p>
      <w:pPr>
        <w:jc w:val="both"/>
        <w:ind w:left="6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1.32b</w:t>
      </w:r>
      <w:r>
        <w:rPr>
          <w:rFonts w:ascii="Arial" w:cs="Arial" w:eastAsia="Arial" w:hAnsi="Arial"/>
          <w:sz w:val="18"/>
          <w:szCs w:val="18"/>
          <w:color w:val="auto"/>
        </w:rPr>
        <w:t xml:space="preserve"> “</w:t>
      </w:r>
      <w:r>
        <w:rPr>
          <w:rFonts w:ascii="Arial" w:cs="Arial" w:eastAsia="Arial" w:hAnsi="Arial"/>
          <w:sz w:val="18"/>
          <w:szCs w:val="18"/>
          <w:u w:val="single" w:color="auto"/>
          <w:color w:val="auto"/>
        </w:rPr>
        <w:t>Extension Term License Agreement</w:t>
      </w:r>
      <w:r>
        <w:rPr>
          <w:rFonts w:ascii="Arial" w:cs="Arial" w:eastAsia="Arial" w:hAnsi="Arial"/>
          <w:sz w:val="18"/>
          <w:szCs w:val="18"/>
          <w:color w:val="auto"/>
        </w:rPr>
        <w:t>” means each Non-exclusive License Agreement entered into by the Parties upon exercise by CureVac of an Extension Term Option as set forth in Section 5.1.”</w:t>
      </w:r>
    </w:p>
    <w:p>
      <w:pPr>
        <w:spacing w:after="0" w:line="1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1.32c</w:t>
      </w:r>
      <w:r>
        <w:rPr>
          <w:rFonts w:ascii="Arial" w:cs="Arial" w:eastAsia="Arial" w:hAnsi="Arial"/>
          <w:sz w:val="18"/>
          <w:szCs w:val="18"/>
          <w:color w:val="auto"/>
        </w:rPr>
        <w:t xml:space="preserve"> “</w:t>
      </w:r>
      <w:r>
        <w:rPr>
          <w:rFonts w:ascii="Arial" w:cs="Arial" w:eastAsia="Arial" w:hAnsi="Arial"/>
          <w:sz w:val="18"/>
          <w:szCs w:val="18"/>
          <w:u w:val="single" w:color="auto"/>
          <w:color w:val="auto"/>
        </w:rPr>
        <w:t>Extension Term Option</w:t>
      </w:r>
      <w:r>
        <w:rPr>
          <w:rFonts w:ascii="Arial" w:cs="Arial" w:eastAsia="Arial" w:hAnsi="Arial"/>
          <w:sz w:val="18"/>
          <w:szCs w:val="18"/>
          <w:color w:val="auto"/>
        </w:rPr>
        <w:t>” has the meaning set forth in Sections 5.1.”</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1.32d</w:t>
      </w:r>
      <w:r>
        <w:rPr>
          <w:rFonts w:ascii="Arial" w:cs="Arial" w:eastAsia="Arial" w:hAnsi="Arial"/>
          <w:sz w:val="18"/>
          <w:szCs w:val="18"/>
          <w:color w:val="auto"/>
        </w:rPr>
        <w:t xml:space="preserve"> “</w:t>
      </w:r>
      <w:r>
        <w:rPr>
          <w:rFonts w:ascii="Arial" w:cs="Arial" w:eastAsia="Arial" w:hAnsi="Arial"/>
          <w:sz w:val="18"/>
          <w:szCs w:val="18"/>
          <w:u w:val="single" w:color="auto"/>
          <w:color w:val="auto"/>
        </w:rPr>
        <w:t>Extension Term Start Date</w:t>
      </w:r>
      <w:r>
        <w:rPr>
          <w:rFonts w:ascii="Arial" w:cs="Arial" w:eastAsia="Arial" w:hAnsi="Arial"/>
          <w:sz w:val="18"/>
          <w:szCs w:val="18"/>
          <w:color w:val="auto"/>
        </w:rPr>
        <w:t>” means April 29, 2021.”</w:t>
      </w:r>
    </w:p>
    <w:p>
      <w:pPr>
        <w:spacing w:after="0" w:line="229"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Each of the following definitions of the Development and Option Agreement are hereby replaced in their entirety with the respective following amended definition:</w:t>
      </w:r>
    </w:p>
    <w:p>
      <w:pPr>
        <w:spacing w:after="0" w:line="166"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1.34</w:t>
      </w:r>
      <w:r>
        <w:rPr>
          <w:rFonts w:ascii="Arial" w:cs="Arial" w:eastAsia="Arial" w:hAnsi="Arial"/>
          <w:sz w:val="18"/>
          <w:szCs w:val="18"/>
          <w:color w:val="auto"/>
        </w:rPr>
        <w:t xml:space="preserve"> "</w:t>
      </w:r>
      <w:r>
        <w:rPr>
          <w:rFonts w:ascii="Arial" w:cs="Arial" w:eastAsia="Arial" w:hAnsi="Arial"/>
          <w:sz w:val="18"/>
          <w:szCs w:val="18"/>
          <w:u w:val="single" w:color="auto"/>
          <w:color w:val="auto"/>
        </w:rPr>
        <w:t>FTE Costs</w:t>
      </w:r>
      <w:r>
        <w:rPr>
          <w:rFonts w:ascii="Arial" w:cs="Arial" w:eastAsia="Arial" w:hAnsi="Arial"/>
          <w:sz w:val="18"/>
          <w:szCs w:val="18"/>
          <w:color w:val="auto"/>
        </w:rPr>
        <w:t>" mean the actual FTEs employed by Acuitas in the conduct of the Works and Services multiplied by an annual rate per FTE equal to [*****] (U.S. $[*****]) for the Base Term and [*****] (U.S. $[*****]) for the Extension Term. Such FTE Costs represent reimbursement for all costs of providing the Works and Services (including salaries, benefits, lab supplies, reagents, equipment and overhead, as well as other G&amp;A costs).”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1.56</w:t>
      </w:r>
      <w:r>
        <w:rPr>
          <w:rFonts w:ascii="Arial" w:cs="Arial" w:eastAsia="Arial" w:hAnsi="Arial"/>
          <w:sz w:val="18"/>
          <w:szCs w:val="18"/>
          <w:color w:val="auto"/>
        </w:rPr>
        <w:t xml:space="preserve"> “</w:t>
      </w:r>
      <w:r>
        <w:rPr>
          <w:rFonts w:ascii="Arial" w:cs="Arial" w:eastAsia="Arial" w:hAnsi="Arial"/>
          <w:sz w:val="18"/>
          <w:szCs w:val="18"/>
          <w:u w:val="single" w:color="auto"/>
          <w:color w:val="auto"/>
        </w:rPr>
        <w:t>Option</w:t>
      </w:r>
      <w:r>
        <w:rPr>
          <w:rFonts w:ascii="Arial" w:cs="Arial" w:eastAsia="Arial" w:hAnsi="Arial"/>
          <w:sz w:val="18"/>
          <w:szCs w:val="18"/>
          <w:color w:val="auto"/>
        </w:rPr>
        <w:t>” means each Base Term Option or each Extension Term Option, as the case may be.”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1.57</w:t>
      </w:r>
      <w:r>
        <w:rPr>
          <w:rFonts w:ascii="Arial" w:cs="Arial" w:eastAsia="Arial" w:hAnsi="Arial"/>
          <w:sz w:val="18"/>
          <w:szCs w:val="18"/>
          <w:color w:val="auto"/>
        </w:rPr>
        <w:t xml:space="preserve"> “</w:t>
      </w:r>
      <w:r>
        <w:rPr>
          <w:rFonts w:ascii="Arial" w:cs="Arial" w:eastAsia="Arial" w:hAnsi="Arial"/>
          <w:sz w:val="18"/>
          <w:szCs w:val="18"/>
          <w:u w:val="single" w:color="auto"/>
          <w:color w:val="auto"/>
        </w:rPr>
        <w:t>Option Exercise Fee</w:t>
      </w:r>
      <w:r>
        <w:rPr>
          <w:rFonts w:ascii="Arial" w:cs="Arial" w:eastAsia="Arial" w:hAnsi="Arial"/>
          <w:sz w:val="18"/>
          <w:szCs w:val="18"/>
          <w:color w:val="auto"/>
        </w:rPr>
        <w:t>”,</w:t>
      </w:r>
    </w:p>
    <w:p>
      <w:pPr>
        <w:spacing w:after="0" w:line="229" w:lineRule="exact"/>
        <w:rPr>
          <w:sz w:val="20"/>
          <w:szCs w:val="20"/>
          <w:color w:val="auto"/>
        </w:rPr>
      </w:pPr>
    </w:p>
    <w:p>
      <w:pPr>
        <w:jc w:val="both"/>
        <w:ind w:left="1420" w:hanging="8"/>
        <w:spacing w:after="0" w:line="254" w:lineRule="auto"/>
        <w:tabs>
          <w:tab w:leader="none" w:pos="173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with respect to each Base Term Option, means: (i) with respect to each Non-exclusive License Agreement for which CureVac has exercised a Base Term Option in accordance with Article 5, [*****] (U.S, $[*****]); and (ii) with respect to each Exclusive License Agreement for which CureVac has exercised a Base Term Option to enter into in accordance with Article 5, [*****] (U.S. $[*****]). In addition, in the event that upon a Base Term Option exercise a License Agreement includes more than [*****] Targets, each [*****] Target in excess of [*****] will have an additional Option Exercise Fee under a Non-exclusive License Agreement of [*****] (U.S. $[*****]) [*****] (U.S. $[*****]) [*****] and under an Exclusive License Agreement an additional Option Exercise Fee of [*****] (U.S. $[*****]) [*****] (U.S. $[*****]) [*****]; and</w:t>
      </w:r>
    </w:p>
    <w:p>
      <w:pPr>
        <w:spacing w:after="0" w:line="194" w:lineRule="exact"/>
        <w:rPr>
          <w:rFonts w:ascii="Arial" w:cs="Arial" w:eastAsia="Arial" w:hAnsi="Arial"/>
          <w:sz w:val="18"/>
          <w:szCs w:val="18"/>
          <w:color w:val="auto"/>
        </w:rPr>
      </w:pPr>
    </w:p>
    <w:p>
      <w:pPr>
        <w:jc w:val="both"/>
        <w:ind w:left="1420" w:hanging="8"/>
        <w:spacing w:after="0" w:line="254" w:lineRule="auto"/>
        <w:tabs>
          <w:tab w:leader="none" w:pos="1835" w:val="left"/>
        </w:tabs>
        <w:numPr>
          <w:ilvl w:val="0"/>
          <w:numId w:val="313"/>
        </w:numPr>
        <w:rPr>
          <w:rFonts w:ascii="Arial" w:cs="Arial" w:eastAsia="Arial" w:hAnsi="Arial"/>
          <w:sz w:val="18"/>
          <w:szCs w:val="18"/>
          <w:color w:val="auto"/>
        </w:rPr>
      </w:pPr>
      <w:r>
        <w:rPr>
          <w:rFonts w:ascii="Arial" w:cs="Arial" w:eastAsia="Arial" w:hAnsi="Arial"/>
          <w:sz w:val="18"/>
          <w:szCs w:val="18"/>
          <w:color w:val="auto"/>
        </w:rPr>
        <w:t xml:space="preserve">with respect to each Extension Term Option, for each Non-exclusive License Agreement for which CureVac has exercised an Extension Term Option in accordance with Article 5: (i) [*****] (U.S. $[*****]) for each such exercised Extension Term Option for a Licensed Product that is </w:t>
      </w:r>
      <w:r>
        <w:rPr>
          <w:rFonts w:ascii="Arial" w:cs="Arial" w:eastAsia="Arial" w:hAnsi="Arial"/>
          <w:sz w:val="18"/>
          <w:szCs w:val="18"/>
          <w:b w:val="1"/>
          <w:bCs w:val="1"/>
          <w:color w:val="auto"/>
        </w:rPr>
        <w:t>not</w:t>
      </w:r>
      <w:r>
        <w:rPr>
          <w:rFonts w:ascii="Arial" w:cs="Arial" w:eastAsia="Arial" w:hAnsi="Arial"/>
          <w:sz w:val="18"/>
          <w:szCs w:val="18"/>
          <w:color w:val="auto"/>
        </w:rPr>
        <w:t xml:space="preserve"> a Licensed Vaccine Product; and (ii) [*****] (U.S. $[*****]) for each such exercised Extension Term Option for a for a Licensed Product that </w:t>
      </w:r>
      <w:r>
        <w:rPr>
          <w:rFonts w:ascii="Arial" w:cs="Arial" w:eastAsia="Arial" w:hAnsi="Arial"/>
          <w:sz w:val="18"/>
          <w:szCs w:val="18"/>
          <w:b w:val="1"/>
          <w:bCs w:val="1"/>
          <w:color w:val="auto"/>
        </w:rPr>
        <w:t>is</w:t>
      </w:r>
      <w:r>
        <w:rPr>
          <w:rFonts w:ascii="Arial" w:cs="Arial" w:eastAsia="Arial" w:hAnsi="Arial"/>
          <w:sz w:val="18"/>
          <w:szCs w:val="18"/>
          <w:color w:val="auto"/>
        </w:rPr>
        <w:t xml:space="preserve"> a Licensed Vaccine Product. In addition, in the event that upon an Extension Term Option exercise a Non-exclusive License Agreement includes more than [*****] Targets, each [*****] Target in excess of [*****] will have an additional Option Exercise Fee under such a Non-exclusive License Agreement of [*****] (U.S. $[*****]) [*****] (U.S. $[*****]) [*****].”</w:t>
      </w:r>
    </w:p>
    <w:p>
      <w:pPr>
        <w:spacing w:after="0" w:line="200" w:lineRule="exact"/>
        <w:rPr>
          <w:sz w:val="20"/>
          <w:szCs w:val="20"/>
          <w:color w:val="auto"/>
        </w:rPr>
      </w:pPr>
    </w:p>
    <w:p>
      <w:pPr>
        <w:spacing w:after="0" w:line="23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3" w:name="page464"/>
    <w:bookmarkEnd w:id="463"/>
    <w:p>
      <w:pPr>
        <w:jc w:val="center"/>
        <w:spacing w:after="0"/>
        <w:rPr>
          <w:sz w:val="20"/>
          <w:szCs w:val="20"/>
          <w:color w:val="auto"/>
        </w:rPr>
      </w:pPr>
      <w:r>
        <w:rPr>
          <w:rFonts w:ascii="Arial" w:cs="Arial" w:eastAsia="Arial" w:hAnsi="Arial"/>
          <w:sz w:val="18"/>
          <w:szCs w:val="18"/>
          <w:b w:val="1"/>
          <w:bCs w:val="1"/>
          <w:color w:val="auto"/>
        </w:rPr>
        <w:t>Section Two.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of Article 4 of the Development and Option Agreement.</w:t>
      </w:r>
    </w:p>
    <w:p>
      <w:pPr>
        <w:spacing w:after="0" w:line="21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Sections 4.2(d) (ii) and (iii) of the Development and Option Agreement are hereby replaced in their entirety with the respective following amended</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Sections:</w:t>
      </w:r>
    </w:p>
    <w:p>
      <w:pPr>
        <w:spacing w:after="0" w:line="211"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 xml:space="preserve">“(ii) </w:t>
      </w:r>
      <w:r>
        <w:rPr>
          <w:rFonts w:ascii="Arial" w:cs="Arial" w:eastAsia="Arial" w:hAnsi="Arial"/>
          <w:sz w:val="17"/>
          <w:szCs w:val="17"/>
          <w:u w:val="single" w:color="auto"/>
          <w:color w:val="auto"/>
        </w:rPr>
        <w:t>Maximum Number Reserved Targets</w:t>
      </w:r>
      <w:r>
        <w:rPr>
          <w:rFonts w:ascii="Arial" w:cs="Arial" w:eastAsia="Arial" w:hAnsi="Arial"/>
          <w:sz w:val="17"/>
          <w:szCs w:val="17"/>
          <w:color w:val="auto"/>
        </w:rPr>
        <w:t>. CureVac will have the right to select up to [*****] Targets to be subject to Base Term Options at any one time to be placed on the Reserved Target List provided no more than [*****] may be exclusive Reserved Targets. Furthermore, CureVac will have the right during the Extension Term to select up to an additional [*****] Targets to be subject to Extension Term Options at any one time to be placed on the Reserved Target List, but each of such [*****] Targets only as a non-exclusive Reserved Target.”</w:t>
      </w:r>
    </w:p>
    <w:p>
      <w:pPr>
        <w:spacing w:after="0" w:line="171"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 xml:space="preserve">“(iii) </w:t>
      </w:r>
      <w:r>
        <w:rPr>
          <w:rFonts w:ascii="Arial" w:cs="Arial" w:eastAsia="Arial" w:hAnsi="Arial"/>
          <w:sz w:val="17"/>
          <w:szCs w:val="17"/>
          <w:u w:val="single" w:color="auto"/>
          <w:color w:val="auto"/>
        </w:rPr>
        <w:t>Reserved Vaccine Target List</w:t>
      </w:r>
      <w:r>
        <w:rPr>
          <w:rFonts w:ascii="Arial" w:cs="Arial" w:eastAsia="Arial" w:hAnsi="Arial"/>
          <w:sz w:val="17"/>
          <w:szCs w:val="17"/>
          <w:color w:val="auto"/>
        </w:rPr>
        <w:t>. In the case of Targets intended to be used in a Licensed Vaccine Product, CureVac will notify the Escrow Agent of the [*****] Target and the [*****] Targets, if any. The [*****] Target will count as a single Reserved Target, however, [*****] Targets will not be counted against the total number of Reserved Targets available to CureVac, provided, however, that the total number of [*****] Targets on the Reserved Target List: (i) subject to Base Term Options cannot be more than [*****] at any time, of which not more than [*****] and (ii) subject to Extension Term Options cannot be more than [*****] of which up to [*****] can be [*****]. For the avoidance of doubt, if CureVac exercises an Option in respect of a License Agreement that includes [*****] Targets, the number of [*****] Targets on the Reserved Target List reduces respectively by the number of [*****] Targets included in such License Agreement.”</w:t>
      </w:r>
    </w:p>
    <w:p>
      <w:pPr>
        <w:spacing w:after="0" w:line="177"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Section 4.4 of the Development and Option Agreement is hereby replaced in its entirety with the following amended Section:</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b w:val="1"/>
          <w:bCs w:val="1"/>
          <w:u w:val="single" w:color="auto"/>
          <w:color w:val="auto"/>
        </w:rPr>
        <w:t>Fees</w:t>
      </w:r>
      <w:r>
        <w:rPr>
          <w:rFonts w:ascii="Arial" w:cs="Arial" w:eastAsia="Arial" w:hAnsi="Arial"/>
          <w:sz w:val="18"/>
          <w:szCs w:val="18"/>
          <w:b w:val="1"/>
          <w:bCs w:val="1"/>
          <w:color w:val="auto"/>
        </w:rPr>
        <w:t>.</w:t>
      </w:r>
    </w:p>
    <w:p>
      <w:pPr>
        <w:spacing w:after="0" w:line="229" w:lineRule="exact"/>
        <w:rPr>
          <w:sz w:val="20"/>
          <w:szCs w:val="20"/>
          <w:color w:val="auto"/>
        </w:rPr>
      </w:pPr>
    </w:p>
    <w:p>
      <w:pPr>
        <w:ind w:left="640" w:firstLine="657"/>
        <w:spacing w:after="0" w:line="277" w:lineRule="auto"/>
        <w:tabs>
          <w:tab w:leader="none" w:pos="1553" w:val="left"/>
        </w:tabs>
        <w:numPr>
          <w:ilvl w:val="0"/>
          <w:numId w:val="3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Target Reservation and Maintenance Fees. </w:t>
      </w:r>
      <w:r>
        <w:rPr>
          <w:rFonts w:ascii="Arial" w:cs="Arial" w:eastAsia="Arial" w:hAnsi="Arial"/>
          <w:sz w:val="18"/>
          <w:szCs w:val="18"/>
          <w:color w:val="auto"/>
        </w:rPr>
        <w:t>CureVac will pay to Acuitas the fees shown below per Contract Year for each Reserved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Target added to the Reserved Target List pursuant to Section 4.2 as a non-exclusive Target:</w:t>
      </w:r>
    </w:p>
    <w:p>
      <w:pPr>
        <w:spacing w:after="0" w:line="170" w:lineRule="exact"/>
        <w:rPr>
          <w:rFonts w:ascii="Arial" w:cs="Arial" w:eastAsia="Arial" w:hAnsi="Arial"/>
          <w:sz w:val="18"/>
          <w:szCs w:val="18"/>
          <w:b w:val="1"/>
          <w:bCs w:val="1"/>
          <w:color w:val="auto"/>
        </w:rPr>
      </w:pPr>
    </w:p>
    <w:p>
      <w:pPr>
        <w:ind w:left="2540" w:hanging="629"/>
        <w:spacing w:after="0"/>
        <w:tabs>
          <w:tab w:leader="none" w:pos="254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2540" w:hanging="629"/>
        <w:spacing w:after="0"/>
        <w:tabs>
          <w:tab w:leader="none" w:pos="254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2540" w:hanging="629"/>
        <w:spacing w:after="0"/>
        <w:tabs>
          <w:tab w:leader="none" w:pos="254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left="2540" w:hanging="629"/>
        <w:spacing w:after="0"/>
        <w:tabs>
          <w:tab w:leader="none" w:pos="254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left="1300" w:right="460"/>
        <w:spacing w:after="0" w:line="277" w:lineRule="auto"/>
        <w:rPr>
          <w:sz w:val="20"/>
          <w:szCs w:val="20"/>
          <w:color w:val="auto"/>
        </w:rPr>
      </w:pPr>
      <w:r>
        <w:rPr>
          <w:rFonts w:ascii="Arial" w:cs="Arial" w:eastAsia="Arial" w:hAnsi="Arial"/>
          <w:sz w:val="18"/>
          <w:szCs w:val="18"/>
          <w:color w:val="auto"/>
        </w:rPr>
        <w:t>or the fees shown below per Contract Year for each Reserved Target added to the Reserved Target List pursuant to Section 4.2 as an exclusive Target:</w:t>
      </w:r>
    </w:p>
    <w:p>
      <w:pPr>
        <w:spacing w:after="0" w:line="170" w:lineRule="exact"/>
        <w:rPr>
          <w:sz w:val="20"/>
          <w:szCs w:val="20"/>
          <w:color w:val="auto"/>
        </w:rPr>
      </w:pPr>
    </w:p>
    <w:p>
      <w:pPr>
        <w:ind w:left="2540" w:hanging="629"/>
        <w:spacing w:after="0"/>
        <w:tabs>
          <w:tab w:leader="none" w:pos="254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 and</w:t>
      </w:r>
    </w:p>
    <w:p>
      <w:pPr>
        <w:spacing w:after="0" w:line="200" w:lineRule="exact"/>
        <w:rPr>
          <w:sz w:val="20"/>
          <w:szCs w:val="20"/>
          <w:color w:val="auto"/>
        </w:rPr>
      </w:pPr>
    </w:p>
    <w:p>
      <w:pPr>
        <w:spacing w:after="0" w:line="26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4" w:name="page465"/>
    <w:bookmarkEnd w:id="464"/>
    <w:p>
      <w:pPr>
        <w:ind w:left="1900" w:hanging="637"/>
        <w:spacing w:after="0"/>
        <w:tabs>
          <w:tab w:leader="none" w:pos="190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1900" w:hanging="637"/>
        <w:spacing w:after="0"/>
        <w:tabs>
          <w:tab w:leader="none" w:pos="190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In the case of Targets for Vaccines, instead of the fees set forth in (i) to (vii) above, CureVac will pay to Acuitas the fees shown below per Contract Year for each non-exclusively Reserved [*****] Target added to the Reserved Target List pursuant to Section 4.2 together with each associated [*****] Target:</w:t>
      </w:r>
    </w:p>
    <w:p>
      <w:pPr>
        <w:spacing w:after="0" w:line="124" w:lineRule="exact"/>
        <w:rPr>
          <w:sz w:val="20"/>
          <w:szCs w:val="20"/>
          <w:color w:val="auto"/>
        </w:rPr>
      </w:pPr>
    </w:p>
    <w:p>
      <w:pPr>
        <w:ind w:left="1900" w:hanging="637"/>
        <w:spacing w:after="0"/>
        <w:tabs>
          <w:tab w:leader="none" w:pos="190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1900" w:hanging="637"/>
        <w:spacing w:after="0"/>
        <w:tabs>
          <w:tab w:leader="none" w:pos="190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1900" w:hanging="637"/>
        <w:spacing w:after="0"/>
        <w:tabs>
          <w:tab w:leader="none" w:pos="190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00" w:hanging="637"/>
        <w:spacing w:after="0"/>
        <w:tabs>
          <w:tab w:leader="none" w:pos="190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or the fees shown below per Contract Year for each exclusively Reserved [*****] Target added to the Reserved Target List pursuant to Section 4.2 together with each associated [*****] Target:</w:t>
      </w:r>
    </w:p>
    <w:p>
      <w:pPr>
        <w:spacing w:after="0" w:line="170" w:lineRule="exact"/>
        <w:rPr>
          <w:sz w:val="20"/>
          <w:szCs w:val="20"/>
          <w:color w:val="auto"/>
        </w:rPr>
      </w:pPr>
    </w:p>
    <w:p>
      <w:pPr>
        <w:ind w:left="1900" w:hanging="637"/>
        <w:spacing w:after="0"/>
        <w:tabs>
          <w:tab w:leader="none" w:pos="190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1900" w:hanging="637"/>
        <w:spacing w:after="0"/>
        <w:tabs>
          <w:tab w:leader="none" w:pos="190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1900" w:hanging="637"/>
        <w:spacing w:after="0"/>
        <w:tabs>
          <w:tab w:leader="none" w:pos="190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5" w:name="page466"/>
    <w:bookmarkEnd w:id="465"/>
    <w:p>
      <w:pPr>
        <w:jc w:val="center"/>
        <w:spacing w:after="0"/>
        <w:rPr>
          <w:sz w:val="20"/>
          <w:szCs w:val="20"/>
          <w:color w:val="auto"/>
        </w:rPr>
      </w:pPr>
      <w:r>
        <w:rPr>
          <w:rFonts w:ascii="Arial" w:cs="Arial" w:eastAsia="Arial" w:hAnsi="Arial"/>
          <w:sz w:val="18"/>
          <w:szCs w:val="18"/>
          <w:b w:val="1"/>
          <w:bCs w:val="1"/>
          <w:color w:val="auto"/>
        </w:rPr>
        <w:t>Section Three.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of Article 5 of the Development and Option Agreement.</w:t>
      </w:r>
    </w:p>
    <w:p>
      <w:pPr>
        <w:spacing w:after="0" w:line="21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Section 5.1 of the Development and Option Agreement is hereby replaced in its entirety with the following amended Section:</w:t>
      </w:r>
    </w:p>
    <w:p>
      <w:pPr>
        <w:spacing w:after="0" w:line="221" w:lineRule="exact"/>
        <w:rPr>
          <w:sz w:val="20"/>
          <w:szCs w:val="20"/>
          <w:color w:val="auto"/>
        </w:rPr>
      </w:pPr>
    </w:p>
    <w:p>
      <w:pPr>
        <w:jc w:val="both"/>
        <w:ind w:left="740"/>
        <w:spacing w:after="0" w:line="284" w:lineRule="auto"/>
        <w:rPr>
          <w:sz w:val="20"/>
          <w:szCs w:val="20"/>
          <w:color w:val="auto"/>
        </w:rPr>
      </w:pPr>
      <w:r>
        <w:rPr>
          <w:rFonts w:ascii="Arial" w:cs="Arial" w:eastAsia="Arial" w:hAnsi="Arial"/>
          <w:sz w:val="16"/>
          <w:szCs w:val="16"/>
          <w:b w:val="1"/>
          <w:bCs w:val="1"/>
          <w:color w:val="auto"/>
        </w:rPr>
        <w:t xml:space="preserve">“5.1 </w:t>
      </w:r>
      <w:r>
        <w:rPr>
          <w:rFonts w:ascii="Arial" w:cs="Arial" w:eastAsia="Arial" w:hAnsi="Arial"/>
          <w:sz w:val="16"/>
          <w:szCs w:val="16"/>
          <w:b w:val="1"/>
          <w:bCs w:val="1"/>
          <w:u w:val="single" w:color="auto"/>
          <w:color w:val="auto"/>
        </w:rPr>
        <w:t>Options</w:t>
      </w:r>
      <w:r>
        <w:rPr>
          <w:rFonts w:ascii="Arial" w:cs="Arial" w:eastAsia="Arial" w:hAnsi="Arial"/>
          <w:sz w:val="16"/>
          <w:szCs w:val="16"/>
          <w:color w:val="auto"/>
        </w:rPr>
        <w:t>. From the period commencing on the Effective Date and ending on the expiration of the Term (the "</w:t>
      </w:r>
      <w:r>
        <w:rPr>
          <w:rFonts w:ascii="Arial" w:cs="Arial" w:eastAsia="Arial" w:hAnsi="Arial"/>
          <w:sz w:val="16"/>
          <w:szCs w:val="16"/>
          <w:u w:val="single" w:color="auto"/>
          <w:color w:val="auto"/>
        </w:rPr>
        <w:t>Option Period</w:t>
      </w:r>
      <w:r>
        <w:rPr>
          <w:rFonts w:ascii="Arial" w:cs="Arial" w:eastAsia="Arial" w:hAnsi="Arial"/>
          <w:sz w:val="16"/>
          <w:szCs w:val="16"/>
          <w:color w:val="auto"/>
        </w:rPr>
        <w:t>"), on a Reserved</w:t>
      </w:r>
      <w:r>
        <w:rPr>
          <w:rFonts w:ascii="Arial" w:cs="Arial" w:eastAsia="Arial" w:hAnsi="Arial"/>
          <w:sz w:val="16"/>
          <w:szCs w:val="16"/>
          <w:b w:val="1"/>
          <w:bCs w:val="1"/>
          <w:color w:val="auto"/>
        </w:rPr>
        <w:t xml:space="preserve"> </w:t>
      </w:r>
      <w:r>
        <w:rPr>
          <w:rFonts w:ascii="Arial" w:cs="Arial" w:eastAsia="Arial" w:hAnsi="Arial"/>
          <w:sz w:val="16"/>
          <w:szCs w:val="16"/>
          <w:color w:val="auto"/>
        </w:rPr>
        <w:t>Target by Reserved Target basis, CureVac will have: (i) options originating from those granted during the Base Term (each a "</w:t>
      </w:r>
      <w:r>
        <w:rPr>
          <w:rFonts w:ascii="Arial" w:cs="Arial" w:eastAsia="Arial" w:hAnsi="Arial"/>
          <w:sz w:val="16"/>
          <w:szCs w:val="16"/>
          <w:u w:val="single" w:color="auto"/>
          <w:color w:val="auto"/>
        </w:rPr>
        <w:t>Base Term Option)</w:t>
      </w:r>
      <w:r>
        <w:rPr>
          <w:rFonts w:ascii="Arial" w:cs="Arial" w:eastAsia="Arial" w:hAnsi="Arial"/>
          <w:sz w:val="16"/>
          <w:szCs w:val="16"/>
          <w:color w:val="auto"/>
        </w:rPr>
        <w:t>, to enter into a maximum of [*****] License Agreements; and (ii) options originating from those granted during the Extension Term (each an “</w:t>
      </w:r>
      <w:r>
        <w:rPr>
          <w:rFonts w:ascii="Arial" w:cs="Arial" w:eastAsia="Arial" w:hAnsi="Arial"/>
          <w:sz w:val="16"/>
          <w:szCs w:val="16"/>
          <w:u w:val="single" w:color="auto"/>
          <w:color w:val="auto"/>
        </w:rPr>
        <w:t>Extension Term Option</w:t>
      </w:r>
      <w:r>
        <w:rPr>
          <w:rFonts w:ascii="Arial" w:cs="Arial" w:eastAsia="Arial" w:hAnsi="Arial"/>
          <w:sz w:val="16"/>
          <w:szCs w:val="16"/>
          <w:color w:val="auto"/>
        </w:rPr>
        <w:t>”) to enter into a maximum of an additional [*****] Extension Term License Agreements in each case, under the Acuitas LNP Technology with respect to Licensed Product(s) containing mRNA Construct(s) intended to express such Reserved Targets in the applicable form (non-exclusive or exclusive as the case may be for Base Term Options and non-exclusive for Extension Term Options) set forth in Exhibit 1.54 and Exhibit 1.31, provided that the Exhibits to such template agreements are to be prepared or updated in accordance with the terms of the respective License Agreement and this Agreement. In the event CureVac opts for an exclusive license of a Reserved Target for Licensed Vaccine Products, the exercise notice will identify the [*****] Target and the [*****] Target(s), if any, and the exclusivity will apply with respect to the [*****] Target only. Such license will cover any combination of the [*****] Target, with or without and with one or several of the [*****] Targets, if any. CureVac may exercise each such Option by providing to Acuitas, prior to the expiration of the Term, written notice of Option exercise, setting forth the particular Reserved Target which is intended to be expressed by the Licensed Products (each such notice, an "</w:t>
      </w:r>
      <w:r>
        <w:rPr>
          <w:rFonts w:ascii="Arial" w:cs="Arial" w:eastAsia="Arial" w:hAnsi="Arial"/>
          <w:sz w:val="16"/>
          <w:szCs w:val="16"/>
          <w:u w:val="single" w:color="auto"/>
          <w:color w:val="auto"/>
        </w:rPr>
        <w:t>Option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w:t>
      </w:r>
      <w:r>
        <w:rPr>
          <w:rFonts w:ascii="Arial" w:cs="Arial" w:eastAsia="Arial" w:hAnsi="Arial"/>
          <w:sz w:val="16"/>
          <w:szCs w:val="16"/>
          <w:color w:val="auto"/>
        </w:rPr>
        <w:t xml:space="preserve">"). A separate Option Notice and Option Exercise Fee will be required for each License Agreement with respect to which CureVac exercises an Option pursuant to this Section 5.1, and CureVac will pay to Acuitas the Option Exercise Fee for each such License Agreement as set forth in Section 5.3. If not exercised prior to the expiration of the Term, the Options granted to CureVac under this Article 5 with respect to all Licensed Products will terminate in full and will no longer be exercisable. In the event that, during the Term, CureVac terminates a license(s) granted during the Base Term other than an Exchange License as set forth in Section 5.4, the Target(s) subject to the license(s) will be removed from the Reserved Target List and CureVac may during the Term replace such Target(s) on the Reserved Target List in accordance with Article 4 and may during the Term exercise a Base Term Option to take a license to such Target(s) in accordance with this Article 5,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CureVac terminates such license(s) and replaces such Target(s) during the Term, CureVac may only take a Non-exclusive License Agreement, and the financial terms applicable for an Extension Term License Agreement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In the event that CureVac terminates an Extension Term License Agreement(s) during the Extension Term, the Target(s) subject to the Extension Term License Agreement(s) will be removed from the Reserved Target List and CureVac may during the Extension Term replace such Target(s) on the Reserved Target List in accordance with Article 4 and may during the Extension Term exercise an Extension Term Option to take a Non-exclusive License Agreement to such Target(s) in accordance with this Article 5. For clarity no more than [*****] Base Term active License Agreements and no more than [*****] Extension Term active License Agreements can be held at any one time. For avoidance of doubt, milestones and fees paid with respect to any license that is terminated will not be creditable against any future Option exercise.”</w:t>
      </w:r>
    </w:p>
    <w:p>
      <w:pPr>
        <w:spacing w:after="0" w:line="17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 new Section 5.5 is hereby appended to the end of Article 5 of the Development and Option Agreement as follows:</w:t>
      </w:r>
    </w:p>
    <w:p>
      <w:pPr>
        <w:spacing w:after="0" w:line="221" w:lineRule="exact"/>
        <w:rPr>
          <w:sz w:val="20"/>
          <w:szCs w:val="20"/>
          <w:color w:val="auto"/>
        </w:rPr>
      </w:pPr>
    </w:p>
    <w:p>
      <w:pPr>
        <w:ind w:left="660" w:right="40"/>
        <w:spacing w:after="0" w:line="261" w:lineRule="auto"/>
        <w:rPr>
          <w:sz w:val="20"/>
          <w:szCs w:val="20"/>
          <w:color w:val="auto"/>
        </w:rPr>
      </w:pPr>
      <w:r>
        <w:rPr>
          <w:rFonts w:ascii="Arial" w:cs="Arial" w:eastAsia="Arial" w:hAnsi="Arial"/>
          <w:sz w:val="18"/>
          <w:szCs w:val="18"/>
          <w:b w:val="1"/>
          <w:bCs w:val="1"/>
          <w:color w:val="auto"/>
        </w:rPr>
        <w:t xml:space="preserve">“5.5 </w:t>
      </w:r>
      <w:r>
        <w:rPr>
          <w:rFonts w:ascii="Arial" w:cs="Arial" w:eastAsia="Arial" w:hAnsi="Arial"/>
          <w:sz w:val="18"/>
          <w:szCs w:val="18"/>
          <w:b w:val="1"/>
          <w:bCs w:val="1"/>
          <w:u w:val="single" w:color="auto"/>
          <w:color w:val="auto"/>
        </w:rPr>
        <w:t>Extension Term Technology Access Fee</w:t>
      </w:r>
      <w:r>
        <w:rPr>
          <w:rFonts w:ascii="Arial" w:cs="Arial" w:eastAsia="Arial" w:hAnsi="Arial"/>
          <w:sz w:val="18"/>
          <w:szCs w:val="18"/>
          <w:color w:val="auto"/>
        </w:rPr>
        <w:t>. CureVac will pay to Acuitas a technology access fee for the Extension Term equal to Three</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Dollars (U.S. $3,000,000) payable within thirty (30) days of the Amendment Three Effective Date and Two Hundred and Fifty Thousand Dollars (U.S. $250,000) per Extension Term Option within [*****] of the first and second anniversaries of the Extension Term Start Date for each of the Extension Term Options not yet exercised on such anniversary.”</w:t>
      </w:r>
    </w:p>
    <w:p>
      <w:pPr>
        <w:spacing w:after="0" w:line="200" w:lineRule="exact"/>
        <w:rPr>
          <w:sz w:val="20"/>
          <w:szCs w:val="20"/>
          <w:color w:val="auto"/>
        </w:rPr>
      </w:pPr>
    </w:p>
    <w:p>
      <w:pPr>
        <w:spacing w:after="0" w:line="22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6" w:name="page467"/>
    <w:bookmarkEnd w:id="466"/>
    <w:p>
      <w:pPr>
        <w:jc w:val="center"/>
        <w:spacing w:after="0"/>
        <w:rPr>
          <w:sz w:val="20"/>
          <w:szCs w:val="20"/>
          <w:color w:val="auto"/>
        </w:rPr>
      </w:pPr>
      <w:r>
        <w:rPr>
          <w:rFonts w:ascii="Arial" w:cs="Arial" w:eastAsia="Arial" w:hAnsi="Arial"/>
          <w:sz w:val="18"/>
          <w:szCs w:val="18"/>
          <w:b w:val="1"/>
          <w:bCs w:val="1"/>
          <w:color w:val="auto"/>
        </w:rPr>
        <w:t>Section Four.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of Article 9 of the Development and Option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Section 9.1 of the Development and Option Agreement is hereby replaced in its entirety with the following amended Section:</w:t>
      </w:r>
    </w:p>
    <w:p>
      <w:pPr>
        <w:spacing w:after="0" w:line="221"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b w:val="1"/>
          <w:bCs w:val="1"/>
          <w:color w:val="auto"/>
        </w:rPr>
        <w:t xml:space="preserve">“9.1 Term. </w:t>
      </w:r>
      <w:r>
        <w:rPr>
          <w:rFonts w:ascii="Arial" w:cs="Arial" w:eastAsia="Arial" w:hAnsi="Arial"/>
          <w:sz w:val="18"/>
          <w:szCs w:val="18"/>
          <w:color w:val="auto"/>
        </w:rPr>
        <w:t>This Agreement will commence as of the Effective Date and, unless sooner terminated or extended in accordance with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hereof or by mutual written consent, will continue for a period of nine (9) years (the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Five.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of the Exhibit 1.54 of the Development and Option Agreement</w:t>
      </w:r>
    </w:p>
    <w:p>
      <w:pPr>
        <w:spacing w:after="0" w:line="211" w:lineRule="exact"/>
        <w:rPr>
          <w:sz w:val="20"/>
          <w:szCs w:val="20"/>
          <w:color w:val="auto"/>
        </w:rPr>
      </w:pPr>
    </w:p>
    <w:p>
      <w:pPr>
        <w:ind w:left="620" w:hanging="620"/>
        <w:spacing w:after="0" w:line="277" w:lineRule="auto"/>
        <w:tabs>
          <w:tab w:leader="none" w:pos="6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Section 4.1 of Exhibit 1.54 of the Development and Option Agreement is hereby replaced in its entirety with the following amended Section, but only in respect of each Non-exclusive License Agreement that results from an exercise of an Extension Term Option.</w:t>
      </w:r>
    </w:p>
    <w:p>
      <w:pPr>
        <w:spacing w:after="0" w:line="166"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Milestone Payments</w:t>
      </w:r>
      <w:r>
        <w:rPr>
          <w:rFonts w:ascii="Arial" w:cs="Arial" w:eastAsia="Arial" w:hAnsi="Arial"/>
          <w:sz w:val="18"/>
          <w:szCs w:val="18"/>
          <w:b w:val="1"/>
          <w:bCs w:val="1"/>
          <w:color w:val="auto"/>
        </w:rPr>
        <w:t>.</w:t>
      </w:r>
      <w:r>
        <w:rPr>
          <w:rFonts w:ascii="Arial" w:cs="Arial" w:eastAsia="Arial" w:hAnsi="Arial"/>
          <w:sz w:val="18"/>
          <w:szCs w:val="18"/>
          <w:color w:val="auto"/>
        </w:rPr>
        <w:t xml:space="preserve"> Subject to any crediting as set forth in Section 4.2b, CureVac will make milestone payments (each, a "</w:t>
      </w:r>
      <w:r>
        <w:rPr>
          <w:rFonts w:ascii="Arial" w:cs="Arial" w:eastAsia="Arial" w:hAnsi="Arial"/>
          <w:sz w:val="18"/>
          <w:szCs w:val="18"/>
          <w:u w:val="single" w:color="auto"/>
          <w:color w:val="auto"/>
        </w:rPr>
        <w:t>Milestone</w:t>
      </w:r>
      <w:r>
        <w:rPr>
          <w:rFonts w:ascii="Arial" w:cs="Arial" w:eastAsia="Arial" w:hAnsi="Arial"/>
          <w:sz w:val="18"/>
          <w:szCs w:val="18"/>
          <w:color w:val="auto"/>
        </w:rPr>
        <w:t xml:space="preserve"> </w:t>
      </w:r>
      <w:r>
        <w:rPr>
          <w:rFonts w:ascii="Arial" w:cs="Arial" w:eastAsia="Arial" w:hAnsi="Arial"/>
          <w:sz w:val="18"/>
          <w:szCs w:val="18"/>
          <w:u w:val="single" w:color="auto"/>
          <w:color w:val="auto"/>
        </w:rPr>
        <w:t>Payment</w:t>
      </w:r>
      <w:r>
        <w:rPr>
          <w:rFonts w:ascii="Arial" w:cs="Arial" w:eastAsia="Arial" w:hAnsi="Arial"/>
          <w:sz w:val="18"/>
          <w:szCs w:val="18"/>
          <w:color w:val="auto"/>
        </w:rPr>
        <w:t>") to Acuitas upon the first occurrence of each of the milestone events (each, a "</w:t>
      </w:r>
      <w:r>
        <w:rPr>
          <w:rFonts w:ascii="Arial" w:cs="Arial" w:eastAsia="Arial" w:hAnsi="Arial"/>
          <w:sz w:val="18"/>
          <w:szCs w:val="18"/>
          <w:u w:val="single" w:color="auto"/>
          <w:color w:val="auto"/>
        </w:rPr>
        <w:t>Milestone Event</w:t>
      </w:r>
      <w:r>
        <w:rPr>
          <w:rFonts w:ascii="Arial" w:cs="Arial" w:eastAsia="Arial" w:hAnsi="Arial"/>
          <w:sz w:val="18"/>
          <w:szCs w:val="18"/>
          <w:color w:val="auto"/>
        </w:rPr>
        <w:t xml:space="preserve">") by Licensed Product as set forth below in the respective table of this Section 4.1, as is applicable to whether the respective Licensed Product is a Licensed Vaccine Product or not. CureVac will notify Acuitas of the achievement of each Milestone Event within [*****] of such achievement. Each Milestone Payment will be payable to Acuitas by CureVac within [*****] of the achievement of the specified Milestone Event and receipt of a respective invoice from Acuitas, and such payments when owed or paid will be non-refundable and non-creditable. If one or more of the Milestone Events set forth below are not achieved or not required for any reason, the payment for such skipped Milestone Event will be due [*****]. The maximum total of all Milestone Payments for all Licensed Products that all are </w:t>
      </w:r>
      <w:r>
        <w:rPr>
          <w:rFonts w:ascii="Arial" w:cs="Arial" w:eastAsia="Arial" w:hAnsi="Arial"/>
          <w:sz w:val="18"/>
          <w:szCs w:val="18"/>
          <w:b w:val="1"/>
          <w:bCs w:val="1"/>
          <w:color w:val="auto"/>
        </w:rPr>
        <w:t>not</w:t>
      </w:r>
      <w:r>
        <w:rPr>
          <w:rFonts w:ascii="Arial" w:cs="Arial" w:eastAsia="Arial" w:hAnsi="Arial"/>
          <w:sz w:val="18"/>
          <w:szCs w:val="18"/>
          <w:color w:val="auto"/>
        </w:rPr>
        <w:t xml:space="preserve"> Licensed Vaccine Products payable under this License Agreement is U.S.$ [*****]. The maximum total of all Milestone Payments for all Licensed Products that all </w:t>
      </w:r>
      <w:r>
        <w:rPr>
          <w:rFonts w:ascii="Arial" w:cs="Arial" w:eastAsia="Arial" w:hAnsi="Arial"/>
          <w:sz w:val="18"/>
          <w:szCs w:val="18"/>
          <w:b w:val="1"/>
          <w:bCs w:val="1"/>
          <w:color w:val="auto"/>
        </w:rPr>
        <w:t>are</w:t>
      </w:r>
      <w:r>
        <w:rPr>
          <w:rFonts w:ascii="Arial" w:cs="Arial" w:eastAsia="Arial" w:hAnsi="Arial"/>
          <w:sz w:val="18"/>
          <w:szCs w:val="18"/>
          <w:color w:val="auto"/>
        </w:rPr>
        <w:t xml:space="preserve"> Licensed Vaccine Products payable under this License Agreement is U.S.$ [*****],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maximum amounts do not apply in the event CureVac elects the Alternative Royalty, as set forth below.</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5140" w:type="dxa"/>
            <w:vAlign w:val="bottom"/>
            <w:tcBorders>
              <w:top w:val="single" w:sz="8" w:color="auto"/>
              <w:left w:val="single" w:sz="8" w:color="auto"/>
            </w:tcBorders>
          </w:tcPr>
          <w:p>
            <w:pPr>
              <w:jc w:val="right"/>
              <w:ind w:right="310"/>
              <w:spacing w:after="0"/>
              <w:rPr>
                <w:sz w:val="20"/>
                <w:szCs w:val="20"/>
                <w:color w:val="auto"/>
              </w:rPr>
            </w:pPr>
            <w:r>
              <w:rPr>
                <w:rFonts w:ascii="Arial" w:cs="Arial" w:eastAsia="Arial" w:hAnsi="Arial"/>
                <w:sz w:val="18"/>
                <w:szCs w:val="18"/>
                <w:b w:val="1"/>
                <w:bCs w:val="1"/>
                <w:i w:val="1"/>
                <w:iCs w:val="1"/>
                <w:color w:val="auto"/>
              </w:rPr>
              <w:t>Milestone Event for Licensed Products not</w:t>
            </w:r>
          </w:p>
        </w:tc>
        <w:tc>
          <w:tcPr>
            <w:tcW w:w="1180" w:type="dxa"/>
            <w:vAlign w:val="bottom"/>
            <w:tcBorders>
              <w:top w:val="single" w:sz="8" w:color="auto"/>
              <w:right w:val="single" w:sz="8" w:color="auto"/>
            </w:tcBorders>
          </w:tcPr>
          <w:p>
            <w:pPr>
              <w:spacing w:after="0"/>
              <w:rPr>
                <w:sz w:val="18"/>
                <w:szCs w:val="18"/>
                <w:color w:val="auto"/>
              </w:rPr>
            </w:pPr>
          </w:p>
        </w:tc>
        <w:tc>
          <w:tcPr>
            <w:tcW w:w="4920" w:type="dxa"/>
            <w:vAlign w:val="bottom"/>
            <w:tcBorders>
              <w:top w:val="single" w:sz="8" w:color="auto"/>
              <w:right w:val="single" w:sz="8" w:color="auto"/>
            </w:tcBorders>
          </w:tcPr>
          <w:p>
            <w:pPr>
              <w:jc w:val="right"/>
              <w:ind w:right="1670"/>
              <w:spacing w:after="0"/>
              <w:rPr>
                <w:sz w:val="20"/>
                <w:szCs w:val="20"/>
                <w:color w:val="auto"/>
              </w:rPr>
            </w:pPr>
            <w:r>
              <w:rPr>
                <w:rFonts w:ascii="Arial" w:cs="Arial" w:eastAsia="Arial" w:hAnsi="Arial"/>
                <w:sz w:val="18"/>
                <w:szCs w:val="18"/>
                <w:b w:val="1"/>
                <w:bCs w:val="1"/>
                <w:i w:val="1"/>
                <w:iCs w:val="1"/>
                <w:color w:val="auto"/>
              </w:rPr>
              <w:t>Milestone Payment</w:t>
            </w:r>
          </w:p>
        </w:tc>
      </w:tr>
      <w:tr>
        <w:trPr>
          <w:trHeight w:val="230"/>
        </w:trPr>
        <w:tc>
          <w:tcPr>
            <w:tcW w:w="5140" w:type="dxa"/>
            <w:vAlign w:val="bottom"/>
            <w:tcBorders>
              <w:left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i w:val="1"/>
                <w:iCs w:val="1"/>
                <w:color w:val="auto"/>
              </w:rPr>
              <w:t>being Licensed Vaccine Products</w:t>
            </w:r>
          </w:p>
        </w:tc>
        <w:tc>
          <w:tcPr>
            <w:tcW w:w="1180" w:type="dxa"/>
            <w:vAlign w:val="bottom"/>
            <w:tcBorders>
              <w:bottom w:val="single" w:sz="8" w:color="auto"/>
              <w:right w:val="single" w:sz="8" w:color="auto"/>
            </w:tcBorders>
          </w:tcPr>
          <w:p>
            <w:pPr>
              <w:spacing w:after="0"/>
              <w:rPr>
                <w:sz w:val="20"/>
                <w:szCs w:val="20"/>
                <w:color w:val="auto"/>
              </w:rPr>
            </w:pPr>
          </w:p>
        </w:tc>
        <w:tc>
          <w:tcPr>
            <w:tcW w:w="4920" w:type="dxa"/>
            <w:vAlign w:val="bottom"/>
            <w:tcBorders>
              <w:bottom w:val="single" w:sz="8" w:color="auto"/>
              <w:right w:val="single" w:sz="8" w:color="auto"/>
            </w:tcBorders>
          </w:tcPr>
          <w:p>
            <w:pPr>
              <w:spacing w:after="0"/>
              <w:rPr>
                <w:sz w:val="20"/>
                <w:szCs w:val="20"/>
                <w:color w:val="auto"/>
              </w:rPr>
            </w:pPr>
          </w:p>
        </w:tc>
      </w:tr>
      <w:tr>
        <w:trPr>
          <w:trHeight w:val="237"/>
        </w:trPr>
        <w:tc>
          <w:tcPr>
            <w:tcW w:w="5140" w:type="dxa"/>
            <w:vAlign w:val="bottom"/>
            <w:tcBorders>
              <w:left w:val="single" w:sz="8" w:color="auto"/>
            </w:tcBorders>
          </w:tcPr>
          <w:p>
            <w:pPr>
              <w:jc w:val="right"/>
              <w:ind w:right="439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spacing w:after="0"/>
              <w:rPr>
                <w:sz w:val="20"/>
                <w:szCs w:val="20"/>
                <w:color w:val="auto"/>
              </w:rPr>
            </w:pPr>
          </w:p>
        </w:tc>
        <w:tc>
          <w:tcPr>
            <w:tcW w:w="4920" w:type="dxa"/>
            <w:vAlign w:val="bottom"/>
            <w:tcBorders>
              <w:right w:val="single" w:sz="8" w:color="auto"/>
            </w:tcBorders>
          </w:tcPr>
          <w:p>
            <w:pPr>
              <w:jc w:val="right"/>
              <w:ind w:right="4190"/>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r>
      <w:tr>
        <w:trPr>
          <w:trHeight w:val="237"/>
        </w:trPr>
        <w:tc>
          <w:tcPr>
            <w:tcW w:w="5140" w:type="dxa"/>
            <w:vAlign w:val="bottom"/>
            <w:tcBorders>
              <w:left w:val="single" w:sz="8" w:color="auto"/>
            </w:tcBorders>
          </w:tcPr>
          <w:p>
            <w:pPr>
              <w:jc w:val="right"/>
              <w:ind w:right="439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spacing w:after="0"/>
              <w:rPr>
                <w:sz w:val="20"/>
                <w:szCs w:val="20"/>
                <w:color w:val="auto"/>
              </w:rPr>
            </w:pPr>
          </w:p>
        </w:tc>
        <w:tc>
          <w:tcPr>
            <w:tcW w:w="4920" w:type="dxa"/>
            <w:vAlign w:val="bottom"/>
            <w:tcBorders>
              <w:right w:val="single" w:sz="8" w:color="auto"/>
            </w:tcBorders>
          </w:tcPr>
          <w:p>
            <w:pPr>
              <w:jc w:val="right"/>
              <w:ind w:right="4190"/>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r>
      <w:tr>
        <w:trPr>
          <w:trHeight w:val="668"/>
        </w:trPr>
        <w:tc>
          <w:tcPr>
            <w:tcW w:w="5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6</w:t>
            </w:r>
          </w:p>
        </w:tc>
        <w:tc>
          <w:tcPr>
            <w:tcW w:w="4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67" w:name="page468"/>
    <w:bookmarkEnd w:id="46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6320" w:type="dxa"/>
            <w:vAlign w:val="bottom"/>
            <w:tcBorders>
              <w:top w:val="single" w:sz="8" w:color="auto"/>
              <w:left w:val="single" w:sz="8" w:color="auto"/>
              <w:right w:val="single" w:sz="8" w:color="auto"/>
            </w:tcBorders>
          </w:tcPr>
          <w:p>
            <w:pPr>
              <w:jc w:val="right"/>
              <w:ind w:right="1310"/>
              <w:spacing w:after="0"/>
              <w:rPr>
                <w:sz w:val="20"/>
                <w:szCs w:val="20"/>
                <w:color w:val="auto"/>
              </w:rPr>
            </w:pPr>
            <w:r>
              <w:rPr>
                <w:rFonts w:ascii="Arial" w:cs="Arial" w:eastAsia="Arial" w:hAnsi="Arial"/>
                <w:sz w:val="18"/>
                <w:szCs w:val="18"/>
                <w:b w:val="1"/>
                <w:bCs w:val="1"/>
                <w:i w:val="1"/>
                <w:iCs w:val="1"/>
                <w:color w:val="auto"/>
              </w:rPr>
              <w:t>Milestone Event for Licensed Products not</w:t>
            </w:r>
          </w:p>
        </w:tc>
        <w:tc>
          <w:tcPr>
            <w:tcW w:w="4920" w:type="dxa"/>
            <w:vAlign w:val="bottom"/>
            <w:tcBorders>
              <w:top w:val="single" w:sz="8" w:color="auto"/>
              <w:right w:val="single" w:sz="8" w:color="auto"/>
            </w:tcBorders>
          </w:tcPr>
          <w:p>
            <w:pPr>
              <w:jc w:val="right"/>
              <w:ind w:right="1210"/>
              <w:spacing w:after="0"/>
              <w:rPr>
                <w:sz w:val="20"/>
                <w:szCs w:val="20"/>
                <w:color w:val="auto"/>
              </w:rPr>
            </w:pPr>
            <w:r>
              <w:rPr>
                <w:rFonts w:ascii="Arial" w:cs="Arial" w:eastAsia="Arial" w:hAnsi="Arial"/>
                <w:sz w:val="18"/>
                <w:szCs w:val="18"/>
                <w:b w:val="1"/>
                <w:bCs w:val="1"/>
                <w:i w:val="1"/>
                <w:iCs w:val="1"/>
                <w:color w:val="auto"/>
              </w:rPr>
              <w:t>Milestone Payment</w:t>
            </w:r>
          </w:p>
        </w:tc>
      </w:tr>
      <w:tr>
        <w:trPr>
          <w:trHeight w:val="230"/>
        </w:trPr>
        <w:tc>
          <w:tcPr>
            <w:tcW w:w="6320" w:type="dxa"/>
            <w:vAlign w:val="bottom"/>
            <w:tcBorders>
              <w:left w:val="single" w:sz="8" w:color="auto"/>
              <w:bottom w:val="single" w:sz="8" w:color="auto"/>
              <w:right w:val="single" w:sz="8" w:color="auto"/>
            </w:tcBorders>
          </w:tcPr>
          <w:p>
            <w:pPr>
              <w:jc w:val="right"/>
              <w:ind w:right="1490"/>
              <w:spacing w:after="0"/>
              <w:rPr>
                <w:sz w:val="20"/>
                <w:szCs w:val="20"/>
                <w:color w:val="auto"/>
              </w:rPr>
            </w:pPr>
            <w:r>
              <w:rPr>
                <w:rFonts w:ascii="Arial" w:cs="Arial" w:eastAsia="Arial" w:hAnsi="Arial"/>
                <w:sz w:val="18"/>
                <w:szCs w:val="18"/>
                <w:b w:val="1"/>
                <w:bCs w:val="1"/>
                <w:i w:val="1"/>
                <w:iCs w:val="1"/>
                <w:color w:val="auto"/>
              </w:rPr>
              <w:t>being Licensed Vaccine Products</w:t>
            </w:r>
          </w:p>
        </w:tc>
        <w:tc>
          <w:tcPr>
            <w:tcW w:w="4920" w:type="dxa"/>
            <w:vAlign w:val="bottom"/>
            <w:tcBorders>
              <w:bottom w:val="single" w:sz="8" w:color="auto"/>
              <w:right w:val="single" w:sz="8" w:color="auto"/>
            </w:tcBorders>
          </w:tcPr>
          <w:p>
            <w:pPr>
              <w:spacing w:after="0"/>
              <w:rPr>
                <w:sz w:val="20"/>
                <w:szCs w:val="20"/>
                <w:color w:val="auto"/>
              </w:rPr>
            </w:pPr>
          </w:p>
        </w:tc>
      </w:tr>
      <w:tr>
        <w:trPr>
          <w:trHeight w:val="237"/>
        </w:trPr>
        <w:tc>
          <w:tcPr>
            <w:tcW w:w="6320" w:type="dxa"/>
            <w:vAlign w:val="bottom"/>
            <w:tcBorders>
              <w:left w:val="single" w:sz="8" w:color="auto"/>
              <w:right w:val="single" w:sz="8" w:color="auto"/>
            </w:tcBorders>
          </w:tcPr>
          <w:p>
            <w:pPr>
              <w:jc w:val="right"/>
              <w:ind w:right="5570"/>
              <w:spacing w:after="0"/>
              <w:rPr>
                <w:sz w:val="20"/>
                <w:szCs w:val="20"/>
                <w:color w:val="auto"/>
              </w:rPr>
            </w:pPr>
            <w:r>
              <w:rPr>
                <w:rFonts w:ascii="Arial" w:cs="Arial" w:eastAsia="Arial" w:hAnsi="Arial"/>
                <w:sz w:val="18"/>
                <w:szCs w:val="18"/>
                <w:color w:val="auto"/>
              </w:rPr>
              <w:t>[*****]</w:t>
            </w:r>
          </w:p>
        </w:tc>
        <w:tc>
          <w:tcPr>
            <w:tcW w:w="4920" w:type="dxa"/>
            <w:vAlign w:val="bottom"/>
            <w:tcBorders>
              <w:right w:val="single" w:sz="8" w:color="auto"/>
            </w:tcBorders>
          </w:tcPr>
          <w:p>
            <w:pPr>
              <w:jc w:val="right"/>
              <w:ind w:right="4190"/>
              <w:spacing w:after="0"/>
              <w:rPr>
                <w:sz w:val="20"/>
                <w:szCs w:val="20"/>
                <w:color w:val="auto"/>
              </w:rPr>
            </w:pPr>
            <w:r>
              <w:rPr>
                <w:rFonts w:ascii="Arial" w:cs="Arial" w:eastAsia="Arial" w:hAnsi="Arial"/>
                <w:sz w:val="18"/>
                <w:szCs w:val="18"/>
                <w:color w:val="auto"/>
              </w:rPr>
              <w:t>[*****]</w:t>
            </w:r>
          </w:p>
        </w:tc>
      </w:tr>
      <w:tr>
        <w:trPr>
          <w:trHeight w:val="27"/>
        </w:trPr>
        <w:tc>
          <w:tcPr>
            <w:tcW w:w="6320" w:type="dxa"/>
            <w:vAlign w:val="bottom"/>
            <w:tcBorders>
              <w:left w:val="single" w:sz="8" w:color="auto"/>
              <w:bottom w:val="single" w:sz="8" w:color="auto"/>
              <w:right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r>
      <w:tr>
        <w:trPr>
          <w:trHeight w:val="237"/>
        </w:trPr>
        <w:tc>
          <w:tcPr>
            <w:tcW w:w="6320" w:type="dxa"/>
            <w:vAlign w:val="bottom"/>
            <w:tcBorders>
              <w:left w:val="single" w:sz="8" w:color="auto"/>
              <w:right w:val="single" w:sz="8" w:color="auto"/>
            </w:tcBorders>
          </w:tcPr>
          <w:p>
            <w:pPr>
              <w:jc w:val="right"/>
              <w:ind w:right="5570"/>
              <w:spacing w:after="0"/>
              <w:rPr>
                <w:sz w:val="20"/>
                <w:szCs w:val="20"/>
                <w:color w:val="auto"/>
              </w:rPr>
            </w:pPr>
            <w:r>
              <w:rPr>
                <w:rFonts w:ascii="Arial" w:cs="Arial" w:eastAsia="Arial" w:hAnsi="Arial"/>
                <w:sz w:val="18"/>
                <w:szCs w:val="18"/>
                <w:color w:val="auto"/>
              </w:rPr>
              <w:t>[*****]</w:t>
            </w:r>
          </w:p>
        </w:tc>
        <w:tc>
          <w:tcPr>
            <w:tcW w:w="4920" w:type="dxa"/>
            <w:vAlign w:val="bottom"/>
            <w:tcBorders>
              <w:right w:val="single" w:sz="8" w:color="auto"/>
            </w:tcBorders>
          </w:tcPr>
          <w:p>
            <w:pPr>
              <w:jc w:val="right"/>
              <w:ind w:right="4190"/>
              <w:spacing w:after="0"/>
              <w:rPr>
                <w:sz w:val="20"/>
                <w:szCs w:val="20"/>
                <w:color w:val="auto"/>
              </w:rPr>
            </w:pPr>
            <w:r>
              <w:rPr>
                <w:rFonts w:ascii="Arial" w:cs="Arial" w:eastAsia="Arial" w:hAnsi="Arial"/>
                <w:sz w:val="18"/>
                <w:szCs w:val="18"/>
                <w:color w:val="auto"/>
              </w:rPr>
              <w:t>[*****]</w:t>
            </w:r>
          </w:p>
        </w:tc>
      </w:tr>
      <w:tr>
        <w:trPr>
          <w:trHeight w:val="27"/>
        </w:trPr>
        <w:tc>
          <w:tcPr>
            <w:tcW w:w="6320" w:type="dxa"/>
            <w:vAlign w:val="bottom"/>
            <w:tcBorders>
              <w:left w:val="single" w:sz="8" w:color="auto"/>
              <w:bottom w:val="single" w:sz="8" w:color="auto"/>
              <w:right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r>
      <w:tr>
        <w:trPr>
          <w:trHeight w:val="237"/>
        </w:trPr>
        <w:tc>
          <w:tcPr>
            <w:tcW w:w="6320" w:type="dxa"/>
            <w:vAlign w:val="bottom"/>
            <w:tcBorders>
              <w:left w:val="single" w:sz="8" w:color="auto"/>
              <w:right w:val="single" w:sz="8" w:color="auto"/>
            </w:tcBorders>
          </w:tcPr>
          <w:p>
            <w:pPr>
              <w:jc w:val="right"/>
              <w:ind w:right="5570"/>
              <w:spacing w:after="0"/>
              <w:rPr>
                <w:sz w:val="20"/>
                <w:szCs w:val="20"/>
                <w:color w:val="auto"/>
              </w:rPr>
            </w:pPr>
            <w:r>
              <w:rPr>
                <w:rFonts w:ascii="Arial" w:cs="Arial" w:eastAsia="Arial" w:hAnsi="Arial"/>
                <w:sz w:val="18"/>
                <w:szCs w:val="18"/>
                <w:color w:val="auto"/>
              </w:rPr>
              <w:t>[*****]</w:t>
            </w:r>
          </w:p>
        </w:tc>
        <w:tc>
          <w:tcPr>
            <w:tcW w:w="4920" w:type="dxa"/>
            <w:vAlign w:val="bottom"/>
            <w:tcBorders>
              <w:right w:val="single" w:sz="8" w:color="auto"/>
            </w:tcBorders>
          </w:tcPr>
          <w:p>
            <w:pPr>
              <w:jc w:val="right"/>
              <w:ind w:right="4190"/>
              <w:spacing w:after="0"/>
              <w:rPr>
                <w:sz w:val="20"/>
                <w:szCs w:val="20"/>
                <w:color w:val="auto"/>
              </w:rPr>
            </w:pPr>
            <w:r>
              <w:rPr>
                <w:rFonts w:ascii="Arial" w:cs="Arial" w:eastAsia="Arial" w:hAnsi="Arial"/>
                <w:sz w:val="18"/>
                <w:szCs w:val="18"/>
                <w:color w:val="auto"/>
              </w:rPr>
              <w:t>[*****]</w:t>
            </w:r>
          </w:p>
        </w:tc>
      </w:tr>
      <w:tr>
        <w:trPr>
          <w:trHeight w:val="27"/>
        </w:trPr>
        <w:tc>
          <w:tcPr>
            <w:tcW w:w="6320" w:type="dxa"/>
            <w:vAlign w:val="bottom"/>
            <w:tcBorders>
              <w:left w:val="single" w:sz="8" w:color="auto"/>
              <w:bottom w:val="single" w:sz="8" w:color="auto"/>
              <w:right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r>
    </w:tbl>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6320" w:type="dxa"/>
            <w:vAlign w:val="bottom"/>
            <w:tcBorders>
              <w:top w:val="single" w:sz="8" w:color="auto"/>
              <w:left w:val="single" w:sz="8" w:color="auto"/>
              <w:bottom w:val="single" w:sz="8" w:color="auto"/>
              <w:right w:val="single" w:sz="8" w:color="auto"/>
            </w:tcBorders>
          </w:tcPr>
          <w:p>
            <w:pPr>
              <w:jc w:val="right"/>
              <w:ind w:right="1250"/>
              <w:spacing w:after="0"/>
              <w:rPr>
                <w:sz w:val="20"/>
                <w:szCs w:val="20"/>
                <w:color w:val="auto"/>
              </w:rPr>
            </w:pPr>
            <w:r>
              <w:rPr>
                <w:rFonts w:ascii="Arial" w:cs="Arial" w:eastAsia="Arial" w:hAnsi="Arial"/>
                <w:sz w:val="18"/>
                <w:szCs w:val="18"/>
                <w:b w:val="1"/>
                <w:bCs w:val="1"/>
                <w:i w:val="1"/>
                <w:iCs w:val="1"/>
                <w:color w:val="auto"/>
              </w:rPr>
              <w:t>Milestone Event for Licensed Vaccine Products</w:t>
            </w:r>
          </w:p>
        </w:tc>
        <w:tc>
          <w:tcPr>
            <w:tcW w:w="4920" w:type="dxa"/>
            <w:vAlign w:val="bottom"/>
            <w:tcBorders>
              <w:top w:val="single" w:sz="8" w:color="auto"/>
              <w:bottom w:val="single" w:sz="8" w:color="auto"/>
              <w:right w:val="single" w:sz="8" w:color="auto"/>
            </w:tcBorders>
          </w:tcPr>
          <w:p>
            <w:pPr>
              <w:jc w:val="right"/>
              <w:ind w:right="1210"/>
              <w:spacing w:after="0"/>
              <w:rPr>
                <w:sz w:val="20"/>
                <w:szCs w:val="20"/>
                <w:color w:val="auto"/>
              </w:rPr>
            </w:pPr>
            <w:r>
              <w:rPr>
                <w:rFonts w:ascii="Arial" w:cs="Arial" w:eastAsia="Arial" w:hAnsi="Arial"/>
                <w:sz w:val="18"/>
                <w:szCs w:val="18"/>
                <w:b w:val="1"/>
                <w:bCs w:val="1"/>
                <w:i w:val="1"/>
                <w:iCs w:val="1"/>
                <w:color w:val="auto"/>
              </w:rPr>
              <w:t>Milestone Payment</w:t>
            </w:r>
          </w:p>
        </w:tc>
      </w:tr>
      <w:tr>
        <w:trPr>
          <w:trHeight w:val="237"/>
        </w:trPr>
        <w:tc>
          <w:tcPr>
            <w:tcW w:w="6320" w:type="dxa"/>
            <w:vAlign w:val="bottom"/>
            <w:tcBorders>
              <w:left w:val="single" w:sz="8" w:color="auto"/>
              <w:right w:val="single" w:sz="8" w:color="auto"/>
            </w:tcBorders>
          </w:tcPr>
          <w:p>
            <w:pPr>
              <w:jc w:val="right"/>
              <w:ind w:right="5570"/>
              <w:spacing w:after="0"/>
              <w:rPr>
                <w:sz w:val="20"/>
                <w:szCs w:val="20"/>
                <w:color w:val="auto"/>
              </w:rPr>
            </w:pPr>
            <w:r>
              <w:rPr>
                <w:rFonts w:ascii="Arial" w:cs="Arial" w:eastAsia="Arial" w:hAnsi="Arial"/>
                <w:sz w:val="18"/>
                <w:szCs w:val="18"/>
                <w:color w:val="auto"/>
              </w:rPr>
              <w:t>[*****]</w:t>
            </w:r>
          </w:p>
        </w:tc>
        <w:tc>
          <w:tcPr>
            <w:tcW w:w="4920" w:type="dxa"/>
            <w:vAlign w:val="bottom"/>
            <w:tcBorders>
              <w:right w:val="single" w:sz="8" w:color="auto"/>
            </w:tcBorders>
          </w:tcPr>
          <w:p>
            <w:pPr>
              <w:jc w:val="right"/>
              <w:ind w:right="4190"/>
              <w:spacing w:after="0"/>
              <w:rPr>
                <w:sz w:val="20"/>
                <w:szCs w:val="20"/>
                <w:color w:val="auto"/>
              </w:rPr>
            </w:pPr>
            <w:r>
              <w:rPr>
                <w:rFonts w:ascii="Arial" w:cs="Arial" w:eastAsia="Arial" w:hAnsi="Arial"/>
                <w:sz w:val="18"/>
                <w:szCs w:val="18"/>
                <w:color w:val="auto"/>
              </w:rPr>
              <w:t>[*****]</w:t>
            </w:r>
          </w:p>
        </w:tc>
      </w:tr>
      <w:tr>
        <w:trPr>
          <w:trHeight w:val="27"/>
        </w:trPr>
        <w:tc>
          <w:tcPr>
            <w:tcW w:w="6320" w:type="dxa"/>
            <w:vAlign w:val="bottom"/>
            <w:tcBorders>
              <w:left w:val="single" w:sz="8" w:color="auto"/>
              <w:bottom w:val="single" w:sz="8" w:color="auto"/>
              <w:right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r>
      <w:tr>
        <w:trPr>
          <w:trHeight w:val="237"/>
        </w:trPr>
        <w:tc>
          <w:tcPr>
            <w:tcW w:w="6320" w:type="dxa"/>
            <w:vAlign w:val="bottom"/>
            <w:tcBorders>
              <w:left w:val="single" w:sz="8" w:color="auto"/>
              <w:right w:val="single" w:sz="8" w:color="auto"/>
            </w:tcBorders>
          </w:tcPr>
          <w:p>
            <w:pPr>
              <w:jc w:val="right"/>
              <w:ind w:right="5570"/>
              <w:spacing w:after="0"/>
              <w:rPr>
                <w:sz w:val="20"/>
                <w:szCs w:val="20"/>
                <w:color w:val="auto"/>
              </w:rPr>
            </w:pPr>
            <w:r>
              <w:rPr>
                <w:rFonts w:ascii="Arial" w:cs="Arial" w:eastAsia="Arial" w:hAnsi="Arial"/>
                <w:sz w:val="18"/>
                <w:szCs w:val="18"/>
                <w:color w:val="auto"/>
              </w:rPr>
              <w:t>[*****]</w:t>
            </w:r>
          </w:p>
        </w:tc>
        <w:tc>
          <w:tcPr>
            <w:tcW w:w="4920" w:type="dxa"/>
            <w:vAlign w:val="bottom"/>
            <w:tcBorders>
              <w:right w:val="single" w:sz="8" w:color="auto"/>
            </w:tcBorders>
          </w:tcPr>
          <w:p>
            <w:pPr>
              <w:jc w:val="right"/>
              <w:ind w:right="4190"/>
              <w:spacing w:after="0"/>
              <w:rPr>
                <w:sz w:val="20"/>
                <w:szCs w:val="20"/>
                <w:color w:val="auto"/>
              </w:rPr>
            </w:pPr>
            <w:r>
              <w:rPr>
                <w:rFonts w:ascii="Arial" w:cs="Arial" w:eastAsia="Arial" w:hAnsi="Arial"/>
                <w:sz w:val="18"/>
                <w:szCs w:val="18"/>
                <w:color w:val="auto"/>
              </w:rPr>
              <w:t>[*****]</w:t>
            </w:r>
          </w:p>
        </w:tc>
      </w:tr>
      <w:tr>
        <w:trPr>
          <w:trHeight w:val="27"/>
        </w:trPr>
        <w:tc>
          <w:tcPr>
            <w:tcW w:w="6320" w:type="dxa"/>
            <w:vAlign w:val="bottom"/>
            <w:tcBorders>
              <w:left w:val="single" w:sz="8" w:color="auto"/>
              <w:bottom w:val="single" w:sz="8" w:color="auto"/>
              <w:right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r>
      <w:tr>
        <w:trPr>
          <w:trHeight w:val="237"/>
        </w:trPr>
        <w:tc>
          <w:tcPr>
            <w:tcW w:w="6320" w:type="dxa"/>
            <w:vAlign w:val="bottom"/>
            <w:tcBorders>
              <w:left w:val="single" w:sz="8" w:color="auto"/>
              <w:right w:val="single" w:sz="8" w:color="auto"/>
            </w:tcBorders>
          </w:tcPr>
          <w:p>
            <w:pPr>
              <w:jc w:val="right"/>
              <w:ind w:right="5570"/>
              <w:spacing w:after="0"/>
              <w:rPr>
                <w:sz w:val="20"/>
                <w:szCs w:val="20"/>
                <w:color w:val="auto"/>
              </w:rPr>
            </w:pPr>
            <w:r>
              <w:rPr>
                <w:rFonts w:ascii="Arial" w:cs="Arial" w:eastAsia="Arial" w:hAnsi="Arial"/>
                <w:sz w:val="18"/>
                <w:szCs w:val="18"/>
                <w:color w:val="auto"/>
              </w:rPr>
              <w:t>[*****]</w:t>
            </w:r>
          </w:p>
        </w:tc>
        <w:tc>
          <w:tcPr>
            <w:tcW w:w="4920" w:type="dxa"/>
            <w:vAlign w:val="bottom"/>
            <w:tcBorders>
              <w:right w:val="single" w:sz="8" w:color="auto"/>
            </w:tcBorders>
          </w:tcPr>
          <w:p>
            <w:pPr>
              <w:jc w:val="right"/>
              <w:ind w:right="4190"/>
              <w:spacing w:after="0"/>
              <w:rPr>
                <w:sz w:val="20"/>
                <w:szCs w:val="20"/>
                <w:color w:val="auto"/>
              </w:rPr>
            </w:pPr>
            <w:r>
              <w:rPr>
                <w:rFonts w:ascii="Arial" w:cs="Arial" w:eastAsia="Arial" w:hAnsi="Arial"/>
                <w:sz w:val="18"/>
                <w:szCs w:val="18"/>
                <w:color w:val="auto"/>
              </w:rPr>
              <w:t>[*****]</w:t>
            </w:r>
          </w:p>
        </w:tc>
      </w:tr>
      <w:tr>
        <w:trPr>
          <w:trHeight w:val="27"/>
        </w:trPr>
        <w:tc>
          <w:tcPr>
            <w:tcW w:w="6320" w:type="dxa"/>
            <w:vAlign w:val="bottom"/>
            <w:tcBorders>
              <w:left w:val="single" w:sz="8" w:color="auto"/>
              <w:bottom w:val="single" w:sz="8" w:color="auto"/>
              <w:right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r>
      <w:tr>
        <w:trPr>
          <w:trHeight w:val="237"/>
        </w:trPr>
        <w:tc>
          <w:tcPr>
            <w:tcW w:w="6320" w:type="dxa"/>
            <w:vAlign w:val="bottom"/>
            <w:tcBorders>
              <w:left w:val="single" w:sz="8" w:color="auto"/>
              <w:right w:val="single" w:sz="8" w:color="auto"/>
            </w:tcBorders>
          </w:tcPr>
          <w:p>
            <w:pPr>
              <w:jc w:val="right"/>
              <w:ind w:right="5570"/>
              <w:spacing w:after="0"/>
              <w:rPr>
                <w:sz w:val="20"/>
                <w:szCs w:val="20"/>
                <w:color w:val="auto"/>
              </w:rPr>
            </w:pPr>
            <w:r>
              <w:rPr>
                <w:rFonts w:ascii="Arial" w:cs="Arial" w:eastAsia="Arial" w:hAnsi="Arial"/>
                <w:sz w:val="18"/>
                <w:szCs w:val="18"/>
                <w:color w:val="auto"/>
              </w:rPr>
              <w:t>[*****]</w:t>
            </w:r>
          </w:p>
        </w:tc>
        <w:tc>
          <w:tcPr>
            <w:tcW w:w="4920" w:type="dxa"/>
            <w:vAlign w:val="bottom"/>
            <w:tcBorders>
              <w:right w:val="single" w:sz="8" w:color="auto"/>
            </w:tcBorders>
          </w:tcPr>
          <w:p>
            <w:pPr>
              <w:jc w:val="right"/>
              <w:ind w:right="4190"/>
              <w:spacing w:after="0"/>
              <w:rPr>
                <w:sz w:val="20"/>
                <w:szCs w:val="20"/>
                <w:color w:val="auto"/>
              </w:rPr>
            </w:pPr>
            <w:r>
              <w:rPr>
                <w:rFonts w:ascii="Arial" w:cs="Arial" w:eastAsia="Arial" w:hAnsi="Arial"/>
                <w:sz w:val="18"/>
                <w:szCs w:val="18"/>
                <w:color w:val="auto"/>
              </w:rPr>
              <w:t>[*****]</w:t>
            </w:r>
          </w:p>
        </w:tc>
      </w:tr>
      <w:tr>
        <w:trPr>
          <w:trHeight w:val="27"/>
        </w:trPr>
        <w:tc>
          <w:tcPr>
            <w:tcW w:w="6320" w:type="dxa"/>
            <w:vAlign w:val="bottom"/>
            <w:tcBorders>
              <w:left w:val="single" w:sz="8" w:color="auto"/>
              <w:bottom w:val="single" w:sz="8" w:color="auto"/>
              <w:right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r>
      <w:tr>
        <w:trPr>
          <w:trHeight w:val="237"/>
        </w:trPr>
        <w:tc>
          <w:tcPr>
            <w:tcW w:w="6320" w:type="dxa"/>
            <w:vAlign w:val="bottom"/>
            <w:tcBorders>
              <w:left w:val="single" w:sz="8" w:color="auto"/>
              <w:right w:val="single" w:sz="8" w:color="auto"/>
            </w:tcBorders>
          </w:tcPr>
          <w:p>
            <w:pPr>
              <w:jc w:val="right"/>
              <w:ind w:right="5570"/>
              <w:spacing w:after="0"/>
              <w:rPr>
                <w:sz w:val="20"/>
                <w:szCs w:val="20"/>
                <w:color w:val="auto"/>
              </w:rPr>
            </w:pPr>
            <w:r>
              <w:rPr>
                <w:rFonts w:ascii="Arial" w:cs="Arial" w:eastAsia="Arial" w:hAnsi="Arial"/>
                <w:sz w:val="18"/>
                <w:szCs w:val="18"/>
                <w:color w:val="auto"/>
              </w:rPr>
              <w:t>[*****]</w:t>
            </w:r>
          </w:p>
        </w:tc>
        <w:tc>
          <w:tcPr>
            <w:tcW w:w="4920" w:type="dxa"/>
            <w:vAlign w:val="bottom"/>
            <w:tcBorders>
              <w:right w:val="single" w:sz="8" w:color="auto"/>
            </w:tcBorders>
          </w:tcPr>
          <w:p>
            <w:pPr>
              <w:jc w:val="right"/>
              <w:ind w:right="4190"/>
              <w:spacing w:after="0"/>
              <w:rPr>
                <w:sz w:val="20"/>
                <w:szCs w:val="20"/>
                <w:color w:val="auto"/>
              </w:rPr>
            </w:pPr>
            <w:r>
              <w:rPr>
                <w:rFonts w:ascii="Arial" w:cs="Arial" w:eastAsia="Arial" w:hAnsi="Arial"/>
                <w:sz w:val="18"/>
                <w:szCs w:val="18"/>
                <w:color w:val="auto"/>
              </w:rPr>
              <w:t>[*****]</w:t>
            </w:r>
          </w:p>
        </w:tc>
      </w:tr>
      <w:tr>
        <w:trPr>
          <w:trHeight w:val="27"/>
        </w:trPr>
        <w:tc>
          <w:tcPr>
            <w:tcW w:w="6320" w:type="dxa"/>
            <w:vAlign w:val="bottom"/>
            <w:tcBorders>
              <w:left w:val="single" w:sz="8" w:color="auto"/>
              <w:bottom w:val="single" w:sz="8" w:color="auto"/>
              <w:right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r>
    </w:tbl>
    <w:p>
      <w:pPr>
        <w:ind w:left="1114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A new Section 4.2b is hereby added after Section 4.2 of Exhibit 1.54 of the Development and Option Agreement as follows, but only in respect of each Non-exclusive License Agreement that results from an exercise of an Extension Term Option.</w:t>
      </w:r>
    </w:p>
    <w:p>
      <w:pPr>
        <w:spacing w:after="0" w:line="170" w:lineRule="exact"/>
        <w:rPr>
          <w:sz w:val="20"/>
          <w:szCs w:val="20"/>
          <w:color w:val="auto"/>
        </w:rPr>
      </w:pPr>
    </w:p>
    <w:p>
      <w:pPr>
        <w:jc w:val="both"/>
        <w:ind w:left="660" w:firstLine="648"/>
        <w:spacing w:after="0" w:line="269" w:lineRule="auto"/>
        <w:rPr>
          <w:sz w:val="20"/>
          <w:szCs w:val="20"/>
          <w:color w:val="auto"/>
        </w:rPr>
      </w:pPr>
      <w:r>
        <w:rPr>
          <w:rFonts w:ascii="Arial" w:cs="Arial" w:eastAsia="Arial" w:hAnsi="Arial"/>
          <w:sz w:val="17"/>
          <w:szCs w:val="17"/>
          <w:color w:val="auto"/>
        </w:rPr>
        <w:t xml:space="preserve">“4.2b </w:t>
      </w:r>
      <w:r>
        <w:rPr>
          <w:rFonts w:ascii="Arial" w:cs="Arial" w:eastAsia="Arial" w:hAnsi="Arial"/>
          <w:sz w:val="17"/>
          <w:szCs w:val="17"/>
          <w:u w:val="single" w:color="auto"/>
          <w:color w:val="auto"/>
        </w:rPr>
        <w:t>License Maintenance Fee</w:t>
      </w:r>
      <w:r>
        <w:rPr>
          <w:rFonts w:ascii="Arial" w:cs="Arial" w:eastAsia="Arial" w:hAnsi="Arial"/>
          <w:sz w:val="17"/>
          <w:szCs w:val="17"/>
          <w:color w:val="auto"/>
        </w:rPr>
        <w:t xml:space="preserve">. On the [*****] anniversary of the Effective Date, and on each of the next [*****] subsequent anniversaries thereof, Acuitas shall be due a license maintenance fee from CureVac, for maintaining the license for [*****] starting on such anniversary, in an amount of: (i) [*****] (U.S. $[*****]) per year for this License Agreement being in respect of Licensed Product that is </w:t>
      </w:r>
      <w:r>
        <w:rPr>
          <w:rFonts w:ascii="Arial" w:cs="Arial" w:eastAsia="Arial" w:hAnsi="Arial"/>
          <w:sz w:val="17"/>
          <w:szCs w:val="17"/>
          <w:b w:val="1"/>
          <w:bCs w:val="1"/>
          <w:color w:val="auto"/>
        </w:rPr>
        <w:t>not</w:t>
      </w:r>
      <w:r>
        <w:rPr>
          <w:rFonts w:ascii="Arial" w:cs="Arial" w:eastAsia="Arial" w:hAnsi="Arial"/>
          <w:sz w:val="17"/>
          <w:szCs w:val="17"/>
          <w:color w:val="auto"/>
        </w:rPr>
        <w:t xml:space="preserve"> Licensed Vaccine Product; or (ii) [*****] (U.S. $[*****]) per year for this License Agreement being in respect of Licensed Product that </w:t>
      </w:r>
      <w:r>
        <w:rPr>
          <w:rFonts w:ascii="Arial" w:cs="Arial" w:eastAsia="Arial" w:hAnsi="Arial"/>
          <w:sz w:val="17"/>
          <w:szCs w:val="17"/>
          <w:b w:val="1"/>
          <w:bCs w:val="1"/>
          <w:color w:val="auto"/>
        </w:rPr>
        <w:t>is</w:t>
      </w:r>
      <w:r>
        <w:rPr>
          <w:rFonts w:ascii="Arial" w:cs="Arial" w:eastAsia="Arial" w:hAnsi="Arial"/>
          <w:sz w:val="17"/>
          <w:szCs w:val="17"/>
          <w:color w:val="auto"/>
        </w:rPr>
        <w:t xml:space="preserve"> Licensed Vaccine Product (each, a “</w:t>
      </w:r>
      <w:r>
        <w:rPr>
          <w:rFonts w:ascii="Arial" w:cs="Arial" w:eastAsia="Arial" w:hAnsi="Arial"/>
          <w:sz w:val="17"/>
          <w:szCs w:val="17"/>
          <w:u w:val="single" w:color="auto"/>
          <w:color w:val="auto"/>
        </w:rPr>
        <w:t>License Maintenance Fee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in each case no such License Maintenance Fee shall be due or payable [*****]. Any License Maintenance Fees due under this License Agreement will be payable to Acuitas by CureVac within [*****] of receipt of a respective invoice from Acuitas issued within [*****] of the respective anniversary, and any and all such License Maintenance Fees actually paid </w:t>
      </w:r>
      <w:r>
        <w:rPr>
          <w:rFonts w:ascii="Arial" w:cs="Arial" w:eastAsia="Arial" w:hAnsi="Arial"/>
          <w:sz w:val="17"/>
          <w:szCs w:val="17"/>
          <w:b w:val="1"/>
          <w:bCs w:val="1"/>
          <w:color w:val="auto"/>
        </w:rPr>
        <w:t>will be creditable</w:t>
      </w:r>
      <w:r>
        <w:rPr>
          <w:rFonts w:ascii="Arial" w:cs="Arial" w:eastAsia="Arial" w:hAnsi="Arial"/>
          <w:sz w:val="17"/>
          <w:szCs w:val="17"/>
          <w:color w:val="auto"/>
        </w:rPr>
        <w:t xml:space="preserve">, up to a maximum amount of: (a) [*****] (U.S. $[*****]) for Licensed Product that is </w:t>
      </w:r>
      <w:r>
        <w:rPr>
          <w:rFonts w:ascii="Arial" w:cs="Arial" w:eastAsia="Arial" w:hAnsi="Arial"/>
          <w:sz w:val="17"/>
          <w:szCs w:val="17"/>
          <w:b w:val="1"/>
          <w:bCs w:val="1"/>
          <w:color w:val="auto"/>
        </w:rPr>
        <w:t>not</w:t>
      </w:r>
      <w:r>
        <w:rPr>
          <w:rFonts w:ascii="Arial" w:cs="Arial" w:eastAsia="Arial" w:hAnsi="Arial"/>
          <w:sz w:val="17"/>
          <w:szCs w:val="17"/>
          <w:color w:val="auto"/>
        </w:rPr>
        <w:t xml:space="preserve"> Licensed Vaccine Product; or (b) [*****] (U.S. $[*****] for Licensed Product that </w:t>
      </w:r>
      <w:r>
        <w:rPr>
          <w:rFonts w:ascii="Arial" w:cs="Arial" w:eastAsia="Arial" w:hAnsi="Arial"/>
          <w:sz w:val="17"/>
          <w:szCs w:val="17"/>
          <w:b w:val="1"/>
          <w:bCs w:val="1"/>
          <w:color w:val="auto"/>
        </w:rPr>
        <w:t>is</w:t>
      </w:r>
      <w:r>
        <w:rPr>
          <w:rFonts w:ascii="Arial" w:cs="Arial" w:eastAsia="Arial" w:hAnsi="Arial"/>
          <w:sz w:val="17"/>
          <w:szCs w:val="17"/>
          <w:color w:val="auto"/>
        </w:rPr>
        <w:t xml:space="preserve"> Licensed Vaccine Product, in each case against the Milestone Payment payable under this License Agreement in respect of the [*****].”</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468" w:name="page469"/>
    <w:bookmarkEnd w:id="468"/>
    <w:p>
      <w:pPr>
        <w:ind w:left="660" w:hanging="647"/>
        <w:spacing w:after="0" w:line="308" w:lineRule="auto"/>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color w:val="auto"/>
        </w:rPr>
        <w:t>Section 4.3(a) of Exhibit 1.54 of the Development and Option Agreement is hereby replaced in its entirety with the following amended Section, but only in respect of each Non-exclusive License Agreement that results from an exercise of an Extension Term Option.</w:t>
      </w:r>
    </w:p>
    <w:p>
      <w:pPr>
        <w:spacing w:after="0" w:line="146"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Royalty.</w:t>
      </w:r>
      <w:r>
        <w:rPr>
          <w:rFonts w:ascii="Arial" w:cs="Arial" w:eastAsia="Arial" w:hAnsi="Arial"/>
          <w:sz w:val="18"/>
          <w:szCs w:val="18"/>
          <w:color w:val="auto"/>
        </w:rPr>
        <w:t xml:space="preserve"> Subject to the remainder of this Section 4.3, on a country-by-country basis and a Covered Product-by-Covered Product basis, "</w:t>
      </w:r>
      <w:r>
        <w:rPr>
          <w:rFonts w:ascii="Arial" w:cs="Arial" w:eastAsia="Arial" w:hAnsi="Arial"/>
          <w:sz w:val="18"/>
          <w:szCs w:val="18"/>
          <w:b w:val="1"/>
          <w:bCs w:val="1"/>
          <w:color w:val="auto"/>
        </w:rPr>
        <w:t>Covered Product</w:t>
      </w:r>
      <w:r>
        <w:rPr>
          <w:rFonts w:ascii="Arial" w:cs="Arial" w:eastAsia="Arial" w:hAnsi="Arial"/>
          <w:sz w:val="18"/>
          <w:szCs w:val="18"/>
          <w:color w:val="auto"/>
        </w:rPr>
        <w:t xml:space="preserve">" being a Licensed Product which is Covered by one or more Valid Claims, CureVac will pay to Acuitas a royalty of [*****] ([*****]%) of Net Sales of the Covered Product that is </w:t>
      </w:r>
      <w:r>
        <w:rPr>
          <w:rFonts w:ascii="Arial" w:cs="Arial" w:eastAsia="Arial" w:hAnsi="Arial"/>
          <w:sz w:val="18"/>
          <w:szCs w:val="18"/>
          <w:b w:val="1"/>
          <w:bCs w:val="1"/>
          <w:color w:val="auto"/>
        </w:rPr>
        <w:t>not</w:t>
      </w:r>
      <w:r>
        <w:rPr>
          <w:rFonts w:ascii="Arial" w:cs="Arial" w:eastAsia="Arial" w:hAnsi="Arial"/>
          <w:sz w:val="18"/>
          <w:szCs w:val="18"/>
          <w:color w:val="auto"/>
        </w:rPr>
        <w:t xml:space="preserve"> a Licensed Vaccine Product, or will pay to Acuitas a royalty of [*****] ([*****]%) of Net Sales for the Covered Product that </w:t>
      </w:r>
      <w:r>
        <w:rPr>
          <w:rFonts w:ascii="Arial" w:cs="Arial" w:eastAsia="Arial" w:hAnsi="Arial"/>
          <w:sz w:val="18"/>
          <w:szCs w:val="18"/>
          <w:b w:val="1"/>
          <w:bCs w:val="1"/>
          <w:color w:val="auto"/>
        </w:rPr>
        <w:t>is</w:t>
      </w:r>
      <w:r>
        <w:rPr>
          <w:rFonts w:ascii="Arial" w:cs="Arial" w:eastAsia="Arial" w:hAnsi="Arial"/>
          <w:sz w:val="18"/>
          <w:szCs w:val="18"/>
          <w:color w:val="auto"/>
        </w:rPr>
        <w:t xml:space="preserve"> a Licensed Vaccine Product. On a country-by-country basis, in the event a Licensed Product is not a Covered Product in such country, CureVac will pay to Acuitas a royalty on Net Sales equal to the Minimum Royalty set forth in subsection (c) below.”</w:t>
      </w:r>
    </w:p>
    <w:p>
      <w:pPr>
        <w:spacing w:after="0" w:line="192"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color w:val="auto"/>
        </w:rPr>
        <w:t>Section 4.3(c) of Exhibit 1.54 of the Development and Option Agreement is hereby replaced in its entirety with the following amended Section, but only in respect of each Non-exclusive License Agreement that results from an exercise of an Extension Term Option.</w:t>
      </w:r>
    </w:p>
    <w:p>
      <w:pPr>
        <w:spacing w:after="0" w:line="170"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color w:val="auto"/>
        </w:rPr>
        <w:t>Minimum Royalty</w:t>
      </w:r>
      <w:r>
        <w:rPr>
          <w:rFonts w:ascii="Arial" w:cs="Arial" w:eastAsia="Arial" w:hAnsi="Arial"/>
          <w:sz w:val="18"/>
          <w:szCs w:val="18"/>
          <w:color w:val="auto"/>
        </w:rPr>
        <w:t xml:space="preserve">. Except as set forth in subsection (d) below, in no event will the Royalty payable by CureVac to Acuitas for any Licensed Product (whether or not a Covered Product) be less than: (i) [*****] ([*****]%) for any Licensed Product that is </w:t>
      </w:r>
      <w:r>
        <w:rPr>
          <w:rFonts w:ascii="Arial" w:cs="Arial" w:eastAsia="Arial" w:hAnsi="Arial"/>
          <w:sz w:val="18"/>
          <w:szCs w:val="18"/>
          <w:b w:val="1"/>
          <w:bCs w:val="1"/>
          <w:color w:val="auto"/>
        </w:rPr>
        <w:t>not</w:t>
      </w:r>
      <w:r>
        <w:rPr>
          <w:rFonts w:ascii="Arial" w:cs="Arial" w:eastAsia="Arial" w:hAnsi="Arial"/>
          <w:sz w:val="18"/>
          <w:szCs w:val="18"/>
          <w:color w:val="auto"/>
        </w:rPr>
        <w:t xml:space="preserve"> a Licensed Vaccine Product; (ii) or [*****] ([*****]%) for any Licensed Product that </w:t>
      </w:r>
      <w:r>
        <w:rPr>
          <w:rFonts w:ascii="Arial" w:cs="Arial" w:eastAsia="Arial" w:hAnsi="Arial"/>
          <w:sz w:val="18"/>
          <w:szCs w:val="18"/>
          <w:b w:val="1"/>
          <w:bCs w:val="1"/>
          <w:color w:val="auto"/>
        </w:rPr>
        <w:t>is</w:t>
      </w:r>
      <w:r>
        <w:rPr>
          <w:rFonts w:ascii="Arial" w:cs="Arial" w:eastAsia="Arial" w:hAnsi="Arial"/>
          <w:sz w:val="18"/>
          <w:szCs w:val="18"/>
          <w:color w:val="auto"/>
        </w:rPr>
        <w:t xml:space="preserve"> a Licensed Vaccine Product.”</w:t>
      </w:r>
    </w:p>
    <w:p>
      <w:pPr>
        <w:spacing w:after="0" w:line="184" w:lineRule="exact"/>
        <w:rPr>
          <w:sz w:val="20"/>
          <w:szCs w:val="20"/>
          <w:color w:val="auto"/>
        </w:rPr>
      </w:pPr>
    </w:p>
    <w:p>
      <w:pPr>
        <w:ind w:left="660" w:hanging="647"/>
        <w:spacing w:after="0" w:line="308" w:lineRule="auto"/>
        <w:tabs>
          <w:tab w:leader="none" w:pos="6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7"/>
          <w:szCs w:val="17"/>
          <w:color w:val="auto"/>
        </w:rPr>
        <w:t>Section 4.3(d) of Exhibit 1.54 of the Development and Option Agreement is hereby replaced in its entirety with the following amended Section, but only in respect of each Non-exclusive License Agreement that results from an exercise of an Extension Term Option.</w:t>
      </w:r>
    </w:p>
    <w:p>
      <w:pPr>
        <w:spacing w:after="0" w:line="146" w:lineRule="exact"/>
        <w:rPr>
          <w:sz w:val="20"/>
          <w:szCs w:val="20"/>
          <w:color w:val="auto"/>
        </w:rPr>
      </w:pPr>
    </w:p>
    <w:p>
      <w:pPr>
        <w:jc w:val="both"/>
        <w:ind w:left="660" w:firstLine="648"/>
        <w:spacing w:after="0" w:line="296"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i w:val="1"/>
          <w:iCs w:val="1"/>
          <w:color w:val="auto"/>
        </w:rPr>
        <w:t>Alternative Royalty</w:t>
      </w:r>
      <w:r>
        <w:rPr>
          <w:rFonts w:ascii="Arial" w:cs="Arial" w:eastAsia="Arial" w:hAnsi="Arial"/>
          <w:sz w:val="16"/>
          <w:szCs w:val="16"/>
          <w:color w:val="auto"/>
        </w:rPr>
        <w:t>. If CureVac sublicenses a Licensed Product to a Sublicensee, CureVac may elect to substitute the royalty payments set forth in subparagraphs (a) and (c) above for alternative royalty payments consisting of all of the payments set forth in this subparagraph (d) (each or collectively, as applicable, the “</w:t>
      </w:r>
      <w:r>
        <w:rPr>
          <w:rFonts w:ascii="Arial" w:cs="Arial" w:eastAsia="Arial" w:hAnsi="Arial"/>
          <w:sz w:val="16"/>
          <w:szCs w:val="16"/>
          <w:u w:val="single" w:color="auto"/>
          <w:color w:val="auto"/>
        </w:rPr>
        <w:t>Alternative Royalty/ies</w:t>
      </w:r>
      <w:r>
        <w:rPr>
          <w:rFonts w:ascii="Arial" w:cs="Arial" w:eastAsia="Arial" w:hAnsi="Arial"/>
          <w:sz w:val="16"/>
          <w:szCs w:val="16"/>
          <w:color w:val="auto"/>
        </w:rPr>
        <w:t>”). CureVac will be entitled to make such election by providing Acuitas with written notice thereof within [*****] of the effective date of the respective sublicense, and cannot change such election afterwards, provided that if CureVac grants several sublicenses under a License Agreement, such election can be made separately for each sublicense.</w:t>
      </w:r>
    </w:p>
    <w:p>
      <w:pPr>
        <w:spacing w:after="0" w:line="161" w:lineRule="exact"/>
        <w:rPr>
          <w:sz w:val="20"/>
          <w:szCs w:val="20"/>
          <w:color w:val="auto"/>
        </w:rPr>
      </w:pPr>
    </w:p>
    <w:p>
      <w:pPr>
        <w:jc w:val="both"/>
        <w:ind w:left="1280" w:firstLine="6"/>
        <w:spacing w:after="0" w:line="293" w:lineRule="auto"/>
        <w:tabs>
          <w:tab w:leader="none" w:pos="1760" w:val="left"/>
        </w:tabs>
        <w:numPr>
          <w:ilvl w:val="0"/>
          <w:numId w:val="319"/>
        </w:numPr>
        <w:rPr>
          <w:rFonts w:ascii="Arial" w:cs="Arial" w:eastAsia="Arial" w:hAnsi="Arial"/>
          <w:sz w:val="16"/>
          <w:szCs w:val="16"/>
          <w:color w:val="auto"/>
        </w:rPr>
      </w:pPr>
      <w:r>
        <w:rPr>
          <w:rFonts w:ascii="Arial" w:cs="Arial" w:eastAsia="Arial" w:hAnsi="Arial"/>
          <w:sz w:val="16"/>
          <w:szCs w:val="16"/>
          <w:u w:val="single" w:color="auto"/>
          <w:color w:val="auto"/>
        </w:rPr>
        <w:t>Sublicensee Royalties</w:t>
      </w:r>
      <w:r>
        <w:rPr>
          <w:rFonts w:ascii="Arial" w:cs="Arial" w:eastAsia="Arial" w:hAnsi="Arial"/>
          <w:sz w:val="16"/>
          <w:szCs w:val="16"/>
          <w:color w:val="auto"/>
        </w:rPr>
        <w:t>. CureVac will pay to Acuitas, on a Calendar Quarter-by-Calendar Quarter basis, [*****] ([*****]%) of the net royalty payments that CureVac actually receives from such Sublicensee for net sales of Licensed Product under the sublicense hereunder after any deductions for royalties CureVac actually pays under any license agreement for Technology that Covers a Licensed Product and CureVac or its Affiliate or Sublicensee, in its reasonable judgment, considers it necessary or useful to obtain a license to develop, manufacture or commercialize such Licensed Product (“</w:t>
      </w:r>
      <w:r>
        <w:rPr>
          <w:rFonts w:ascii="Arial" w:cs="Arial" w:eastAsia="Arial" w:hAnsi="Arial"/>
          <w:sz w:val="16"/>
          <w:szCs w:val="16"/>
          <w:u w:val="single" w:color="auto"/>
          <w:color w:val="auto"/>
        </w:rPr>
        <w:t>Revised Royalty</w:t>
      </w:r>
      <w:r>
        <w:rPr>
          <w:rFonts w:ascii="Arial" w:cs="Arial" w:eastAsia="Arial" w:hAnsi="Arial"/>
          <w:sz w:val="16"/>
          <w:szCs w:val="16"/>
          <w:color w:val="auto"/>
        </w:rPr>
        <w:t>”). CureVac warrants to Acuitas that it will use commercially reasonable efforts to maximize royalties in sublicensing transactions in which it elects to pay Alternative Royalties.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9" w:name="page470"/>
    <w:bookmarkEnd w:id="469"/>
    <w:p>
      <w:pPr>
        <w:jc w:val="both"/>
        <w:ind w:left="1280" w:firstLine="6"/>
        <w:spacing w:after="0" w:line="263" w:lineRule="auto"/>
        <w:tabs>
          <w:tab w:leader="none" w:pos="1770"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Sublicensee Upfront Payments</w:t>
      </w:r>
      <w:r>
        <w:rPr>
          <w:rFonts w:ascii="Arial" w:cs="Arial" w:eastAsia="Arial" w:hAnsi="Arial"/>
          <w:sz w:val="18"/>
          <w:szCs w:val="18"/>
          <w:color w:val="auto"/>
        </w:rPr>
        <w:t>. In the event that CureVac elects to take a Revised Royalty, CureVac will, in addition to the Revised Royalty, pay Acuitas [*****] ([*****]%) of the Upfront Payments actually received by CureVac from such Sublicensee for such sublicense rights. “</w:t>
      </w:r>
      <w:r>
        <w:rPr>
          <w:rFonts w:ascii="Arial" w:cs="Arial" w:eastAsia="Arial" w:hAnsi="Arial"/>
          <w:sz w:val="18"/>
          <w:szCs w:val="18"/>
          <w:u w:val="single" w:color="auto"/>
          <w:color w:val="auto"/>
        </w:rPr>
        <w:t>Upfront Payments</w:t>
      </w:r>
      <w:r>
        <w:rPr>
          <w:rFonts w:ascii="Arial" w:cs="Arial" w:eastAsia="Arial" w:hAnsi="Arial"/>
          <w:sz w:val="18"/>
          <w:szCs w:val="18"/>
          <w:color w:val="auto"/>
        </w:rPr>
        <w:t>” means the [*****].</w:t>
      </w:r>
    </w:p>
    <w:p>
      <w:pPr>
        <w:spacing w:after="0" w:line="183" w:lineRule="exact"/>
        <w:rPr>
          <w:rFonts w:ascii="Arial" w:cs="Arial" w:eastAsia="Arial" w:hAnsi="Arial"/>
          <w:sz w:val="18"/>
          <w:szCs w:val="18"/>
          <w:color w:val="auto"/>
        </w:rPr>
      </w:pPr>
    </w:p>
    <w:p>
      <w:pPr>
        <w:jc w:val="both"/>
        <w:ind w:left="1280" w:firstLine="6"/>
        <w:spacing w:after="0" w:line="259" w:lineRule="auto"/>
        <w:tabs>
          <w:tab w:leader="none" w:pos="1901"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Sublicensee Sales-based Milestones</w:t>
      </w:r>
      <w:r>
        <w:rPr>
          <w:rFonts w:ascii="Arial" w:cs="Arial" w:eastAsia="Arial" w:hAnsi="Arial"/>
          <w:sz w:val="18"/>
          <w:szCs w:val="18"/>
          <w:color w:val="auto"/>
        </w:rPr>
        <w:t>. In addition, in the event and to the extent such sublicense hereunder includes Sales-based Milestones for Licensed Product, CureVac will pay to Acuitas [*****] ([*****]%) of such sales-based milestones as CureVac actually receives from such Sublicensee. “</w:t>
      </w:r>
      <w:r>
        <w:rPr>
          <w:rFonts w:ascii="Arial" w:cs="Arial" w:eastAsia="Arial" w:hAnsi="Arial"/>
          <w:sz w:val="18"/>
          <w:szCs w:val="18"/>
          <w:u w:val="single" w:color="auto"/>
          <w:color w:val="auto"/>
        </w:rPr>
        <w:t>Sales-based Milestones</w:t>
      </w:r>
      <w:r>
        <w:rPr>
          <w:rFonts w:ascii="Arial" w:cs="Arial" w:eastAsia="Arial" w:hAnsi="Arial"/>
          <w:sz w:val="18"/>
          <w:szCs w:val="18"/>
          <w:color w:val="auto"/>
        </w:rPr>
        <w:t>” means milestone payment based on net sales, units sold, market share or any other commercial measure.”</w:t>
      </w:r>
    </w:p>
    <w:p>
      <w:pPr>
        <w:spacing w:after="0" w:line="186" w:lineRule="exact"/>
        <w:rPr>
          <w:rFonts w:ascii="Arial" w:cs="Arial" w:eastAsia="Arial" w:hAnsi="Arial"/>
          <w:sz w:val="18"/>
          <w:szCs w:val="18"/>
          <w:color w:val="auto"/>
        </w:rPr>
      </w:pPr>
    </w:p>
    <w:p>
      <w:pPr>
        <w:jc w:val="both"/>
        <w:ind w:left="1280" w:firstLine="6"/>
        <w:spacing w:after="0" w:line="301" w:lineRule="auto"/>
        <w:tabs>
          <w:tab w:leader="none" w:pos="1813" w:val="left"/>
        </w:tabs>
        <w:numPr>
          <w:ilvl w:val="0"/>
          <w:numId w:val="320"/>
        </w:numPr>
        <w:rPr>
          <w:rFonts w:ascii="Arial" w:cs="Arial" w:eastAsia="Arial" w:hAnsi="Arial"/>
          <w:sz w:val="16"/>
          <w:szCs w:val="16"/>
          <w:color w:val="auto"/>
        </w:rPr>
      </w:pPr>
      <w:r>
        <w:rPr>
          <w:rFonts w:ascii="Arial" w:cs="Arial" w:eastAsia="Arial" w:hAnsi="Arial"/>
          <w:sz w:val="16"/>
          <w:szCs w:val="16"/>
          <w:color w:val="auto"/>
        </w:rPr>
        <w:t>For avoidance of doubt, if CureVac elects Alternative Royalties for a Third Party sublicense with respect to Licensed Products, the Revised Royalty, the Upfront Payments and the Sales-based Milestones will include all royalty, upfront payments and sales based milestones received by CureVac from such Sublicensee for such Licensed Products, including royalty and upfront payments made in consideration for the license to the CureVac Technology required for the Licensed Products subject to the Alternative Royalty.</w:t>
      </w:r>
    </w:p>
    <w:p>
      <w:pPr>
        <w:spacing w:after="0" w:line="157"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color w:val="auto"/>
        </w:rPr>
        <w:t>Section 4.4(c) of Exhibit 1.54 of the Development and Option Agreement is amended by appending the following text to its end, but only in respect of each Non-exclusive License Agreement that results from an exercise of an Extension Term Option or exercise of a Base Term Option for which financial terms of an Extension Term License Agreement apply.</w:t>
      </w:r>
    </w:p>
    <w:p>
      <w:pPr>
        <w:spacing w:after="0" w:line="184" w:lineRule="exact"/>
        <w:rPr>
          <w:sz w:val="20"/>
          <w:szCs w:val="20"/>
          <w:color w:val="auto"/>
        </w:rPr>
      </w:pPr>
    </w:p>
    <w:p>
      <w:pPr>
        <w:jc w:val="both"/>
        <w:ind w:left="640"/>
        <w:spacing w:after="0" w:line="291" w:lineRule="auto"/>
        <w:rPr>
          <w:sz w:val="20"/>
          <w:szCs w:val="20"/>
          <w:color w:val="auto"/>
        </w:rPr>
      </w:pPr>
      <w:r>
        <w:rPr>
          <w:rFonts w:ascii="Arial" w:cs="Arial" w:eastAsia="Arial" w:hAnsi="Arial"/>
          <w:sz w:val="16"/>
          <w:szCs w:val="16"/>
          <w:color w:val="auto"/>
        </w:rPr>
        <w:t>“In the event that CureVac elects to substitute the royalties payments set forth in subparagraphs (a) and (c) of Section 4.3 above for the Alternative Royalty, then (x) in addition to the foregoing reporting obligations, CureVac shall (a) furnish Acuitas an alternative written report (“</w:t>
      </w:r>
      <w:r>
        <w:rPr>
          <w:rFonts w:ascii="Arial" w:cs="Arial" w:eastAsia="Arial" w:hAnsi="Arial"/>
          <w:sz w:val="16"/>
          <w:szCs w:val="16"/>
          <w:u w:val="single" w:color="auto"/>
          <w:color w:val="auto"/>
        </w:rPr>
        <w:t>Alternative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Report</w:t>
      </w:r>
      <w:r>
        <w:rPr>
          <w:rFonts w:ascii="Arial" w:cs="Arial" w:eastAsia="Arial" w:hAnsi="Arial"/>
          <w:sz w:val="16"/>
          <w:szCs w:val="16"/>
          <w:color w:val="auto"/>
        </w:rPr>
        <w:t>”) for each Calendar Quarter showing the amount of Revised Royalty, Upfront Payment and/or Sales-based Milestones (as applicable) received from the respective Sublicensee and the Alterative Royalty due for such Calendar Quarter and (b) a reasonably redacted copy of such sublicense agreement as set forth in Section 2.3(b)(ii), but disclosing all financial terms. Alternative Reports shall be provided within [*****] of the end of the Calendar Quarter for which any Alternative Royalties are due; and (y) notwithstanding the foregoing payment obligation, instead, Alternative Royalty payments for each such Calendar Quarter shall be due at the same time as the Alternative Reports for such Calendar Quarter.”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0" w:name="page471"/>
    <w:bookmarkEnd w:id="470"/>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8"/>
          <w:szCs w:val="18"/>
          <w:color w:val="auto"/>
        </w:rPr>
        <w:t>For clarity, any Non-exclusive License Agreement for which Base Term Option license financial terms apply, Article 4 of Exhibit 1.54 of the Development and Option Agreement shall remain in the form as set forth in Article 4 of Exhibit 1.54 of the Development and Option Agreement on the Effective Date.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Six.</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Amendment of the definition of “Sublicensee” in each of Exhibits 1.31, 1.54 of the Development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Agreement and each License Agreement</w:t>
      </w:r>
    </w:p>
    <w:p>
      <w:pPr>
        <w:spacing w:after="0" w:line="211"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Each of: (i) definition 1.52 of Exhibit 1.31 of the Development and Option Agreement; (ii) definition 1.52 of Exhibit 1.54 of the Development and Option Agreement; and (iii) definition 1.52 of each and all License Agreements entered into between the Parties prior to the Amendment Three Effective Date is hereby replaced in its entirety with the following amended definition:</w:t>
      </w:r>
    </w:p>
    <w:p>
      <w:pPr>
        <w:spacing w:after="0" w:line="184"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“1.52 “</w:t>
      </w:r>
      <w:r>
        <w:rPr>
          <w:rFonts w:ascii="Arial" w:cs="Arial" w:eastAsia="Arial" w:hAnsi="Arial"/>
          <w:sz w:val="18"/>
          <w:szCs w:val="18"/>
          <w:u w:val="single" w:color="auto"/>
          <w:color w:val="auto"/>
        </w:rPr>
        <w:t>Sublicensee</w:t>
      </w:r>
      <w:r>
        <w:rPr>
          <w:rFonts w:ascii="Arial" w:cs="Arial" w:eastAsia="Arial" w:hAnsi="Arial"/>
          <w:sz w:val="18"/>
          <w:szCs w:val="18"/>
          <w:color w:val="auto"/>
        </w:rPr>
        <w:t>” means any Third Party that is granted a sublicense as permitted by Section 2.3, either directly by CureVac or its Affiliates or indirectly by any other Sublicensee hereunder.”</w:t>
      </w:r>
    </w:p>
    <w:p>
      <w:pPr>
        <w:spacing w:after="0" w:line="166"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Section Seven.</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Except as amended hereby, all other provisions of the Development and Option Agreement (including Exhibit 1.54 thereof) shall remain unchanged and in full force and effect in accordance with their terms. In the event of a conflict between the terms and conditions of this Amendment and the terms and conditions of the Development and Option Agreement, the terms and conditions of this Amendment shall control.</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Amendment may be executed simultaneously in two (2) or more counterparts, and by PDF or other electronic transmission, each of which counterparts shall be deemed an original, but all of which together shall constitute one and the same instrument, provided that all such counterparts, in the aggregate, shall contain the signatures of all parties hereto.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1" w:name="page472"/>
    <w:bookmarkEnd w:id="471"/>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duly executed this Amendment as of the date first written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CUREVAC AG</w:t>
      </w:r>
    </w:p>
    <w:p>
      <w:pPr>
        <w:spacing w:after="0" w:line="229" w:lineRule="exact"/>
        <w:rPr>
          <w:sz w:val="20"/>
          <w:szCs w:val="20"/>
          <w:color w:val="auto"/>
        </w:rPr>
      </w:pPr>
    </w:p>
    <w:p>
      <w:pPr>
        <w:jc w:val="both"/>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9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7" w:lineRule="exact"/>
        <w:rPr>
          <w:sz w:val="20"/>
          <w:szCs w:val="20"/>
          <w:color w:val="auto"/>
        </w:rPr>
      </w:pPr>
    </w:p>
    <w:p>
      <w:pPr>
        <w:jc w:val="right"/>
        <w:ind w:right="875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9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9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jc w:val="both"/>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9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7" w:lineRule="exact"/>
        <w:rPr>
          <w:sz w:val="20"/>
          <w:szCs w:val="20"/>
          <w:color w:val="auto"/>
        </w:rPr>
      </w:pPr>
    </w:p>
    <w:p>
      <w:pPr>
        <w:jc w:val="right"/>
        <w:ind w:right="8759"/>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9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9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ACUITAS THERAPEUTICS INC.</w:t>
      </w:r>
    </w:p>
    <w:p>
      <w:pPr>
        <w:spacing w:after="0" w:line="229" w:lineRule="exact"/>
        <w:rPr>
          <w:sz w:val="20"/>
          <w:szCs w:val="20"/>
          <w:color w:val="auto"/>
        </w:rPr>
      </w:pPr>
    </w:p>
    <w:p>
      <w:pPr>
        <w:jc w:val="both"/>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9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7" w:lineRule="exact"/>
        <w:rPr>
          <w:sz w:val="20"/>
          <w:szCs w:val="20"/>
          <w:color w:val="auto"/>
        </w:rPr>
      </w:pPr>
    </w:p>
    <w:p>
      <w:pPr>
        <w:jc w:val="right"/>
        <w:ind w:right="8759"/>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23495</wp:posOffset>
            </wp:positionV>
            <wp:extent cx="3206115"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100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3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100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10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72" w:name="page473"/>
    <w:bookmarkEnd w:id="472"/>
    <w:p>
      <w:pPr>
        <w:jc w:val="right"/>
        <w:spacing w:after="0"/>
        <w:rPr>
          <w:sz w:val="20"/>
          <w:szCs w:val="20"/>
          <w:color w:val="auto"/>
        </w:rPr>
      </w:pPr>
      <w:r>
        <w:rPr>
          <w:rFonts w:ascii="Arial" w:cs="Arial" w:eastAsia="Arial" w:hAnsi="Arial"/>
          <w:sz w:val="18"/>
          <w:szCs w:val="18"/>
          <w:b w:val="1"/>
          <w:bCs w:val="1"/>
          <w:color w:val="auto"/>
        </w:rPr>
        <w:t>Exhibit 10.48</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REDACTED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Certain identified information, indicated by [*****], has been excluded from the exhibit because it is both (i) not material and (ii) would likely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cause competitive harm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925830" cy="43688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1003">
                      <a:extLst>
                        <a:ext uri="{28A0092B-C50C-407E-A947-70E740481C1C}"/>
                      </a:extLst>
                    </a:blip>
                    <a:srcRect/>
                    <a:stretch>
                      <a:fillRect/>
                    </a:stretch>
                  </pic:blipFill>
                  <pic:spPr bwMode="auto">
                    <a:xfrm>
                      <a:off x="0" y="0"/>
                      <a:ext cx="92583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Number 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"Framework Partnering Agreement" Dated 15 February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(CEPI Identification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5349240" cy="90868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1004">
                      <a:extLst>
                        <a:ext uri="{28A0092B-C50C-407E-A947-70E740481C1C}"/>
                      </a:extLst>
                    </a:blip>
                    <a:srcRect/>
                    <a:stretch>
                      <a:fillRect/>
                    </a:stretch>
                  </pic:blipFill>
                  <pic:spPr bwMode="auto">
                    <a:xfrm>
                      <a:off x="0" y="0"/>
                      <a:ext cx="5349240" cy="908685"/>
                    </a:xfrm>
                    <a:prstGeom prst="rect">
                      <a:avLst/>
                    </a:prstGeom>
                    <a:noFill/>
                  </pic:spPr>
                </pic:pic>
              </a:graphicData>
            </a:graphic>
          </wp:anchor>
        </w:drawing>
      </w:r>
    </w:p>
    <w:p>
      <w:pPr>
        <w:spacing w:after="0" w:line="25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COUNTERPARTY INFORMATION</w:t>
      </w:r>
    </w:p>
    <w:p>
      <w:pPr>
        <w:spacing w:after="0" w:line="3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1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Name:</w:t>
            </w:r>
          </w:p>
        </w:tc>
        <w:tc>
          <w:tcPr>
            <w:tcW w:w="63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CureVac AG (“Partner”)</w:t>
            </w:r>
          </w:p>
        </w:tc>
        <w:tc>
          <w:tcPr>
            <w:tcW w:w="2800" w:type="dxa"/>
            <w:vAlign w:val="bottom"/>
          </w:tcPr>
          <w:p>
            <w:pPr>
              <w:spacing w:after="0"/>
              <w:rPr>
                <w:sz w:val="22"/>
                <w:szCs w:val="22"/>
                <w:color w:val="auto"/>
              </w:rPr>
            </w:pPr>
          </w:p>
        </w:tc>
      </w:tr>
      <w:tr>
        <w:trPr>
          <w:trHeight w:val="27"/>
        </w:trPr>
        <w:tc>
          <w:tcPr>
            <w:tcW w:w="2140" w:type="dxa"/>
            <w:vAlign w:val="bottom"/>
            <w:tcBorders>
              <w:bottom w:val="single" w:sz="8" w:color="auto"/>
              <w:right w:val="single" w:sz="8" w:color="auto"/>
            </w:tcBorders>
          </w:tcPr>
          <w:p>
            <w:pPr>
              <w:spacing w:after="0"/>
              <w:rPr>
                <w:sz w:val="2"/>
                <w:szCs w:val="2"/>
                <w:color w:val="auto"/>
              </w:rPr>
            </w:pPr>
          </w:p>
        </w:tc>
        <w:tc>
          <w:tcPr>
            <w:tcW w:w="6300" w:type="dxa"/>
            <w:vAlign w:val="bottom"/>
            <w:tcBorders>
              <w:bottom w:val="single" w:sz="8" w:color="auto"/>
            </w:tcBorders>
          </w:tcPr>
          <w:p>
            <w:pPr>
              <w:spacing w:after="0"/>
              <w:rPr>
                <w:sz w:val="2"/>
                <w:szCs w:val="2"/>
                <w:color w:val="auto"/>
              </w:rPr>
            </w:pPr>
          </w:p>
        </w:tc>
        <w:tc>
          <w:tcPr>
            <w:tcW w:w="2800" w:type="dxa"/>
            <w:vAlign w:val="bottom"/>
          </w:tcPr>
          <w:p>
            <w:pPr>
              <w:spacing w:after="0"/>
              <w:rPr>
                <w:sz w:val="2"/>
                <w:szCs w:val="2"/>
                <w:color w:val="auto"/>
              </w:rPr>
            </w:pPr>
          </w:p>
        </w:tc>
      </w:tr>
      <w:tr>
        <w:trPr>
          <w:trHeight w:val="237"/>
        </w:trPr>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Mailing Address:</w:t>
            </w:r>
          </w:p>
        </w:tc>
        <w:tc>
          <w:tcPr>
            <w:tcW w:w="6300" w:type="dxa"/>
            <w:vAlign w:val="bottom"/>
          </w:tcPr>
          <w:p>
            <w:pPr>
              <w:ind w:left="60"/>
              <w:spacing w:after="0"/>
              <w:rPr>
                <w:sz w:val="20"/>
                <w:szCs w:val="20"/>
                <w:color w:val="auto"/>
              </w:rPr>
            </w:pPr>
            <w:r>
              <w:rPr>
                <w:rFonts w:ascii="Arial" w:cs="Arial" w:eastAsia="Arial" w:hAnsi="Arial"/>
                <w:sz w:val="18"/>
                <w:szCs w:val="18"/>
                <w:color w:val="auto"/>
              </w:rPr>
              <w:t>[*****]</w:t>
            </w:r>
          </w:p>
        </w:tc>
        <w:tc>
          <w:tcPr>
            <w:tcW w:w="2800" w:type="dxa"/>
            <w:vAlign w:val="bottom"/>
          </w:tcPr>
          <w:p>
            <w:pPr>
              <w:spacing w:after="0"/>
              <w:rPr>
                <w:sz w:val="20"/>
                <w:szCs w:val="20"/>
                <w:color w:val="auto"/>
              </w:rPr>
            </w:pPr>
          </w:p>
        </w:tc>
      </w:tr>
      <w:tr>
        <w:trPr>
          <w:trHeight w:val="27"/>
        </w:trPr>
        <w:tc>
          <w:tcPr>
            <w:tcW w:w="2140" w:type="dxa"/>
            <w:vAlign w:val="bottom"/>
            <w:tcBorders>
              <w:bottom w:val="single" w:sz="8" w:color="auto"/>
              <w:right w:val="single" w:sz="8" w:color="auto"/>
            </w:tcBorders>
          </w:tcPr>
          <w:p>
            <w:pPr>
              <w:spacing w:after="0"/>
              <w:rPr>
                <w:sz w:val="2"/>
                <w:szCs w:val="2"/>
                <w:color w:val="auto"/>
              </w:rPr>
            </w:pPr>
          </w:p>
        </w:tc>
        <w:tc>
          <w:tcPr>
            <w:tcW w:w="6300" w:type="dxa"/>
            <w:vAlign w:val="bottom"/>
            <w:tcBorders>
              <w:bottom w:val="single" w:sz="8" w:color="auto"/>
            </w:tcBorders>
          </w:tcPr>
          <w:p>
            <w:pPr>
              <w:spacing w:after="0"/>
              <w:rPr>
                <w:sz w:val="2"/>
                <w:szCs w:val="2"/>
                <w:color w:val="auto"/>
              </w:rPr>
            </w:pPr>
          </w:p>
        </w:tc>
        <w:tc>
          <w:tcPr>
            <w:tcW w:w="2800" w:type="dxa"/>
            <w:vAlign w:val="bottom"/>
          </w:tcPr>
          <w:p>
            <w:pPr>
              <w:spacing w:after="0"/>
              <w:rPr>
                <w:sz w:val="2"/>
                <w:szCs w:val="2"/>
                <w:color w:val="auto"/>
              </w:rPr>
            </w:pPr>
          </w:p>
        </w:tc>
      </w:tr>
      <w:tr>
        <w:trPr>
          <w:trHeight w:val="237"/>
        </w:trPr>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Project Lead:</w:t>
            </w:r>
          </w:p>
        </w:tc>
        <w:tc>
          <w:tcPr>
            <w:tcW w:w="6300" w:type="dxa"/>
            <w:vAlign w:val="bottom"/>
          </w:tcPr>
          <w:p>
            <w:pPr>
              <w:ind w:left="60"/>
              <w:spacing w:after="0"/>
              <w:rPr>
                <w:sz w:val="20"/>
                <w:szCs w:val="20"/>
                <w:color w:val="auto"/>
              </w:rPr>
            </w:pPr>
            <w:r>
              <w:rPr>
                <w:rFonts w:ascii="Arial" w:cs="Arial" w:eastAsia="Arial" w:hAnsi="Arial"/>
                <w:sz w:val="18"/>
                <w:szCs w:val="18"/>
                <w:color w:val="auto"/>
              </w:rPr>
              <w:t>[*****]</w:t>
            </w:r>
          </w:p>
        </w:tc>
        <w:tc>
          <w:tcPr>
            <w:tcW w:w="2800" w:type="dxa"/>
            <w:vAlign w:val="bottom"/>
          </w:tcPr>
          <w:p>
            <w:pPr>
              <w:spacing w:after="0"/>
              <w:rPr>
                <w:sz w:val="20"/>
                <w:szCs w:val="20"/>
                <w:color w:val="auto"/>
              </w:rPr>
            </w:pPr>
          </w:p>
        </w:tc>
      </w:tr>
      <w:tr>
        <w:trPr>
          <w:trHeight w:val="27"/>
        </w:trPr>
        <w:tc>
          <w:tcPr>
            <w:tcW w:w="2140" w:type="dxa"/>
            <w:vAlign w:val="bottom"/>
            <w:tcBorders>
              <w:bottom w:val="single" w:sz="8" w:color="auto"/>
              <w:right w:val="single" w:sz="8" w:color="auto"/>
            </w:tcBorders>
          </w:tcPr>
          <w:p>
            <w:pPr>
              <w:spacing w:after="0"/>
              <w:rPr>
                <w:sz w:val="2"/>
                <w:szCs w:val="2"/>
                <w:color w:val="auto"/>
              </w:rPr>
            </w:pPr>
          </w:p>
        </w:tc>
        <w:tc>
          <w:tcPr>
            <w:tcW w:w="6300" w:type="dxa"/>
            <w:vAlign w:val="bottom"/>
            <w:tcBorders>
              <w:bottom w:val="single" w:sz="8" w:color="auto"/>
            </w:tcBorders>
          </w:tcPr>
          <w:p>
            <w:pPr>
              <w:spacing w:after="0"/>
              <w:rPr>
                <w:sz w:val="2"/>
                <w:szCs w:val="2"/>
                <w:color w:val="auto"/>
              </w:rPr>
            </w:pPr>
          </w:p>
        </w:tc>
        <w:tc>
          <w:tcPr>
            <w:tcW w:w="2800" w:type="dxa"/>
            <w:vAlign w:val="bottom"/>
          </w:tcPr>
          <w:p>
            <w:pPr>
              <w:spacing w:after="0"/>
              <w:rPr>
                <w:sz w:val="2"/>
                <w:szCs w:val="2"/>
                <w:color w:val="auto"/>
              </w:rPr>
            </w:pPr>
          </w:p>
        </w:tc>
      </w:tr>
      <w:tr>
        <w:trPr>
          <w:trHeight w:val="237"/>
        </w:trPr>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Management Contact:</w:t>
            </w:r>
          </w:p>
        </w:tc>
        <w:tc>
          <w:tcPr>
            <w:tcW w:w="6300" w:type="dxa"/>
            <w:vAlign w:val="bottom"/>
          </w:tcPr>
          <w:p>
            <w:pPr>
              <w:ind w:left="60"/>
              <w:spacing w:after="0"/>
              <w:rPr>
                <w:sz w:val="20"/>
                <w:szCs w:val="20"/>
                <w:color w:val="auto"/>
              </w:rPr>
            </w:pPr>
            <w:r>
              <w:rPr>
                <w:rFonts w:ascii="Arial" w:cs="Arial" w:eastAsia="Arial" w:hAnsi="Arial"/>
                <w:sz w:val="18"/>
                <w:szCs w:val="18"/>
                <w:color w:val="auto"/>
              </w:rPr>
              <w:t>[*****]</w:t>
            </w:r>
          </w:p>
        </w:tc>
        <w:tc>
          <w:tcPr>
            <w:tcW w:w="2800" w:type="dxa"/>
            <w:vAlign w:val="bottom"/>
          </w:tcPr>
          <w:p>
            <w:pPr>
              <w:spacing w:after="0"/>
              <w:rPr>
                <w:sz w:val="20"/>
                <w:szCs w:val="20"/>
                <w:color w:val="auto"/>
              </w:rPr>
            </w:pPr>
          </w:p>
        </w:tc>
      </w:tr>
      <w:tr>
        <w:trPr>
          <w:trHeight w:val="27"/>
        </w:trPr>
        <w:tc>
          <w:tcPr>
            <w:tcW w:w="2140" w:type="dxa"/>
            <w:vAlign w:val="bottom"/>
            <w:tcBorders>
              <w:bottom w:val="single" w:sz="8" w:color="auto"/>
              <w:right w:val="single" w:sz="8" w:color="auto"/>
            </w:tcBorders>
          </w:tcPr>
          <w:p>
            <w:pPr>
              <w:spacing w:after="0"/>
              <w:rPr>
                <w:sz w:val="2"/>
                <w:szCs w:val="2"/>
                <w:color w:val="auto"/>
              </w:rPr>
            </w:pPr>
          </w:p>
        </w:tc>
        <w:tc>
          <w:tcPr>
            <w:tcW w:w="6300" w:type="dxa"/>
            <w:vAlign w:val="bottom"/>
            <w:tcBorders>
              <w:bottom w:val="single" w:sz="8" w:color="auto"/>
            </w:tcBorders>
          </w:tcPr>
          <w:p>
            <w:pPr>
              <w:spacing w:after="0"/>
              <w:rPr>
                <w:sz w:val="2"/>
                <w:szCs w:val="2"/>
                <w:color w:val="auto"/>
              </w:rPr>
            </w:pPr>
          </w:p>
        </w:tc>
        <w:tc>
          <w:tcPr>
            <w:tcW w:w="2800" w:type="dxa"/>
            <w:vAlign w:val="bottom"/>
          </w:tcPr>
          <w:p>
            <w:pPr>
              <w:spacing w:after="0"/>
              <w:rPr>
                <w:sz w:val="2"/>
                <w:szCs w:val="2"/>
                <w:color w:val="auto"/>
              </w:rPr>
            </w:pPr>
          </w:p>
        </w:tc>
      </w:tr>
      <w:tr>
        <w:trPr>
          <w:trHeight w:val="210"/>
        </w:trPr>
        <w:tc>
          <w:tcPr>
            <w:tcW w:w="2140" w:type="dxa"/>
            <w:vAlign w:val="bottom"/>
            <w:tcBorders>
              <w:bottom w:val="single" w:sz="8" w:color="auto"/>
            </w:tcBorders>
          </w:tcPr>
          <w:p>
            <w:pPr>
              <w:spacing w:after="0"/>
              <w:rPr>
                <w:sz w:val="18"/>
                <w:szCs w:val="18"/>
                <w:color w:val="auto"/>
              </w:rPr>
            </w:pPr>
          </w:p>
        </w:tc>
        <w:tc>
          <w:tcPr>
            <w:tcW w:w="6300" w:type="dxa"/>
            <w:vAlign w:val="bottom"/>
            <w:tcBorders>
              <w:bottom w:val="single" w:sz="8" w:color="auto"/>
            </w:tcBorders>
          </w:tcPr>
          <w:p>
            <w:pPr>
              <w:spacing w:after="0"/>
              <w:rPr>
                <w:sz w:val="18"/>
                <w:szCs w:val="18"/>
                <w:color w:val="auto"/>
              </w:rPr>
            </w:pPr>
          </w:p>
        </w:tc>
        <w:tc>
          <w:tcPr>
            <w:tcW w:w="2800" w:type="dxa"/>
            <w:vAlign w:val="bottom"/>
          </w:tcPr>
          <w:p>
            <w:pPr>
              <w:spacing w:after="0"/>
              <w:rPr>
                <w:sz w:val="18"/>
                <w:szCs w:val="18"/>
                <w:color w:val="auto"/>
              </w:rPr>
            </w:pPr>
          </w:p>
        </w:tc>
      </w:tr>
      <w:tr>
        <w:trPr>
          <w:trHeight w:val="237"/>
        </w:trPr>
        <w:tc>
          <w:tcPr>
            <w:tcW w:w="21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CEPI INFORMATION</w:t>
            </w:r>
          </w:p>
        </w:tc>
        <w:tc>
          <w:tcPr>
            <w:tcW w:w="6300" w:type="dxa"/>
            <w:vAlign w:val="bottom"/>
            <w:tcBorders>
              <w:right w:val="single" w:sz="8" w:color="auto"/>
            </w:tcBorders>
          </w:tcPr>
          <w:p>
            <w:pPr>
              <w:spacing w:after="0"/>
              <w:rPr>
                <w:sz w:val="20"/>
                <w:szCs w:val="20"/>
                <w:color w:val="auto"/>
              </w:rPr>
            </w:pPr>
          </w:p>
        </w:tc>
        <w:tc>
          <w:tcPr>
            <w:tcW w:w="2800" w:type="dxa"/>
            <w:vAlign w:val="bottom"/>
          </w:tcPr>
          <w:p>
            <w:pPr>
              <w:spacing w:after="0"/>
              <w:rPr>
                <w:sz w:val="20"/>
                <w:szCs w:val="20"/>
                <w:color w:val="auto"/>
              </w:rPr>
            </w:pPr>
          </w:p>
        </w:tc>
      </w:tr>
      <w:tr>
        <w:trPr>
          <w:trHeight w:val="27"/>
        </w:trPr>
        <w:tc>
          <w:tcPr>
            <w:tcW w:w="2140" w:type="dxa"/>
            <w:vAlign w:val="bottom"/>
            <w:tcBorders>
              <w:left w:val="single" w:sz="8" w:color="auto"/>
              <w:bottom w:val="single" w:sz="8" w:color="auto"/>
            </w:tcBorders>
          </w:tcPr>
          <w:p>
            <w:pPr>
              <w:spacing w:after="0"/>
              <w:rPr>
                <w:sz w:val="2"/>
                <w:szCs w:val="2"/>
                <w:color w:val="auto"/>
              </w:rPr>
            </w:pPr>
          </w:p>
        </w:tc>
        <w:tc>
          <w:tcPr>
            <w:tcW w:w="6300" w:type="dxa"/>
            <w:vAlign w:val="bottom"/>
            <w:tcBorders>
              <w:bottom w:val="single" w:sz="8" w:color="auto"/>
              <w:right w:val="single" w:sz="8" w:color="auto"/>
            </w:tcBorders>
          </w:tcPr>
          <w:p>
            <w:pPr>
              <w:spacing w:after="0"/>
              <w:rPr>
                <w:sz w:val="2"/>
                <w:szCs w:val="2"/>
                <w:color w:val="auto"/>
              </w:rPr>
            </w:pPr>
          </w:p>
        </w:tc>
        <w:tc>
          <w:tcPr>
            <w:tcW w:w="2800" w:type="dxa"/>
            <w:vAlign w:val="bottom"/>
          </w:tcPr>
          <w:p>
            <w:pPr>
              <w:spacing w:after="0"/>
              <w:rPr>
                <w:sz w:val="2"/>
                <w:szCs w:val="2"/>
                <w:color w:val="auto"/>
              </w:rPr>
            </w:pPr>
          </w:p>
        </w:tc>
      </w:tr>
      <w:tr>
        <w:trPr>
          <w:trHeight w:val="237"/>
        </w:trPr>
        <w:tc>
          <w:tcPr>
            <w:tcW w:w="21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Name:</w:t>
            </w:r>
          </w:p>
        </w:tc>
        <w:tc>
          <w:tcPr>
            <w:tcW w:w="6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Coalition for Epidemic Preparedness Innovations ("CEPI")</w:t>
            </w:r>
          </w:p>
        </w:tc>
        <w:tc>
          <w:tcPr>
            <w:tcW w:w="2800" w:type="dxa"/>
            <w:vAlign w:val="bottom"/>
          </w:tcPr>
          <w:p>
            <w:pPr>
              <w:spacing w:after="0"/>
              <w:rPr>
                <w:sz w:val="20"/>
                <w:szCs w:val="20"/>
                <w:color w:val="auto"/>
              </w:rPr>
            </w:pPr>
          </w:p>
        </w:tc>
      </w:tr>
      <w:tr>
        <w:trPr>
          <w:trHeight w:val="27"/>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6300" w:type="dxa"/>
            <w:vAlign w:val="bottom"/>
            <w:tcBorders>
              <w:bottom w:val="single" w:sz="8" w:color="auto"/>
              <w:right w:val="single" w:sz="8" w:color="auto"/>
            </w:tcBorders>
          </w:tcPr>
          <w:p>
            <w:pPr>
              <w:spacing w:after="0"/>
              <w:rPr>
                <w:sz w:val="2"/>
                <w:szCs w:val="2"/>
                <w:color w:val="auto"/>
              </w:rPr>
            </w:pPr>
          </w:p>
        </w:tc>
        <w:tc>
          <w:tcPr>
            <w:tcW w:w="2800" w:type="dxa"/>
            <w:vAlign w:val="bottom"/>
          </w:tcPr>
          <w:p>
            <w:pPr>
              <w:spacing w:after="0"/>
              <w:rPr>
                <w:sz w:val="2"/>
                <w:szCs w:val="2"/>
                <w:color w:val="auto"/>
              </w:rPr>
            </w:pPr>
          </w:p>
        </w:tc>
      </w:tr>
      <w:tr>
        <w:trPr>
          <w:trHeight w:val="237"/>
        </w:trPr>
        <w:tc>
          <w:tcPr>
            <w:tcW w:w="21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Mailing Address:</w:t>
            </w:r>
          </w:p>
        </w:tc>
        <w:tc>
          <w:tcPr>
            <w:tcW w:w="6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PO Box 123 Torshov, N-0412 Oslo, Norway</w:t>
            </w:r>
          </w:p>
        </w:tc>
        <w:tc>
          <w:tcPr>
            <w:tcW w:w="2800" w:type="dxa"/>
            <w:vAlign w:val="bottom"/>
          </w:tcPr>
          <w:p>
            <w:pPr>
              <w:spacing w:after="0"/>
              <w:rPr>
                <w:sz w:val="20"/>
                <w:szCs w:val="20"/>
                <w:color w:val="auto"/>
              </w:rPr>
            </w:pPr>
          </w:p>
        </w:tc>
      </w:tr>
      <w:tr>
        <w:trPr>
          <w:trHeight w:val="27"/>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6300" w:type="dxa"/>
            <w:vAlign w:val="bottom"/>
            <w:tcBorders>
              <w:bottom w:val="single" w:sz="8" w:color="auto"/>
              <w:right w:val="single" w:sz="8" w:color="auto"/>
            </w:tcBorders>
          </w:tcPr>
          <w:p>
            <w:pPr>
              <w:spacing w:after="0"/>
              <w:rPr>
                <w:sz w:val="2"/>
                <w:szCs w:val="2"/>
                <w:color w:val="auto"/>
              </w:rPr>
            </w:pPr>
          </w:p>
        </w:tc>
        <w:tc>
          <w:tcPr>
            <w:tcW w:w="2800" w:type="dxa"/>
            <w:vAlign w:val="bottom"/>
          </w:tcPr>
          <w:p>
            <w:pPr>
              <w:spacing w:after="0"/>
              <w:rPr>
                <w:sz w:val="2"/>
                <w:szCs w:val="2"/>
                <w:color w:val="auto"/>
              </w:rPr>
            </w:pPr>
          </w:p>
        </w:tc>
      </w:tr>
      <w:tr>
        <w:trPr>
          <w:trHeight w:val="237"/>
        </w:trPr>
        <w:tc>
          <w:tcPr>
            <w:tcW w:w="21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Visiting Address:</w:t>
            </w:r>
          </w:p>
        </w:tc>
        <w:tc>
          <w:tcPr>
            <w:tcW w:w="6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Marcus Thranes gate 2, N-0412 Oslo, Norway</w:t>
            </w:r>
          </w:p>
        </w:tc>
        <w:tc>
          <w:tcPr>
            <w:tcW w:w="2800" w:type="dxa"/>
            <w:vAlign w:val="bottom"/>
          </w:tcPr>
          <w:p>
            <w:pPr>
              <w:spacing w:after="0"/>
              <w:rPr>
                <w:sz w:val="20"/>
                <w:szCs w:val="20"/>
                <w:color w:val="auto"/>
              </w:rPr>
            </w:pPr>
          </w:p>
        </w:tc>
      </w:tr>
      <w:tr>
        <w:trPr>
          <w:trHeight w:val="27"/>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6300" w:type="dxa"/>
            <w:vAlign w:val="bottom"/>
            <w:tcBorders>
              <w:bottom w:val="single" w:sz="8" w:color="auto"/>
              <w:right w:val="single" w:sz="8" w:color="auto"/>
            </w:tcBorders>
          </w:tcPr>
          <w:p>
            <w:pPr>
              <w:spacing w:after="0"/>
              <w:rPr>
                <w:sz w:val="2"/>
                <w:szCs w:val="2"/>
                <w:color w:val="auto"/>
              </w:rPr>
            </w:pPr>
          </w:p>
        </w:tc>
        <w:tc>
          <w:tcPr>
            <w:tcW w:w="2800" w:type="dxa"/>
            <w:vAlign w:val="bottom"/>
          </w:tcPr>
          <w:p>
            <w:pPr>
              <w:spacing w:after="0"/>
              <w:rPr>
                <w:sz w:val="2"/>
                <w:szCs w:val="2"/>
                <w:color w:val="auto"/>
              </w:rPr>
            </w:pPr>
          </w:p>
        </w:tc>
      </w:tr>
      <w:tr>
        <w:trPr>
          <w:trHeight w:val="237"/>
        </w:trPr>
        <w:tc>
          <w:tcPr>
            <w:tcW w:w="21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Project Lead:</w:t>
            </w:r>
          </w:p>
        </w:tc>
        <w:tc>
          <w:tcPr>
            <w:tcW w:w="6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800" w:type="dxa"/>
            <w:vAlign w:val="bottom"/>
          </w:tcPr>
          <w:p>
            <w:pPr>
              <w:spacing w:after="0"/>
              <w:rPr>
                <w:sz w:val="20"/>
                <w:szCs w:val="20"/>
                <w:color w:val="auto"/>
              </w:rPr>
            </w:pPr>
          </w:p>
        </w:tc>
      </w:tr>
      <w:tr>
        <w:trPr>
          <w:trHeight w:val="27"/>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6300" w:type="dxa"/>
            <w:vAlign w:val="bottom"/>
            <w:tcBorders>
              <w:bottom w:val="single" w:sz="8" w:color="auto"/>
              <w:right w:val="single" w:sz="8" w:color="auto"/>
            </w:tcBorders>
          </w:tcPr>
          <w:p>
            <w:pPr>
              <w:spacing w:after="0"/>
              <w:rPr>
                <w:sz w:val="2"/>
                <w:szCs w:val="2"/>
                <w:color w:val="auto"/>
              </w:rPr>
            </w:pPr>
          </w:p>
        </w:tc>
        <w:tc>
          <w:tcPr>
            <w:tcW w:w="2800" w:type="dxa"/>
            <w:vAlign w:val="bottom"/>
          </w:tcPr>
          <w:p>
            <w:pPr>
              <w:spacing w:after="0"/>
              <w:rPr>
                <w:sz w:val="2"/>
                <w:szCs w:val="2"/>
                <w:color w:val="auto"/>
              </w:rPr>
            </w:pPr>
          </w:p>
        </w:tc>
      </w:tr>
      <w:tr>
        <w:trPr>
          <w:trHeight w:val="237"/>
        </w:trPr>
        <w:tc>
          <w:tcPr>
            <w:tcW w:w="21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Management Contact:</w:t>
            </w:r>
          </w:p>
        </w:tc>
        <w:tc>
          <w:tcPr>
            <w:tcW w:w="6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800" w:type="dxa"/>
            <w:vAlign w:val="bottom"/>
          </w:tcPr>
          <w:p>
            <w:pPr>
              <w:spacing w:after="0"/>
              <w:rPr>
                <w:sz w:val="20"/>
                <w:szCs w:val="20"/>
                <w:color w:val="auto"/>
              </w:rPr>
            </w:pPr>
          </w:p>
        </w:tc>
      </w:tr>
      <w:tr>
        <w:trPr>
          <w:trHeight w:val="27"/>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6300" w:type="dxa"/>
            <w:vAlign w:val="bottom"/>
            <w:tcBorders>
              <w:bottom w:val="single" w:sz="8" w:color="auto"/>
              <w:right w:val="single" w:sz="8" w:color="auto"/>
            </w:tcBorders>
          </w:tcPr>
          <w:p>
            <w:pPr>
              <w:spacing w:after="0"/>
              <w:rPr>
                <w:sz w:val="2"/>
                <w:szCs w:val="2"/>
                <w:color w:val="auto"/>
              </w:rPr>
            </w:pPr>
          </w:p>
        </w:tc>
        <w:tc>
          <w:tcPr>
            <w:tcW w:w="2800" w:type="dxa"/>
            <w:vAlign w:val="bottom"/>
          </w:tcPr>
          <w:p>
            <w:pPr>
              <w:spacing w:after="0"/>
              <w:rPr>
                <w:sz w:val="2"/>
                <w:szCs w:val="2"/>
                <w:color w:val="auto"/>
              </w:rPr>
            </w:pPr>
          </w:p>
        </w:tc>
      </w:tr>
      <w:tr>
        <w:trPr>
          <w:trHeight w:val="210"/>
        </w:trPr>
        <w:tc>
          <w:tcPr>
            <w:tcW w:w="8440" w:type="dxa"/>
            <w:vAlign w:val="bottom"/>
            <w:tcBorders>
              <w:bottom w:val="single" w:sz="8" w:color="auto"/>
            </w:tcBorders>
            <w:gridSpan w:val="2"/>
          </w:tcPr>
          <w:p>
            <w:pPr>
              <w:spacing w:after="0"/>
              <w:rPr>
                <w:sz w:val="18"/>
                <w:szCs w:val="18"/>
                <w:color w:val="auto"/>
              </w:rPr>
            </w:pPr>
          </w:p>
        </w:tc>
        <w:tc>
          <w:tcPr>
            <w:tcW w:w="2800" w:type="dxa"/>
            <w:vAlign w:val="bottom"/>
          </w:tcPr>
          <w:p>
            <w:pPr>
              <w:spacing w:after="0"/>
              <w:rPr>
                <w:sz w:val="18"/>
                <w:szCs w:val="18"/>
                <w:color w:val="auto"/>
              </w:rPr>
            </w:pPr>
          </w:p>
        </w:tc>
      </w:tr>
      <w:tr>
        <w:trPr>
          <w:trHeight w:val="237"/>
        </w:trPr>
        <w:tc>
          <w:tcPr>
            <w:tcW w:w="84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AMENDMENT AGREEMENT INFORMATION</w:t>
            </w:r>
          </w:p>
        </w:tc>
        <w:tc>
          <w:tcPr>
            <w:tcW w:w="2800" w:type="dxa"/>
            <w:vAlign w:val="bottom"/>
          </w:tcPr>
          <w:p>
            <w:pPr>
              <w:spacing w:after="0"/>
              <w:rPr>
                <w:sz w:val="20"/>
                <w:szCs w:val="20"/>
                <w:color w:val="auto"/>
              </w:rPr>
            </w:pPr>
          </w:p>
        </w:tc>
      </w:tr>
      <w:tr>
        <w:trPr>
          <w:trHeight w:val="27"/>
        </w:trPr>
        <w:tc>
          <w:tcPr>
            <w:tcW w:w="2140" w:type="dxa"/>
            <w:vAlign w:val="bottom"/>
            <w:tcBorders>
              <w:left w:val="single" w:sz="8" w:color="auto"/>
              <w:bottom w:val="single" w:sz="8" w:color="auto"/>
            </w:tcBorders>
          </w:tcPr>
          <w:p>
            <w:pPr>
              <w:spacing w:after="0"/>
              <w:rPr>
                <w:sz w:val="2"/>
                <w:szCs w:val="2"/>
                <w:color w:val="auto"/>
              </w:rPr>
            </w:pPr>
          </w:p>
        </w:tc>
        <w:tc>
          <w:tcPr>
            <w:tcW w:w="6300" w:type="dxa"/>
            <w:vAlign w:val="bottom"/>
            <w:tcBorders>
              <w:bottom w:val="single" w:sz="8" w:color="auto"/>
              <w:right w:val="single" w:sz="8" w:color="auto"/>
            </w:tcBorders>
          </w:tcPr>
          <w:p>
            <w:pPr>
              <w:spacing w:after="0"/>
              <w:rPr>
                <w:sz w:val="2"/>
                <w:szCs w:val="2"/>
                <w:color w:val="auto"/>
              </w:rPr>
            </w:pPr>
          </w:p>
        </w:tc>
        <w:tc>
          <w:tcPr>
            <w:tcW w:w="2800" w:type="dxa"/>
            <w:vAlign w:val="bottom"/>
          </w:tcPr>
          <w:p>
            <w:pPr>
              <w:spacing w:after="0"/>
              <w:rPr>
                <w:sz w:val="2"/>
                <w:szCs w:val="2"/>
                <w:color w:val="auto"/>
              </w:rPr>
            </w:pPr>
          </w:p>
        </w:tc>
      </w:tr>
      <w:tr>
        <w:trPr>
          <w:trHeight w:val="237"/>
        </w:trPr>
        <w:tc>
          <w:tcPr>
            <w:tcW w:w="21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Project Name</w:t>
            </w:r>
          </w:p>
        </w:tc>
        <w:tc>
          <w:tcPr>
            <w:tcW w:w="6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Vaccine Platform Development</w:t>
            </w:r>
          </w:p>
        </w:tc>
        <w:tc>
          <w:tcPr>
            <w:tcW w:w="2800" w:type="dxa"/>
            <w:vAlign w:val="bottom"/>
          </w:tcPr>
          <w:p>
            <w:pPr>
              <w:spacing w:after="0"/>
              <w:rPr>
                <w:sz w:val="20"/>
                <w:szCs w:val="20"/>
                <w:color w:val="auto"/>
              </w:rPr>
            </w:pPr>
          </w:p>
        </w:tc>
      </w:tr>
      <w:tr>
        <w:trPr>
          <w:trHeight w:val="27"/>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6300" w:type="dxa"/>
            <w:vAlign w:val="bottom"/>
            <w:tcBorders>
              <w:bottom w:val="single" w:sz="8" w:color="auto"/>
              <w:right w:val="single" w:sz="8" w:color="auto"/>
            </w:tcBorders>
          </w:tcPr>
          <w:p>
            <w:pPr>
              <w:spacing w:after="0"/>
              <w:rPr>
                <w:sz w:val="2"/>
                <w:szCs w:val="2"/>
                <w:color w:val="auto"/>
              </w:rPr>
            </w:pPr>
          </w:p>
        </w:tc>
        <w:tc>
          <w:tcPr>
            <w:tcW w:w="2800" w:type="dxa"/>
            <w:vAlign w:val="bottom"/>
          </w:tcPr>
          <w:p>
            <w:pPr>
              <w:spacing w:after="0"/>
              <w:rPr>
                <w:sz w:val="2"/>
                <w:szCs w:val="2"/>
                <w:color w:val="auto"/>
              </w:rPr>
            </w:pPr>
          </w:p>
        </w:tc>
      </w:tr>
      <w:tr>
        <w:trPr>
          <w:trHeight w:val="237"/>
        </w:trPr>
        <w:tc>
          <w:tcPr>
            <w:tcW w:w="21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CEPI Programme Name</w:t>
            </w:r>
          </w:p>
        </w:tc>
        <w:tc>
          <w:tcPr>
            <w:tcW w:w="6300" w:type="dxa"/>
            <w:vAlign w:val="bottom"/>
            <w:tcBorders>
              <w:right w:val="single" w:sz="8" w:color="auto"/>
            </w:tcBorders>
          </w:tcPr>
          <w:p>
            <w:pPr>
              <w:spacing w:after="0"/>
              <w:rPr>
                <w:sz w:val="20"/>
                <w:szCs w:val="20"/>
                <w:color w:val="auto"/>
              </w:rPr>
            </w:pPr>
          </w:p>
        </w:tc>
        <w:tc>
          <w:tcPr>
            <w:tcW w:w="2800" w:type="dxa"/>
            <w:vAlign w:val="bottom"/>
          </w:tcPr>
          <w:p>
            <w:pPr>
              <w:spacing w:after="0"/>
              <w:rPr>
                <w:sz w:val="20"/>
                <w:szCs w:val="20"/>
                <w:color w:val="auto"/>
              </w:rPr>
            </w:pPr>
          </w:p>
        </w:tc>
      </w:tr>
      <w:tr>
        <w:trPr>
          <w:trHeight w:val="27"/>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6300" w:type="dxa"/>
            <w:vAlign w:val="bottom"/>
            <w:tcBorders>
              <w:bottom w:val="single" w:sz="8" w:color="auto"/>
              <w:right w:val="single" w:sz="8" w:color="auto"/>
            </w:tcBorders>
          </w:tcPr>
          <w:p>
            <w:pPr>
              <w:spacing w:after="0"/>
              <w:rPr>
                <w:sz w:val="2"/>
                <w:szCs w:val="2"/>
                <w:color w:val="auto"/>
              </w:rPr>
            </w:pPr>
          </w:p>
        </w:tc>
        <w:tc>
          <w:tcPr>
            <w:tcW w:w="2800" w:type="dxa"/>
            <w:vAlign w:val="bottom"/>
          </w:tcPr>
          <w:p>
            <w:pPr>
              <w:spacing w:after="0"/>
              <w:rPr>
                <w:sz w:val="2"/>
                <w:szCs w:val="2"/>
                <w:color w:val="auto"/>
              </w:rPr>
            </w:pPr>
          </w:p>
        </w:tc>
      </w:tr>
      <w:tr>
        <w:trPr>
          <w:trHeight w:val="237"/>
        </w:trPr>
        <w:tc>
          <w:tcPr>
            <w:tcW w:w="21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Effective Date</w:t>
            </w:r>
          </w:p>
        </w:tc>
        <w:tc>
          <w:tcPr>
            <w:tcW w:w="6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Date of last signature below</w:t>
            </w:r>
          </w:p>
        </w:tc>
        <w:tc>
          <w:tcPr>
            <w:tcW w:w="2800" w:type="dxa"/>
            <w:vAlign w:val="bottom"/>
          </w:tcPr>
          <w:p>
            <w:pPr>
              <w:spacing w:after="0"/>
              <w:rPr>
                <w:sz w:val="20"/>
                <w:szCs w:val="20"/>
                <w:color w:val="auto"/>
              </w:rPr>
            </w:pPr>
          </w:p>
        </w:tc>
      </w:tr>
      <w:tr>
        <w:trPr>
          <w:trHeight w:val="27"/>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6300" w:type="dxa"/>
            <w:vAlign w:val="bottom"/>
            <w:tcBorders>
              <w:bottom w:val="single" w:sz="8" w:color="auto"/>
              <w:right w:val="single" w:sz="8" w:color="auto"/>
            </w:tcBorders>
          </w:tcPr>
          <w:p>
            <w:pPr>
              <w:spacing w:after="0"/>
              <w:rPr>
                <w:sz w:val="2"/>
                <w:szCs w:val="2"/>
                <w:color w:val="auto"/>
              </w:rPr>
            </w:pPr>
          </w:p>
        </w:tc>
        <w:tc>
          <w:tcPr>
            <w:tcW w:w="2800" w:type="dxa"/>
            <w:vAlign w:val="bottom"/>
          </w:tcPr>
          <w:p>
            <w:pPr>
              <w:spacing w:after="0"/>
              <w:rPr>
                <w:sz w:val="2"/>
                <w:szCs w:val="2"/>
                <w:color w:val="auto"/>
              </w:rPr>
            </w:pPr>
          </w:p>
        </w:tc>
      </w:tr>
      <w:tr>
        <w:trPr>
          <w:trHeight w:val="222"/>
        </w:trPr>
        <w:tc>
          <w:tcPr>
            <w:tcW w:w="21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This Amendment:</w:t>
            </w:r>
          </w:p>
        </w:tc>
        <w:tc>
          <w:tcPr>
            <w:tcW w:w="6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The Amendment Number 1 means this Summary sheet together with the following</w:t>
            </w:r>
          </w:p>
        </w:tc>
        <w:tc>
          <w:tcPr>
            <w:tcW w:w="2800" w:type="dxa"/>
            <w:vAlign w:val="bottom"/>
          </w:tcPr>
          <w:p>
            <w:pPr>
              <w:spacing w:after="0"/>
              <w:rPr>
                <w:sz w:val="19"/>
                <w:szCs w:val="19"/>
                <w:color w:val="auto"/>
              </w:rPr>
            </w:pPr>
          </w:p>
        </w:tc>
      </w:tr>
      <w:tr>
        <w:trPr>
          <w:trHeight w:val="230"/>
        </w:trPr>
        <w:tc>
          <w:tcPr>
            <w:tcW w:w="2140" w:type="dxa"/>
            <w:vAlign w:val="bottom"/>
            <w:tcBorders>
              <w:left w:val="single" w:sz="8" w:color="auto"/>
              <w:right w:val="single" w:sz="8" w:color="auto"/>
            </w:tcBorders>
          </w:tcPr>
          <w:p>
            <w:pPr>
              <w:spacing w:after="0"/>
              <w:rPr>
                <w:sz w:val="20"/>
                <w:szCs w:val="20"/>
                <w:color w:val="auto"/>
              </w:rPr>
            </w:pPr>
          </w:p>
        </w:tc>
        <w:tc>
          <w:tcPr>
            <w:tcW w:w="6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pages.</w:t>
            </w:r>
          </w:p>
        </w:tc>
        <w:tc>
          <w:tcPr>
            <w:tcW w:w="2800" w:type="dxa"/>
            <w:vAlign w:val="bottom"/>
          </w:tcPr>
          <w:p>
            <w:pPr>
              <w:spacing w:after="0"/>
              <w:rPr>
                <w:sz w:val="20"/>
                <w:szCs w:val="20"/>
                <w:color w:val="auto"/>
              </w:rPr>
            </w:pPr>
          </w:p>
        </w:tc>
      </w:tr>
      <w:tr>
        <w:trPr>
          <w:trHeight w:val="27"/>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6300" w:type="dxa"/>
            <w:vAlign w:val="bottom"/>
            <w:tcBorders>
              <w:bottom w:val="single" w:sz="8" w:color="auto"/>
              <w:right w:val="single" w:sz="8" w:color="auto"/>
            </w:tcBorders>
          </w:tcPr>
          <w:p>
            <w:pPr>
              <w:spacing w:after="0"/>
              <w:rPr>
                <w:sz w:val="2"/>
                <w:szCs w:val="2"/>
                <w:color w:val="auto"/>
              </w:rPr>
            </w:pPr>
          </w:p>
        </w:tc>
        <w:tc>
          <w:tcPr>
            <w:tcW w:w="2800" w:type="dxa"/>
            <w:vAlign w:val="bottom"/>
          </w:tcPr>
          <w:p>
            <w:pPr>
              <w:spacing w:after="0"/>
              <w:rPr>
                <w:sz w:val="2"/>
                <w:szCs w:val="2"/>
                <w:color w:val="auto"/>
              </w:rPr>
            </w:pPr>
          </w:p>
        </w:tc>
      </w:tr>
      <w:tr>
        <w:trPr>
          <w:trHeight w:val="453"/>
        </w:trPr>
        <w:tc>
          <w:tcPr>
            <w:tcW w:w="214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473" w:name="page474"/>
    <w:bookmarkEnd w:id="473"/>
    <w:p>
      <w:pPr>
        <w:ind w:right="100"/>
        <w:spacing w:after="0" w:line="277" w:lineRule="auto"/>
        <w:rPr>
          <w:sz w:val="20"/>
          <w:szCs w:val="20"/>
          <w:color w:val="auto"/>
        </w:rPr>
      </w:pPr>
      <w:r>
        <w:rPr>
          <w:rFonts w:ascii="Arial" w:cs="Arial" w:eastAsia="Arial" w:hAnsi="Arial"/>
          <w:sz w:val="18"/>
          <w:szCs w:val="18"/>
          <w:color w:val="auto"/>
        </w:rPr>
        <w:t>THIS AMENDMENT NUMBER 1 is made by and between Partner and CEPI, either of which may be referred to individually as a "Party" and together as the "Parties."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580" w:hanging="255"/>
        <w:spacing w:after="0" w:line="277" w:lineRule="auto"/>
        <w:rPr>
          <w:sz w:val="20"/>
          <w:szCs w:val="20"/>
          <w:color w:val="auto"/>
        </w:rPr>
      </w:pPr>
      <w:r>
        <w:rPr>
          <w:rFonts w:ascii="Arial" w:cs="Arial" w:eastAsia="Arial" w:hAnsi="Arial"/>
          <w:sz w:val="18"/>
          <w:szCs w:val="18"/>
          <w:color w:val="auto"/>
        </w:rPr>
        <w:t>A. This Amendment Number 1 amends the Framework. Partnering Agreement between the Parties having an effective date of 15 February 2019 ("FPA").</w:t>
      </w:r>
    </w:p>
    <w:p>
      <w:pPr>
        <w:spacing w:after="0" w:line="170" w:lineRule="exact"/>
        <w:rPr>
          <w:sz w:val="20"/>
          <w:szCs w:val="20"/>
          <w:color w:val="auto"/>
        </w:rPr>
      </w:pPr>
    </w:p>
    <w:p>
      <w:pPr>
        <w:jc w:val="both"/>
        <w:ind w:left="580" w:hanging="248"/>
        <w:spacing w:after="0" w:line="259" w:lineRule="auto"/>
        <w:tabs>
          <w:tab w:leader="none" w:pos="5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Parties wish to make certain amendments to the FPA to facilitate the development and commercialization of Partner's COVID-19 vaccine candidate ("CVnCoV"), the initial development of which is described in the "Work Package Statement for the Development of CureVac Outbreak Response to Novel Coronovirus (2019-nCoV)" having an effective date of 29 January 2020. For convenience, this Work Package is referred to as the "CVnCoV Work Package."</w:t>
      </w:r>
    </w:p>
    <w:p>
      <w:pPr>
        <w:spacing w:after="0" w:line="186" w:lineRule="exact"/>
        <w:rPr>
          <w:rFonts w:ascii="Arial" w:cs="Arial" w:eastAsia="Arial" w:hAnsi="Arial"/>
          <w:sz w:val="18"/>
          <w:szCs w:val="18"/>
          <w:color w:val="auto"/>
        </w:rPr>
      </w:pPr>
    </w:p>
    <w:p>
      <w:pPr>
        <w:ind w:left="580" w:hanging="248"/>
        <w:spacing w:after="0" w:line="277" w:lineRule="auto"/>
        <w:tabs>
          <w:tab w:leader="none" w:pos="5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Parties contemplate that Partner shall negotiate and sign one or more agreements to provide CVnCoV to organizations operating under the auspices of the COVAX Facility. Such organizations presently include Gavi and UNICEF.</w:t>
      </w:r>
    </w:p>
    <w:p>
      <w:pPr>
        <w:spacing w:after="0" w:line="170" w:lineRule="exact"/>
        <w:rPr>
          <w:rFonts w:ascii="Arial" w:cs="Arial" w:eastAsia="Arial" w:hAnsi="Arial"/>
          <w:sz w:val="18"/>
          <w:szCs w:val="18"/>
          <w:color w:val="auto"/>
        </w:rPr>
      </w:pPr>
    </w:p>
    <w:p>
      <w:pPr>
        <w:ind w:left="580" w:hanging="248"/>
        <w:spacing w:after="0" w:line="342" w:lineRule="auto"/>
        <w:tabs>
          <w:tab w:leader="none" w:pos="580" w:val="left"/>
        </w:tabs>
        <w:numPr>
          <w:ilvl w:val="0"/>
          <w:numId w:val="321"/>
        </w:numPr>
        <w:rPr>
          <w:rFonts w:ascii="Arial" w:cs="Arial" w:eastAsia="Arial" w:hAnsi="Arial"/>
          <w:sz w:val="16"/>
          <w:szCs w:val="16"/>
          <w:color w:val="auto"/>
        </w:rPr>
      </w:pPr>
      <w:r>
        <w:rPr>
          <w:rFonts w:ascii="Arial" w:cs="Arial" w:eastAsia="Arial" w:hAnsi="Arial"/>
          <w:sz w:val="16"/>
          <w:szCs w:val="16"/>
          <w:color w:val="auto"/>
        </w:rPr>
        <w:t>The FPA is amended as follows only for CVnCoV. For the avoidance of doubt, the following amendments shall not be applicable to any vaccine covered by the FPA other than CVnCoV and shall not be applicable to the results of any Work Package other than the CVnCoV Work Package.</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jc w:val="both"/>
        <w:ind w:left="580" w:hanging="248"/>
        <w:spacing w:after="0" w:line="275" w:lineRule="auto"/>
        <w:tabs>
          <w:tab w:leader="none" w:pos="580" w:val="left"/>
        </w:tabs>
        <w:numPr>
          <w:ilvl w:val="0"/>
          <w:numId w:val="322"/>
        </w:numPr>
        <w:rPr>
          <w:rFonts w:ascii="Arial" w:cs="Arial" w:eastAsia="Arial" w:hAnsi="Arial"/>
          <w:sz w:val="17"/>
          <w:szCs w:val="17"/>
          <w:color w:val="auto"/>
        </w:rPr>
      </w:pPr>
      <w:r>
        <w:rPr>
          <w:rFonts w:ascii="Arial" w:cs="Arial" w:eastAsia="Arial" w:hAnsi="Arial"/>
          <w:sz w:val="17"/>
          <w:szCs w:val="17"/>
          <w:u w:val="single" w:color="auto"/>
          <w:color w:val="auto"/>
        </w:rPr>
        <w:t>Trusted Manufacturers.</w:t>
      </w:r>
      <w:r>
        <w:rPr>
          <w:rFonts w:ascii="Arial" w:cs="Arial" w:eastAsia="Arial" w:hAnsi="Arial"/>
          <w:sz w:val="17"/>
          <w:szCs w:val="17"/>
          <w:color w:val="auto"/>
        </w:rPr>
        <w:t xml:space="preserve"> The FPA provisions related to trusted manufacturers in Clauses 7.6 (Trusted Manufacturers), 7.7 (Partner Nominees for Trusted Manufacturers), 7.8 (CEPI Nominees for Trusted Manufacturers), 7.9 (Additional Trusted Manufacturers) and 7.10 (Disputes as to Trusted Manufacturers) as well as Section 7.5 (Meetings with Regulatory Authorities) are waived for CVnCoV. For the avoidance of doubt, Partner maintains the full right to partner the vaccine for further development (i.e., beyond the CVnCoV Work Package), manufacture, distribution and commercialisation subject only to Partner's various obligations in this Amendment Number 1 and the FPA.</w:t>
      </w:r>
    </w:p>
    <w:p>
      <w:pPr>
        <w:spacing w:after="0" w:line="176" w:lineRule="exact"/>
        <w:rPr>
          <w:rFonts w:ascii="Arial" w:cs="Arial" w:eastAsia="Arial" w:hAnsi="Arial"/>
          <w:sz w:val="17"/>
          <w:szCs w:val="17"/>
          <w:color w:val="auto"/>
        </w:rPr>
      </w:pPr>
    </w:p>
    <w:p>
      <w:pPr>
        <w:jc w:val="both"/>
        <w:ind w:left="580" w:hanging="248"/>
        <w:spacing w:after="0" w:line="259" w:lineRule="auto"/>
        <w:tabs>
          <w:tab w:leader="none" w:pos="580"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t>Reporting Requirements.</w:t>
      </w:r>
      <w:r>
        <w:rPr>
          <w:rFonts w:ascii="Arial" w:cs="Arial" w:eastAsia="Arial" w:hAnsi="Arial"/>
          <w:sz w:val="18"/>
          <w:szCs w:val="18"/>
          <w:color w:val="auto"/>
        </w:rPr>
        <w:t xml:space="preserve"> The FPA provisions related quarterly reports in Clause 7.11.5 (Quarterly Reports) are waived for CVnCoV. Notwithstanding the foregoing, Partner shall submit an annual report. In lieu of the obligations under Section 7.5, Partner shall inform CEPI of the outcome of any major meetings with Regulatory Authorities, and any significant communications from Regulatory Authorities relating to the Platform and/or CVnCoV.</w:t>
      </w:r>
    </w:p>
    <w:p>
      <w:pPr>
        <w:spacing w:after="0" w:line="186" w:lineRule="exact"/>
        <w:rPr>
          <w:rFonts w:ascii="Arial" w:cs="Arial" w:eastAsia="Arial" w:hAnsi="Arial"/>
          <w:sz w:val="18"/>
          <w:szCs w:val="18"/>
          <w:color w:val="auto"/>
        </w:rPr>
      </w:pPr>
    </w:p>
    <w:p>
      <w:pPr>
        <w:jc w:val="both"/>
        <w:ind w:left="580" w:hanging="248"/>
        <w:spacing w:after="0" w:line="263" w:lineRule="auto"/>
        <w:tabs>
          <w:tab w:leader="none" w:pos="580"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t>Notification and Approval of Additional Funders.</w:t>
      </w:r>
      <w:r>
        <w:rPr>
          <w:rFonts w:ascii="Arial" w:cs="Arial" w:eastAsia="Arial" w:hAnsi="Arial"/>
          <w:sz w:val="18"/>
          <w:szCs w:val="18"/>
          <w:color w:val="auto"/>
        </w:rPr>
        <w:t xml:space="preserve"> The FPA provisions related to notification and prior written consent requirement of CEPI regarding other funders and supporters in Clause 7.11.10 (Partner Funder Requirements) and Clause 3.11 (Third Party funding or support of the Project) are waived for CVnCoV.</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10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4" w:name="page475"/>
    <w:bookmarkEnd w:id="474"/>
    <w:p>
      <w:pPr>
        <w:ind w:left="248" w:right="20" w:hanging="248"/>
        <w:spacing w:after="0" w:line="277" w:lineRule="auto"/>
        <w:tabs>
          <w:tab w:leader="none" w:pos="248"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Achieving Equitable Access.</w:t>
      </w:r>
      <w:r>
        <w:rPr>
          <w:rFonts w:ascii="Arial" w:cs="Arial" w:eastAsia="Arial" w:hAnsi="Arial"/>
          <w:sz w:val="18"/>
          <w:szCs w:val="18"/>
          <w:color w:val="auto"/>
        </w:rPr>
        <w:t xml:space="preserve"> A new Section 7.11.16 (Achieving Equitable Access) is added after Clause 7.11.15 (Regulatory Filings - which is waived for CVnCoV) to apply only for CVnCoV:</w:t>
      </w:r>
    </w:p>
    <w:p>
      <w:pPr>
        <w:spacing w:after="0" w:line="166" w:lineRule="exact"/>
        <w:rPr>
          <w:sz w:val="20"/>
          <w:szCs w:val="20"/>
          <w:color w:val="auto"/>
        </w:rPr>
      </w:pPr>
    </w:p>
    <w:p>
      <w:pPr>
        <w:ind w:left="968"/>
        <w:spacing w:after="0"/>
        <w:tabs>
          <w:tab w:leader="none" w:pos="1868" w:val="left"/>
        </w:tabs>
        <w:rPr>
          <w:sz w:val="20"/>
          <w:szCs w:val="20"/>
          <w:color w:val="auto"/>
        </w:rPr>
      </w:pPr>
      <w:r>
        <w:rPr>
          <w:rFonts w:ascii="Arial" w:cs="Arial" w:eastAsia="Arial" w:hAnsi="Arial"/>
          <w:sz w:val="18"/>
          <w:szCs w:val="18"/>
          <w:color w:val="auto"/>
        </w:rPr>
        <w:t>"7.11.16.</w:t>
      </w:r>
      <w:r>
        <w:rPr>
          <w:sz w:val="20"/>
          <w:szCs w:val="20"/>
          <w:color w:val="auto"/>
        </w:rPr>
        <w:tab/>
      </w:r>
      <w:r>
        <w:rPr>
          <w:rFonts w:ascii="Arial" w:cs="Arial" w:eastAsia="Arial" w:hAnsi="Arial"/>
          <w:sz w:val="18"/>
          <w:szCs w:val="18"/>
          <w:b w:val="1"/>
          <w:bCs w:val="1"/>
          <w:color w:val="auto"/>
        </w:rPr>
        <w:t>Achieving Equitable Access for Utilization of CVnCoV.</w:t>
      </w:r>
    </w:p>
    <w:p>
      <w:pPr>
        <w:spacing w:after="0" w:line="229" w:lineRule="exact"/>
        <w:rPr>
          <w:sz w:val="20"/>
          <w:szCs w:val="20"/>
          <w:color w:val="auto"/>
        </w:rPr>
      </w:pPr>
    </w:p>
    <w:p>
      <w:pPr>
        <w:jc w:val="both"/>
        <w:ind w:left="1628" w:hanging="656"/>
        <w:spacing w:after="0" w:line="254" w:lineRule="auto"/>
        <w:tabs>
          <w:tab w:leader="none" w:pos="1628" w:val="left"/>
        </w:tabs>
        <w:numPr>
          <w:ilvl w:val="0"/>
          <w:numId w:val="324"/>
        </w:numPr>
        <w:rPr>
          <w:rFonts w:ascii="Arial" w:cs="Arial" w:eastAsia="Arial" w:hAnsi="Arial"/>
          <w:sz w:val="18"/>
          <w:szCs w:val="18"/>
          <w:color w:val="auto"/>
        </w:rPr>
      </w:pPr>
      <w:r>
        <w:rPr>
          <w:rFonts w:ascii="Arial" w:cs="Arial" w:eastAsia="Arial" w:hAnsi="Arial"/>
          <w:sz w:val="18"/>
          <w:szCs w:val="18"/>
          <w:color w:val="auto"/>
        </w:rPr>
        <w:t>Equitable access commitments of Partner pursuant to Clause 7.11.9 (iv) to (vi) shall be considered to be fulfilled upon (a) the timely, and good faith participation in the 2021 UNICEF/PAHO tender, and any subsequent corresponding tender for 2022 and 2023 (if applicable); and (b) if such tenders are successful, supply of Partner's capacity for distribution of CVnCoV vaccine based on the following terms:</w:t>
      </w:r>
    </w:p>
    <w:p>
      <w:pPr>
        <w:spacing w:after="0" w:line="2" w:lineRule="exact"/>
        <w:rPr>
          <w:rFonts w:ascii="Arial" w:cs="Arial" w:eastAsia="Arial" w:hAnsi="Arial"/>
          <w:sz w:val="18"/>
          <w:szCs w:val="18"/>
          <w:color w:val="auto"/>
        </w:rPr>
      </w:pPr>
    </w:p>
    <w:p>
      <w:pPr>
        <w:ind w:left="2268" w:hanging="324"/>
        <w:spacing w:after="0"/>
        <w:tabs>
          <w:tab w:leader="none" w:pos="2268" w:val="left"/>
        </w:tabs>
        <w:numPr>
          <w:ilvl w:val="1"/>
          <w:numId w:val="324"/>
        </w:numPr>
        <w:rPr>
          <w:rFonts w:ascii="Arial" w:cs="Arial" w:eastAsia="Arial" w:hAnsi="Arial"/>
          <w:sz w:val="18"/>
          <w:szCs w:val="18"/>
          <w:color w:val="auto"/>
        </w:rPr>
      </w:pPr>
      <w:r>
        <w:rPr>
          <w:rFonts w:ascii="Arial" w:cs="Arial" w:eastAsia="Arial" w:hAnsi="Arial"/>
          <w:sz w:val="18"/>
          <w:szCs w:val="18"/>
          <w:color w:val="auto"/>
        </w:rPr>
        <w:t>For 2021 10%, through participation in the currently ongoing UNICEF/PAHO tender process;</w:t>
      </w:r>
    </w:p>
    <w:p>
      <w:pPr>
        <w:spacing w:after="0" w:line="9" w:lineRule="exact"/>
        <w:rPr>
          <w:rFonts w:ascii="Arial" w:cs="Arial" w:eastAsia="Arial" w:hAnsi="Arial"/>
          <w:sz w:val="18"/>
          <w:szCs w:val="18"/>
          <w:color w:val="auto"/>
        </w:rPr>
      </w:pPr>
    </w:p>
    <w:p>
      <w:pPr>
        <w:ind w:left="2268" w:hanging="324"/>
        <w:spacing w:after="0" w:line="250" w:lineRule="auto"/>
        <w:tabs>
          <w:tab w:leader="none" w:pos="2679" w:val="left"/>
        </w:tabs>
        <w:numPr>
          <w:ilvl w:val="1"/>
          <w:numId w:val="324"/>
        </w:numPr>
        <w:rPr>
          <w:rFonts w:ascii="Arial" w:cs="Arial" w:eastAsia="Arial" w:hAnsi="Arial"/>
          <w:sz w:val="18"/>
          <w:szCs w:val="18"/>
          <w:color w:val="auto"/>
        </w:rPr>
      </w:pPr>
      <w:r>
        <w:rPr>
          <w:rFonts w:ascii="Arial" w:cs="Arial" w:eastAsia="Arial" w:hAnsi="Arial"/>
          <w:sz w:val="18"/>
          <w:szCs w:val="18"/>
          <w:color w:val="auto"/>
        </w:rPr>
        <w:t>For 2022 and 2023 (if applicable) 15%, through participation in the applicable COVAX process (i.e., Gavi/UNICEF/PAHO, as applicable)</w:t>
      </w:r>
    </w:p>
    <w:p>
      <w:pPr>
        <w:spacing w:after="0" w:line="1" w:lineRule="exact"/>
        <w:rPr>
          <w:sz w:val="20"/>
          <w:szCs w:val="20"/>
          <w:color w:val="auto"/>
        </w:rPr>
      </w:pPr>
    </w:p>
    <w:p>
      <w:pPr>
        <w:ind w:left="1948"/>
        <w:spacing w:after="0"/>
        <w:rPr>
          <w:sz w:val="20"/>
          <w:szCs w:val="20"/>
          <w:color w:val="auto"/>
        </w:rPr>
      </w:pPr>
      <w:r>
        <w:rPr>
          <w:rFonts w:ascii="Arial" w:cs="Arial" w:eastAsia="Arial" w:hAnsi="Arial"/>
          <w:sz w:val="18"/>
          <w:szCs w:val="18"/>
          <w:color w:val="auto"/>
        </w:rPr>
        <w:t>with a priority towards Gavi/LICs, and at tiered prices, in both cases as may be agreed in the tender process.</w:t>
      </w:r>
    </w:p>
    <w:p>
      <w:pPr>
        <w:spacing w:after="0" w:line="211" w:lineRule="exact"/>
        <w:rPr>
          <w:sz w:val="20"/>
          <w:szCs w:val="20"/>
          <w:color w:val="auto"/>
        </w:rPr>
      </w:pPr>
    </w:p>
    <w:p>
      <w:pPr>
        <w:jc w:val="both"/>
        <w:ind w:left="1628" w:hanging="656"/>
        <w:spacing w:after="0" w:line="263" w:lineRule="auto"/>
        <w:tabs>
          <w:tab w:leader="none" w:pos="1628" w:val="left"/>
        </w:tabs>
        <w:numPr>
          <w:ilvl w:val="0"/>
          <w:numId w:val="325"/>
        </w:numPr>
        <w:rPr>
          <w:rFonts w:ascii="Arial" w:cs="Arial" w:eastAsia="Arial" w:hAnsi="Arial"/>
          <w:sz w:val="18"/>
          <w:szCs w:val="18"/>
          <w:color w:val="auto"/>
        </w:rPr>
      </w:pPr>
      <w:r>
        <w:rPr>
          <w:rFonts w:ascii="Arial" w:cs="Arial" w:eastAsia="Arial" w:hAnsi="Arial"/>
          <w:sz w:val="18"/>
          <w:szCs w:val="18"/>
          <w:color w:val="auto"/>
        </w:rPr>
        <w:t>Partner to participate in the ongoing UNICEF/PAHO tender to secure up to [*****] doses of COVID vaccine in 2021. Of Partner's planned total capacity for distribution of CVnCoV vaccines in 2021 (est. [*****] mds.), 10% allocation (est. [*****] mds.) to the UNICEF/PAHO tender starting in Q3 2021.</w:t>
      </w:r>
    </w:p>
    <w:p>
      <w:pPr>
        <w:spacing w:after="0" w:line="183" w:lineRule="exact"/>
        <w:rPr>
          <w:rFonts w:ascii="Arial" w:cs="Arial" w:eastAsia="Arial" w:hAnsi="Arial"/>
          <w:sz w:val="18"/>
          <w:szCs w:val="18"/>
          <w:color w:val="auto"/>
        </w:rPr>
      </w:pPr>
    </w:p>
    <w:p>
      <w:pPr>
        <w:jc w:val="both"/>
        <w:ind w:left="1628" w:hanging="656"/>
        <w:spacing w:after="0" w:line="286" w:lineRule="auto"/>
        <w:tabs>
          <w:tab w:leader="none" w:pos="1628" w:val="left"/>
        </w:tabs>
        <w:numPr>
          <w:ilvl w:val="0"/>
          <w:numId w:val="325"/>
        </w:numPr>
        <w:rPr>
          <w:rFonts w:ascii="Arial" w:cs="Arial" w:eastAsia="Arial" w:hAnsi="Arial"/>
          <w:sz w:val="17"/>
          <w:szCs w:val="17"/>
          <w:color w:val="auto"/>
        </w:rPr>
      </w:pPr>
      <w:r>
        <w:rPr>
          <w:rFonts w:ascii="Arial" w:cs="Arial" w:eastAsia="Arial" w:hAnsi="Arial"/>
          <w:sz w:val="17"/>
          <w:szCs w:val="17"/>
          <w:color w:val="auto"/>
        </w:rPr>
        <w:t>For the avoidance of doubt, the definitive number of doses and pricing for the supply of the CVnCoV vaccine shall be as determined by agreement between Partner and Gavi/UNICEF/PAHO, and will be no higher than the lowest price charged by Partner for the sale of CVnCoV vaccines to a third party of a similar volume and to a country of similar income level.</w:t>
      </w:r>
    </w:p>
    <w:p>
      <w:pPr>
        <w:spacing w:after="0" w:line="165" w:lineRule="exact"/>
        <w:rPr>
          <w:rFonts w:ascii="Arial" w:cs="Arial" w:eastAsia="Arial" w:hAnsi="Arial"/>
          <w:sz w:val="17"/>
          <w:szCs w:val="17"/>
          <w:color w:val="auto"/>
        </w:rPr>
      </w:pPr>
    </w:p>
    <w:p>
      <w:pPr>
        <w:ind w:left="1628" w:hanging="656"/>
        <w:spacing w:after="0"/>
        <w:tabs>
          <w:tab w:leader="none" w:pos="1628" w:val="left"/>
        </w:tabs>
        <w:numPr>
          <w:ilvl w:val="0"/>
          <w:numId w:val="325"/>
        </w:numPr>
        <w:rPr>
          <w:rFonts w:ascii="Arial" w:cs="Arial" w:eastAsia="Arial" w:hAnsi="Arial"/>
          <w:sz w:val="18"/>
          <w:szCs w:val="18"/>
          <w:color w:val="auto"/>
        </w:rPr>
      </w:pPr>
      <w:r>
        <w:rPr>
          <w:rFonts w:ascii="Arial" w:cs="Arial" w:eastAsia="Arial" w:hAnsi="Arial"/>
          <w:sz w:val="18"/>
          <w:szCs w:val="18"/>
          <w:color w:val="auto"/>
        </w:rPr>
        <w:t>Proposed pricing by Partner for negotiations with Gavi/UNICEF/PAHO for supply in 2021:</w:t>
      </w:r>
    </w:p>
    <w:p>
      <w:pPr>
        <w:spacing w:after="0" w:line="23" w:lineRule="exact"/>
        <w:rPr>
          <w:rFonts w:ascii="Arial" w:cs="Arial" w:eastAsia="Arial" w:hAnsi="Arial"/>
          <w:sz w:val="18"/>
          <w:szCs w:val="18"/>
          <w:color w:val="auto"/>
        </w:rPr>
      </w:pPr>
    </w:p>
    <w:p>
      <w:pPr>
        <w:ind w:left="2268" w:hanging="324"/>
        <w:spacing w:after="0"/>
        <w:tabs>
          <w:tab w:leader="none" w:pos="2268" w:val="left"/>
        </w:tabs>
        <w:numPr>
          <w:ilvl w:val="1"/>
          <w:numId w:val="325"/>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2268" w:hanging="324"/>
        <w:spacing w:after="0"/>
        <w:tabs>
          <w:tab w:leader="none" w:pos="2268" w:val="left"/>
        </w:tabs>
        <w:numPr>
          <w:ilvl w:val="1"/>
          <w:numId w:val="325"/>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2268" w:hanging="324"/>
        <w:spacing w:after="0"/>
        <w:tabs>
          <w:tab w:leader="none" w:pos="2268" w:val="left"/>
        </w:tabs>
        <w:numPr>
          <w:ilvl w:val="1"/>
          <w:numId w:val="325"/>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2268" w:hanging="324"/>
        <w:spacing w:after="0"/>
        <w:tabs>
          <w:tab w:leader="none" w:pos="2268" w:val="left"/>
        </w:tabs>
        <w:numPr>
          <w:ilvl w:val="1"/>
          <w:numId w:val="325"/>
        </w:numPr>
        <w:rPr>
          <w:rFonts w:ascii="Arial" w:cs="Arial" w:eastAsia="Arial" w:hAnsi="Arial"/>
          <w:sz w:val="18"/>
          <w:szCs w:val="18"/>
          <w:color w:val="auto"/>
        </w:rPr>
      </w:pP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1628" w:hanging="656"/>
        <w:spacing w:after="0" w:line="277" w:lineRule="auto"/>
        <w:tabs>
          <w:tab w:leader="none" w:pos="1628" w:val="left"/>
        </w:tabs>
        <w:numPr>
          <w:ilvl w:val="0"/>
          <w:numId w:val="325"/>
        </w:numPr>
        <w:rPr>
          <w:rFonts w:ascii="Arial" w:cs="Arial" w:eastAsia="Arial" w:hAnsi="Arial"/>
          <w:sz w:val="18"/>
          <w:szCs w:val="18"/>
          <w:color w:val="auto"/>
        </w:rPr>
      </w:pPr>
      <w:r>
        <w:rPr>
          <w:rFonts w:ascii="Arial" w:cs="Arial" w:eastAsia="Arial" w:hAnsi="Arial"/>
          <w:sz w:val="18"/>
          <w:szCs w:val="18"/>
          <w:color w:val="auto"/>
        </w:rPr>
        <w:t>Supply of CVnCoV vaccines in 2022 based on the same principles, but providing up to 15% of Partner's capacity for distribution of CVnCoV vaccine (est. [*****] mds.), at the same pricing as 2021.</w:t>
      </w:r>
    </w:p>
    <w:p>
      <w:pPr>
        <w:spacing w:after="0" w:line="17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10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475" w:name="page476"/>
    <w:bookmarkEnd w:id="475"/>
    <w:p>
      <w:pPr>
        <w:ind w:left="1960" w:hanging="656"/>
        <w:spacing w:after="0"/>
        <w:tabs>
          <w:tab w:leader="none" w:pos="1960" w:val="left"/>
        </w:tabs>
        <w:numPr>
          <w:ilvl w:val="1"/>
          <w:numId w:val="326"/>
        </w:numPr>
        <w:rPr>
          <w:rFonts w:ascii="Arial" w:cs="Arial" w:eastAsia="Arial" w:hAnsi="Arial"/>
          <w:sz w:val="17"/>
          <w:szCs w:val="17"/>
          <w:color w:val="auto"/>
        </w:rPr>
      </w:pPr>
      <w:r>
        <w:rPr>
          <w:rFonts w:ascii="Arial" w:cs="Arial" w:eastAsia="Arial" w:hAnsi="Arial"/>
          <w:sz w:val="17"/>
          <w:szCs w:val="17"/>
          <w:color w:val="auto"/>
        </w:rPr>
        <w:t>Partner makes no supply commitments beyond 2022, except as may be agreed between Partner and Gavi/UNICEF/PAHO.</w:t>
      </w:r>
    </w:p>
    <w:p>
      <w:pPr>
        <w:spacing w:after="0" w:line="236" w:lineRule="exact"/>
        <w:rPr>
          <w:rFonts w:ascii="Arial" w:cs="Arial" w:eastAsia="Arial" w:hAnsi="Arial"/>
          <w:sz w:val="17"/>
          <w:szCs w:val="17"/>
          <w:color w:val="auto"/>
        </w:rPr>
      </w:pPr>
    </w:p>
    <w:p>
      <w:pPr>
        <w:ind w:left="1960" w:right="20" w:hanging="656"/>
        <w:spacing w:after="0" w:line="277" w:lineRule="auto"/>
        <w:tabs>
          <w:tab w:leader="none" w:pos="196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The commitment to participate in the tender / negotiate with Gavi/UNICEF/PAHO Facility shall remain binding on Partner through [*****] and continue as long as good faith negotiations between the parties continue.</w:t>
      </w:r>
    </w:p>
    <w:p>
      <w:pPr>
        <w:spacing w:after="0" w:line="170" w:lineRule="exact"/>
        <w:rPr>
          <w:rFonts w:ascii="Arial" w:cs="Arial" w:eastAsia="Arial" w:hAnsi="Arial"/>
          <w:sz w:val="18"/>
          <w:szCs w:val="18"/>
          <w:color w:val="auto"/>
        </w:rPr>
      </w:pPr>
    </w:p>
    <w:p>
      <w:pPr>
        <w:jc w:val="both"/>
        <w:ind w:left="1960" w:hanging="656"/>
        <w:spacing w:after="0" w:line="279" w:lineRule="auto"/>
        <w:tabs>
          <w:tab w:leader="none" w:pos="1960" w:val="left"/>
        </w:tabs>
        <w:numPr>
          <w:ilvl w:val="1"/>
          <w:numId w:val="326"/>
        </w:numPr>
        <w:rPr>
          <w:rFonts w:ascii="Arial" w:cs="Arial" w:eastAsia="Arial" w:hAnsi="Arial"/>
          <w:sz w:val="17"/>
          <w:szCs w:val="17"/>
          <w:color w:val="auto"/>
        </w:rPr>
      </w:pPr>
      <w:r>
        <w:rPr>
          <w:rFonts w:ascii="Arial" w:cs="Arial" w:eastAsia="Arial" w:hAnsi="Arial"/>
          <w:sz w:val="17"/>
          <w:szCs w:val="17"/>
          <w:color w:val="auto"/>
        </w:rPr>
        <w:t>Terms and conditions of supply of CVnCoV doses must be made in a timely manner that enables COVAX represented economies to receive the vaccine as soon as reasonably possible after receipt of Marketing Authorization, respecting Partner's existing contractual obligations, and latest [*****]. Partner will equally respect its supply commitments towards its customers that receive CVnCoV on a [*****], both with respect to timing and completeness of commitments.</w:t>
      </w:r>
    </w:p>
    <w:p>
      <w:pPr>
        <w:spacing w:after="0" w:line="171" w:lineRule="exact"/>
        <w:rPr>
          <w:rFonts w:ascii="Arial" w:cs="Arial" w:eastAsia="Arial" w:hAnsi="Arial"/>
          <w:sz w:val="17"/>
          <w:szCs w:val="17"/>
          <w:color w:val="auto"/>
        </w:rPr>
      </w:pPr>
    </w:p>
    <w:p>
      <w:pPr>
        <w:ind w:left="1960" w:right="20" w:hanging="656"/>
        <w:spacing w:after="0" w:line="277" w:lineRule="auto"/>
        <w:tabs>
          <w:tab w:leader="none" w:pos="196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Distribution of CVnCoV doses shall be made to any and all country income levels based upon COVAX country participation and associated allocation model.</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1"/>
          <w:numId w:val="326"/>
        </w:numPr>
        <w:rPr>
          <w:rFonts w:ascii="Arial" w:cs="Arial" w:eastAsia="Arial" w:hAnsi="Arial"/>
          <w:sz w:val="17"/>
          <w:szCs w:val="17"/>
          <w:color w:val="auto"/>
        </w:rPr>
      </w:pPr>
      <w:r>
        <w:rPr>
          <w:rFonts w:ascii="Arial" w:cs="Arial" w:eastAsia="Arial" w:hAnsi="Arial"/>
          <w:sz w:val="17"/>
          <w:szCs w:val="17"/>
          <w:color w:val="auto"/>
        </w:rPr>
        <w:t>For the avoidance of doubt, Partner is otherwise is free to dispose of the remaining doses of CVnCoV in its sole discretion.</w:t>
      </w:r>
    </w:p>
    <w:p>
      <w:pPr>
        <w:spacing w:after="0" w:line="236" w:lineRule="exact"/>
        <w:rPr>
          <w:rFonts w:ascii="Arial" w:cs="Arial" w:eastAsia="Arial" w:hAnsi="Arial"/>
          <w:sz w:val="17"/>
          <w:szCs w:val="17"/>
          <w:color w:val="auto"/>
        </w:rPr>
      </w:pPr>
    </w:p>
    <w:p>
      <w:pPr>
        <w:ind w:left="520" w:right="20" w:hanging="188"/>
        <w:spacing w:after="0" w:line="277" w:lineRule="auto"/>
        <w:tabs>
          <w:tab w:leader="none" w:pos="520"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Approvals for Contractors and Subcontractors.</w:t>
      </w:r>
      <w:r>
        <w:rPr>
          <w:rFonts w:ascii="Arial" w:cs="Arial" w:eastAsia="Arial" w:hAnsi="Arial"/>
          <w:sz w:val="18"/>
          <w:szCs w:val="18"/>
          <w:color w:val="auto"/>
        </w:rPr>
        <w:t xml:space="preserve"> The FPA provisions related to approvals by the JMAG for the use of contractors and subcontractors in Clause 10.1 (Contractors and Sub-Contrators) are waived for CVnCoV.</w:t>
      </w:r>
    </w:p>
    <w:p>
      <w:pPr>
        <w:spacing w:after="0" w:line="170" w:lineRule="exact"/>
        <w:rPr>
          <w:rFonts w:ascii="Arial" w:cs="Arial" w:eastAsia="Arial" w:hAnsi="Arial"/>
          <w:sz w:val="18"/>
          <w:szCs w:val="18"/>
          <w:color w:val="auto"/>
        </w:rPr>
      </w:pPr>
    </w:p>
    <w:p>
      <w:pPr>
        <w:ind w:left="520" w:hanging="188"/>
        <w:spacing w:after="0" w:line="277" w:lineRule="auto"/>
        <w:tabs>
          <w:tab w:leader="none" w:pos="520"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Public Health License.</w:t>
      </w:r>
      <w:r>
        <w:rPr>
          <w:rFonts w:ascii="Arial" w:cs="Arial" w:eastAsia="Arial" w:hAnsi="Arial"/>
          <w:sz w:val="18"/>
          <w:szCs w:val="18"/>
          <w:color w:val="auto"/>
        </w:rPr>
        <w:t xml:space="preserve"> The FPA provisions related to the public health license in Sections 11 (Public Health License) and 12 (Conditions Precedent and Exercise of the Public Health License) are waived for CVnCoV.</w:t>
      </w:r>
    </w:p>
    <w:p>
      <w:pPr>
        <w:spacing w:after="0" w:line="170" w:lineRule="exact"/>
        <w:rPr>
          <w:rFonts w:ascii="Arial" w:cs="Arial" w:eastAsia="Arial" w:hAnsi="Arial"/>
          <w:sz w:val="18"/>
          <w:szCs w:val="18"/>
          <w:color w:val="auto"/>
        </w:rPr>
      </w:pPr>
    </w:p>
    <w:p>
      <w:pPr>
        <w:ind w:left="520" w:hanging="188"/>
        <w:spacing w:after="0" w:line="277" w:lineRule="auto"/>
        <w:tabs>
          <w:tab w:leader="none" w:pos="520"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Commercial Benefit Sharing.</w:t>
      </w:r>
      <w:r>
        <w:rPr>
          <w:rFonts w:ascii="Arial" w:cs="Arial" w:eastAsia="Arial" w:hAnsi="Arial"/>
          <w:sz w:val="18"/>
          <w:szCs w:val="18"/>
          <w:color w:val="auto"/>
        </w:rPr>
        <w:t xml:space="preserve"> The FPA provisions related to the sharing of commercial benefits in Section 13 (Commercial Benefits Arising from Commercial Use) are waived for CVnCoV.</w:t>
      </w:r>
    </w:p>
    <w:p>
      <w:pPr>
        <w:spacing w:after="0" w:line="170" w:lineRule="exact"/>
        <w:rPr>
          <w:rFonts w:ascii="Arial" w:cs="Arial" w:eastAsia="Arial" w:hAnsi="Arial"/>
          <w:sz w:val="18"/>
          <w:szCs w:val="18"/>
          <w:color w:val="auto"/>
        </w:rPr>
      </w:pPr>
    </w:p>
    <w:p>
      <w:pPr>
        <w:ind w:left="520" w:hanging="188"/>
        <w:spacing w:after="0" w:line="277" w:lineRule="auto"/>
        <w:tabs>
          <w:tab w:leader="none" w:pos="520"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No Additional Funding from CEPI.</w:t>
      </w:r>
      <w:r>
        <w:rPr>
          <w:rFonts w:ascii="Arial" w:cs="Arial" w:eastAsia="Arial" w:hAnsi="Arial"/>
          <w:sz w:val="18"/>
          <w:szCs w:val="18"/>
          <w:color w:val="auto"/>
        </w:rPr>
        <w:t xml:space="preserve"> For the avoidance of doubt, CEPI will not provide any additional funding beyond the previously agreed $15.3M for the CVnCoV Work Package.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Save as set out above, all terms and conditions of the FPA shall remain unchanged and shall remain in full force and effect.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10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6" w:name="page477"/>
    <w:bookmarkEnd w:id="476"/>
    <w:p>
      <w:pPr>
        <w:spacing w:after="0"/>
        <w:rPr>
          <w:sz w:val="20"/>
          <w:szCs w:val="20"/>
          <w:color w:val="auto"/>
        </w:rPr>
      </w:pPr>
      <w:r>
        <w:rPr>
          <w:rFonts w:ascii="Arial" w:cs="Arial" w:eastAsia="Arial" w:hAnsi="Arial"/>
          <w:sz w:val="17"/>
          <w:szCs w:val="17"/>
          <w:color w:val="auto"/>
        </w:rPr>
        <w:t xml:space="preserve">Signed for and on behalf of </w:t>
      </w:r>
      <w:r>
        <w:rPr>
          <w:rFonts w:ascii="Arial" w:cs="Arial" w:eastAsia="Arial" w:hAnsi="Arial"/>
          <w:sz w:val="17"/>
          <w:szCs w:val="17"/>
          <w:b w:val="1"/>
          <w:bCs w:val="1"/>
          <w:color w:val="auto"/>
        </w:rPr>
        <w:t>COALITION FOR EPIDEMIC PREPAREDNESS INNOVATIONS</w:t>
      </w:r>
      <w:r>
        <w:rPr>
          <w:rFonts w:ascii="Arial" w:cs="Arial" w:eastAsia="Arial" w:hAnsi="Arial"/>
          <w:sz w:val="17"/>
          <w:szCs w:val="17"/>
          <w:color w:val="auto"/>
        </w:rPr>
        <w:t xml:space="preserve"> by:</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Signature:</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1C294B"/>
              </w:rPr>
              <w:t>Name:</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r>
      <w:tr>
        <w:trPr>
          <w:trHeight w:val="425"/>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11, 2020</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Signed for and on behalf of </w:t>
      </w:r>
      <w:r>
        <w:rPr>
          <w:rFonts w:ascii="Arial" w:cs="Arial" w:eastAsia="Arial" w:hAnsi="Arial"/>
          <w:sz w:val="18"/>
          <w:szCs w:val="18"/>
          <w:b w:val="1"/>
          <w:bCs w:val="1"/>
          <w:color w:val="auto"/>
        </w:rPr>
        <w:t>CureVac AG</w:t>
      </w:r>
      <w:r>
        <w:rPr>
          <w:rFonts w:ascii="Arial" w:cs="Arial" w:eastAsia="Arial" w:hAnsi="Arial"/>
          <w:sz w:val="18"/>
          <w:szCs w:val="18"/>
          <w:color w:val="auto"/>
        </w:rPr>
        <w:t xml:space="preserve"> by: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Signature:</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1C294B"/>
              </w:rPr>
              <w:t>Name:</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r>
      <w:tr>
        <w:trPr>
          <w:trHeight w:val="425"/>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11, 2020</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Signature:</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r>
      <w:tr>
        <w:trPr>
          <w:trHeight w:val="425"/>
        </w:trPr>
        <w:tc>
          <w:tcPr>
            <w:tcW w:w="920" w:type="dxa"/>
            <w:vAlign w:val="bottom"/>
          </w:tcPr>
          <w:p>
            <w:pPr>
              <w:spacing w:after="0"/>
              <w:rPr>
                <w:sz w:val="20"/>
                <w:szCs w:val="20"/>
                <w:color w:val="auto"/>
              </w:rPr>
            </w:pPr>
            <w:r>
              <w:rPr>
                <w:rFonts w:ascii="Arial" w:cs="Arial" w:eastAsia="Arial" w:hAnsi="Arial"/>
                <w:sz w:val="18"/>
                <w:szCs w:val="18"/>
                <w:color w:val="1C294B"/>
              </w:rPr>
              <w:t>Name:</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r>
      <w:tr>
        <w:trPr>
          <w:trHeight w:val="425"/>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11, 2020</w:t>
            </w:r>
          </w:p>
        </w:tc>
      </w:tr>
    </w:tbl>
    <w:p>
      <w:pPr>
        <w:spacing w:after="0" w:line="20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10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77" w:name="page478"/>
    <w:bookmarkEnd w:id="477"/>
    <w:p>
      <w:pPr>
        <w:jc w:val="right"/>
        <w:spacing w:after="0"/>
        <w:rPr>
          <w:sz w:val="20"/>
          <w:szCs w:val="20"/>
          <w:color w:val="auto"/>
        </w:rPr>
      </w:pPr>
      <w:r>
        <w:rPr>
          <w:rFonts w:ascii="Arial" w:cs="Arial" w:eastAsia="Arial" w:hAnsi="Arial"/>
          <w:sz w:val="22"/>
          <w:szCs w:val="22"/>
          <w:b w:val="1"/>
          <w:bCs w:val="1"/>
          <w:color w:val="auto"/>
        </w:rPr>
        <w:t>Exhibit 23.1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reference to our firm under the caption “Experts” and to the use of our report dated April 29, 2020 (except Note 1, as to which the date 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November 27, 2020), with respect to the consolidated financial statements of CureVac AG, included in the Registration Statement (Form F-1) and related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Prospectus of CureVac N.V. for the registration of its common shares.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GmbH Wirtschaftsprüfungsgesellschaft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Stuttgart, 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10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22FBB7"/>
    <w:multiLevelType w:val="hybridMultilevel"/>
    <w:lvl w:ilvl="0">
      <w:lvlJc w:val="left"/>
      <w:lvlText w:val="†"/>
      <w:numFmt w:val="bullet"/>
      <w:start w:val="1"/>
    </w:lvl>
  </w:abstractNum>
  <w:abstractNum w:abstractNumId="1">
    <w:nsid w:val="29934699"/>
    <w:multiLevelType w:val="hybridMultilevel"/>
    <w:lvl w:ilvl="0">
      <w:lvlJc w:val="left"/>
      <w:lvlText w:val="(%1)"/>
      <w:numFmt w:val="decimal"/>
      <w:start w:val="1"/>
    </w:lvl>
  </w:abstractNum>
  <w:abstractNum w:abstractNumId="2">
    <w:nsid w:val="77485850"/>
    <w:multiLevelType w:val="hybridMultilevel"/>
    <w:lvl w:ilvl="0">
      <w:lvlJc w:val="left"/>
      <w:lvlText w:val="(%1)"/>
      <w:numFmt w:val="decimal"/>
      <w:start w:val="1"/>
    </w:lvl>
  </w:abstractNum>
  <w:abstractNum w:abstractNumId="3">
    <w:nsid w:val="744939A3"/>
    <w:multiLevelType w:val="hybridMultilevel"/>
    <w:lvl w:ilvl="0">
      <w:lvlJc w:val="left"/>
      <w:lvlText w:val="•"/>
      <w:numFmt w:val="bullet"/>
      <w:start w:val="1"/>
    </w:lvl>
  </w:abstractNum>
  <w:abstractNum w:abstractNumId="4">
    <w:nsid w:val="4FA0D2E3"/>
    <w:multiLevelType w:val="hybridMultilevel"/>
    <w:lvl w:ilvl="0">
      <w:lvlJc w:val="left"/>
      <w:lvlText w:val="*"/>
      <w:numFmt w:val="bullet"/>
      <w:start w:val="1"/>
    </w:lvl>
  </w:abstractNum>
  <w:abstractNum w:abstractNumId="5">
    <w:nsid w:val="6B1D2C14"/>
    <w:multiLevelType w:val="hybridMultilevel"/>
    <w:lvl w:ilvl="0">
      <w:lvlJc w:val="left"/>
      <w:lvlText w:val="**"/>
      <w:numFmt w:val="bullet"/>
      <w:start w:val="1"/>
    </w:lvl>
  </w:abstractNum>
  <w:abstractNum w:abstractNumId="6">
    <w:nsid w:val="68B867D3"/>
    <w:multiLevelType w:val="hybridMultilevel"/>
    <w:lvl w:ilvl="0">
      <w:lvlJc w:val="left"/>
      <w:lvlText w:val="(%1)"/>
      <w:numFmt w:val="decimal"/>
      <w:start w:val="1"/>
    </w:lvl>
  </w:abstractNum>
  <w:abstractNum w:abstractNumId="7">
    <w:nsid w:val="3F7F5DD9"/>
    <w:multiLevelType w:val="hybridMultilevel"/>
    <w:lvl w:ilvl="0">
      <w:lvlJc w:val="left"/>
      <w:lvlText w:val="•"/>
      <w:numFmt w:val="bullet"/>
      <w:start w:val="1"/>
    </w:lvl>
  </w:abstractNum>
  <w:abstractNum w:abstractNumId="8">
    <w:nsid w:val="2AE05A34"/>
    <w:multiLevelType w:val="hybridMultilevel"/>
    <w:lvl w:ilvl="0">
      <w:lvlJc w:val="left"/>
      <w:lvlText w:val="•"/>
      <w:numFmt w:val="bullet"/>
      <w:start w:val="1"/>
    </w:lvl>
  </w:abstractNum>
  <w:abstractNum w:abstractNumId="9">
    <w:nsid w:val="32794FF7"/>
    <w:multiLevelType w:val="hybridMultilevel"/>
    <w:lvl w:ilvl="0">
      <w:lvlJc w:val="left"/>
      <w:lvlText w:val="(%1)"/>
      <w:numFmt w:val="lowerRoman"/>
      <w:start w:val="1"/>
    </w:lvl>
  </w:abstractNum>
  <w:abstractNum w:abstractNumId="10">
    <w:nsid w:val="5454945E"/>
    <w:multiLevelType w:val="hybridMultilevel"/>
    <w:lvl w:ilvl="0">
      <w:lvlJc w:val="left"/>
      <w:lvlText w:val="(%1)"/>
      <w:numFmt w:val="lowerRoman"/>
      <w:start w:val="3"/>
    </w:lvl>
  </w:abstractNum>
  <w:abstractNum w:abstractNumId="11">
    <w:nsid w:val="4DEFDFA0"/>
    <w:multiLevelType w:val="hybridMultilevel"/>
    <w:lvl w:ilvl="0">
      <w:lvlJc w:val="left"/>
      <w:lvlText w:val="•"/>
      <w:numFmt w:val="bullet"/>
      <w:start w:val="1"/>
    </w:lvl>
  </w:abstractNum>
  <w:abstractNum w:abstractNumId="12">
    <w:nsid w:val="2123D5F2"/>
    <w:multiLevelType w:val="hybridMultilevel"/>
    <w:lvl w:ilvl="0">
      <w:lvlJc w:val="left"/>
      <w:lvlText w:val="•"/>
      <w:numFmt w:val="bullet"/>
      <w:start w:val="1"/>
    </w:lvl>
  </w:abstractNum>
  <w:abstractNum w:abstractNumId="13">
    <w:nsid w:val="135B8110"/>
    <w:multiLevelType w:val="hybridMultilevel"/>
    <w:lvl w:ilvl="0">
      <w:lvlJc w:val="left"/>
      <w:lvlText w:val="•"/>
      <w:numFmt w:val="bullet"/>
      <w:start w:val="1"/>
    </w:lvl>
  </w:abstractNum>
  <w:abstractNum w:abstractNumId="14">
    <w:nsid w:val="94927A8"/>
    <w:multiLevelType w:val="hybridMultilevel"/>
    <w:lvl w:ilvl="0">
      <w:lvlJc w:val="left"/>
      <w:lvlText w:val="(%1)"/>
      <w:numFmt w:val="lowerRoman"/>
      <w:start w:val="2"/>
    </w:lvl>
  </w:abstractNum>
  <w:abstractNum w:abstractNumId="15">
    <w:nsid w:val="DCDF8F6"/>
    <w:multiLevelType w:val="hybridMultilevel"/>
    <w:lvl w:ilvl="0">
      <w:lvlJc w:val="left"/>
      <w:lvlText w:val="(%1)"/>
      <w:numFmt w:val="lowerRoman"/>
      <w:start w:val="1"/>
    </w:lvl>
  </w:abstractNum>
  <w:abstractNum w:abstractNumId="16">
    <w:nsid w:val="52D7B105"/>
    <w:multiLevelType w:val="hybridMultilevel"/>
    <w:lvl w:ilvl="0">
      <w:lvlJc w:val="left"/>
      <w:lvlText w:val="(%1)"/>
      <w:numFmt w:val="lowerRoman"/>
      <w:start w:val="4"/>
    </w:lvl>
  </w:abstractNum>
  <w:abstractNum w:abstractNumId="17">
    <w:nsid w:val="2E8A6394"/>
    <w:multiLevelType w:val="hybridMultilevel"/>
    <w:lvl w:ilvl="0">
      <w:lvlJc w:val="left"/>
      <w:lvlText w:val="•"/>
      <w:numFmt w:val="bullet"/>
      <w:start w:val="1"/>
    </w:lvl>
  </w:abstractNum>
  <w:abstractNum w:abstractNumId="18">
    <w:nsid w:val="24E60401"/>
    <w:multiLevelType w:val="hybridMultilevel"/>
    <w:lvl w:ilvl="0">
      <w:lvlJc w:val="left"/>
      <w:lvlText w:val="(%1)"/>
      <w:numFmt w:val="decimal"/>
      <w:start w:val="1"/>
    </w:lvl>
  </w:abstractNum>
  <w:abstractNum w:abstractNumId="19">
    <w:nsid w:val="2A6AD9BE"/>
    <w:multiLevelType w:val="hybridMultilevel"/>
    <w:lvl w:ilvl="0">
      <w:lvlJc w:val="left"/>
      <w:lvlText w:val="•"/>
      <w:numFmt w:val="bullet"/>
      <w:start w:val="1"/>
    </w:lvl>
  </w:abstractNum>
  <w:abstractNum w:abstractNumId="20">
    <w:nsid w:val="BAAC1B4"/>
    <w:multiLevelType w:val="hybridMultilevel"/>
    <w:lvl w:ilvl="0">
      <w:lvlJc w:val="left"/>
      <w:lvlText w:val="•"/>
      <w:numFmt w:val="bullet"/>
      <w:start w:val="1"/>
    </w:lvl>
  </w:abstractNum>
  <w:abstractNum w:abstractNumId="21">
    <w:nsid w:val="36B2ACBC"/>
    <w:multiLevelType w:val="hybridMultilevel"/>
    <w:lvl w:ilvl="0">
      <w:lvlJc w:val="left"/>
      <w:lvlText w:val="•"/>
      <w:numFmt w:val="bullet"/>
      <w:start w:val="1"/>
    </w:lvl>
  </w:abstractNum>
  <w:abstractNum w:abstractNumId="22">
    <w:nsid w:val="779D8544"/>
    <w:multiLevelType w:val="hybridMultilevel"/>
    <w:lvl w:ilvl="0">
      <w:lvlJc w:val="left"/>
      <w:lvlText w:val="•"/>
      <w:numFmt w:val="bullet"/>
      <w:start w:val="1"/>
    </w:lvl>
  </w:abstractNum>
  <w:abstractNum w:abstractNumId="23">
    <w:nsid w:val="4AB26E78"/>
    <w:multiLevelType w:val="hybridMultilevel"/>
    <w:lvl w:ilvl="0">
      <w:lvlJc w:val="left"/>
      <w:lvlText w:val="•"/>
      <w:numFmt w:val="bullet"/>
      <w:start w:val="1"/>
    </w:lvl>
  </w:abstractNum>
  <w:abstractNum w:abstractNumId="24">
    <w:nsid w:val="21FAA2FA"/>
    <w:multiLevelType w:val="hybridMultilevel"/>
    <w:lvl w:ilvl="0">
      <w:lvlJc w:val="left"/>
      <w:lvlText w:val="•"/>
      <w:numFmt w:val="bullet"/>
      <w:start w:val="1"/>
    </w:lvl>
  </w:abstractNum>
  <w:abstractNum w:abstractNumId="25">
    <w:nsid w:val="5451CF49"/>
    <w:multiLevelType w:val="hybridMultilevel"/>
    <w:lvl w:ilvl="0">
      <w:lvlJc w:val="left"/>
      <w:lvlText w:val="•"/>
      <w:numFmt w:val="bullet"/>
      <w:start w:val="1"/>
    </w:lvl>
  </w:abstractNum>
  <w:abstractNum w:abstractNumId="26">
    <w:nsid w:val="6181EF69"/>
    <w:multiLevelType w:val="hybridMultilevel"/>
    <w:lvl w:ilvl="0">
      <w:lvlJc w:val="left"/>
      <w:lvlText w:val="•"/>
      <w:numFmt w:val="bullet"/>
      <w:start w:val="1"/>
    </w:lvl>
  </w:abstractNum>
  <w:abstractNum w:abstractNumId="27">
    <w:nsid w:val="3E6400E6"/>
    <w:multiLevelType w:val="hybridMultilevel"/>
    <w:lvl w:ilvl="0">
      <w:lvlJc w:val="left"/>
      <w:lvlText w:val="•"/>
      <w:numFmt w:val="bullet"/>
      <w:start w:val="1"/>
    </w:lvl>
  </w:abstractNum>
  <w:abstractNum w:abstractNumId="28">
    <w:nsid w:val="14217E23"/>
    <w:multiLevelType w:val="hybridMultilevel"/>
    <w:lvl w:ilvl="0">
      <w:lvlJc w:val="left"/>
      <w:lvlText w:val="•"/>
      <w:numFmt w:val="bullet"/>
      <w:start w:val="1"/>
    </w:lvl>
  </w:abstractNum>
  <w:abstractNum w:abstractNumId="29">
    <w:nsid w:val="710757D0"/>
    <w:multiLevelType w:val="hybridMultilevel"/>
    <w:lvl w:ilvl="0">
      <w:lvlJc w:val="left"/>
      <w:lvlText w:val="•"/>
      <w:numFmt w:val="bullet"/>
      <w:start w:val="1"/>
    </w:lvl>
  </w:abstractNum>
  <w:abstractNum w:abstractNumId="30">
    <w:nsid w:val="5015CD1A"/>
    <w:multiLevelType w:val="hybridMultilevel"/>
    <w:lvl w:ilvl="0">
      <w:lvlJc w:val="left"/>
      <w:lvlText w:val="%1."/>
      <w:numFmt w:val="decimal"/>
      <w:start w:val="19"/>
    </w:lvl>
  </w:abstractNum>
  <w:abstractNum w:abstractNumId="31">
    <w:nsid w:val="424479DA"/>
    <w:multiLevelType w:val="hybridMultilevel"/>
    <w:lvl w:ilvl="0">
      <w:lvlJc w:val="left"/>
      <w:lvlText w:val="•"/>
      <w:numFmt w:val="bullet"/>
      <w:start w:val="1"/>
    </w:lvl>
  </w:abstractNum>
  <w:abstractNum w:abstractNumId="32">
    <w:nsid w:val="1A9A9E69"/>
    <w:multiLevelType w:val="hybridMultilevel"/>
    <w:lvl w:ilvl="0">
      <w:lvlJc w:val="left"/>
      <w:lvlText w:val="•"/>
      <w:numFmt w:val="bullet"/>
      <w:start w:val="1"/>
    </w:lvl>
  </w:abstractNum>
  <w:abstractNum w:abstractNumId="33">
    <w:nsid w:val="475E256A"/>
    <w:multiLevelType w:val="hybridMultilevel"/>
    <w:lvl w:ilvl="0">
      <w:lvlJc w:val="left"/>
      <w:lvlText w:val="•"/>
      <w:numFmt w:val="bullet"/>
      <w:start w:val="1"/>
    </w:lvl>
  </w:abstractNum>
  <w:abstractNum w:abstractNumId="34">
    <w:nsid w:val="368DB37E"/>
    <w:multiLevelType w:val="hybridMultilevel"/>
    <w:lvl w:ilvl="0">
      <w:lvlJc w:val="left"/>
      <w:lvlText w:val="•"/>
      <w:numFmt w:val="bullet"/>
      <w:start w:val="1"/>
    </w:lvl>
  </w:abstractNum>
  <w:abstractNum w:abstractNumId="35">
    <w:nsid w:val="6A3B714C"/>
    <w:multiLevelType w:val="hybridMultilevel"/>
    <w:lvl w:ilvl="0">
      <w:lvlJc w:val="left"/>
      <w:lvlText w:val="•"/>
      <w:numFmt w:val="bullet"/>
      <w:start w:val="1"/>
    </w:lvl>
  </w:abstractNum>
  <w:abstractNum w:abstractNumId="36">
    <w:nsid w:val="327B517E"/>
    <w:multiLevelType w:val="hybridMultilevel"/>
    <w:lvl w:ilvl="0">
      <w:lvlJc w:val="left"/>
      <w:lvlText w:val="•"/>
      <w:numFmt w:val="bullet"/>
      <w:start w:val="1"/>
    </w:lvl>
  </w:abstractNum>
  <w:abstractNum w:abstractNumId="37">
    <w:nsid w:val="1F461B51"/>
    <w:multiLevelType w:val="hybridMultilevel"/>
    <w:lvl w:ilvl="0">
      <w:lvlJc w:val="left"/>
      <w:lvlText w:val="•"/>
      <w:numFmt w:val="bullet"/>
      <w:start w:val="1"/>
    </w:lvl>
  </w:abstractNum>
  <w:abstractNum w:abstractNumId="38">
    <w:nsid w:val="29BACF25"/>
    <w:multiLevelType w:val="hybridMultilevel"/>
    <w:lvl w:ilvl="0">
      <w:lvlJc w:val="left"/>
      <w:lvlText w:val="•"/>
      <w:numFmt w:val="bullet"/>
      <w:start w:val="1"/>
    </w:lvl>
  </w:abstractNum>
  <w:abstractNum w:abstractNumId="39">
    <w:nsid w:val="5D5BABB3"/>
    <w:multiLevelType w:val="hybridMultilevel"/>
    <w:lvl w:ilvl="0">
      <w:lvlJc w:val="left"/>
      <w:lvlText w:val="•"/>
      <w:numFmt w:val="bullet"/>
      <w:start w:val="1"/>
    </w:lvl>
  </w:abstractNum>
  <w:abstractNum w:abstractNumId="40">
    <w:nsid w:val="51BF6B48"/>
    <w:multiLevelType w:val="hybridMultilevel"/>
    <w:lvl w:ilvl="0">
      <w:lvlJc w:val="left"/>
      <w:lvlText w:val="•"/>
      <w:numFmt w:val="bullet"/>
      <w:start w:val="1"/>
    </w:lvl>
  </w:abstractNum>
  <w:abstractNum w:abstractNumId="41">
    <w:nsid w:val="7E0F6384"/>
    <w:multiLevelType w:val="hybridMultilevel"/>
    <w:lvl w:ilvl="0">
      <w:lvlJc w:val="left"/>
      <w:lvlText w:val="•"/>
      <w:numFmt w:val="bullet"/>
      <w:start w:val="1"/>
    </w:lvl>
  </w:abstractNum>
  <w:abstractNum w:abstractNumId="42">
    <w:nsid w:val="2B4B8B53"/>
    <w:multiLevelType w:val="hybridMultilevel"/>
    <w:lvl w:ilvl="0">
      <w:lvlJc w:val="left"/>
      <w:lvlText w:val="•"/>
      <w:numFmt w:val="bullet"/>
      <w:start w:val="1"/>
    </w:lvl>
  </w:abstractNum>
  <w:abstractNum w:abstractNumId="43">
    <w:nsid w:val="72E3413A"/>
    <w:multiLevelType w:val="hybridMultilevel"/>
    <w:lvl w:ilvl="0">
      <w:lvlJc w:val="left"/>
      <w:lvlText w:val="•"/>
      <w:numFmt w:val="bullet"/>
      <w:start w:val="1"/>
    </w:lvl>
  </w:abstractNum>
  <w:abstractNum w:abstractNumId="44">
    <w:nsid w:val="116AE494"/>
    <w:multiLevelType w:val="hybridMultilevel"/>
    <w:lvl w:ilvl="0">
      <w:lvlJc w:val="left"/>
      <w:lvlText w:val="•"/>
      <w:numFmt w:val="bullet"/>
      <w:start w:val="1"/>
    </w:lvl>
  </w:abstractNum>
  <w:abstractNum w:abstractNumId="45">
    <w:nsid w:val="3494B2FB"/>
    <w:multiLevelType w:val="hybridMultilevel"/>
    <w:lvl w:ilvl="0">
      <w:lvlJc w:val="left"/>
      <w:lvlText w:val="•"/>
      <w:numFmt w:val="bullet"/>
      <w:start w:val="1"/>
    </w:lvl>
  </w:abstractNum>
  <w:abstractNum w:abstractNumId="46">
    <w:nsid w:val="B13A31"/>
    <w:multiLevelType w:val="hybridMultilevel"/>
    <w:lvl w:ilvl="0">
      <w:lvlJc w:val="left"/>
      <w:lvlText w:val="•"/>
      <w:numFmt w:val="bullet"/>
      <w:start w:val="1"/>
    </w:lvl>
  </w:abstractNum>
  <w:abstractNum w:abstractNumId="47">
    <w:nsid w:val="64429599"/>
    <w:multiLevelType w:val="hybridMultilevel"/>
    <w:lvl w:ilvl="0">
      <w:lvlJc w:val="left"/>
      <w:lvlText w:val="•"/>
      <w:numFmt w:val="bullet"/>
      <w:start w:val="1"/>
    </w:lvl>
  </w:abstractNum>
  <w:abstractNum w:abstractNumId="48">
    <w:nsid w:val="631F1690"/>
    <w:multiLevelType w:val="hybridMultilevel"/>
    <w:lvl w:ilvl="0">
      <w:lvlJc w:val="left"/>
      <w:lvlText w:val="•"/>
      <w:numFmt w:val="bullet"/>
      <w:start w:val="1"/>
    </w:lvl>
  </w:abstractNum>
  <w:abstractNum w:abstractNumId="49">
    <w:nsid w:val="25973E32"/>
    <w:multiLevelType w:val="hybridMultilevel"/>
    <w:lvl w:ilvl="0">
      <w:lvlJc w:val="left"/>
      <w:lvlText w:val="•"/>
      <w:numFmt w:val="bullet"/>
      <w:start w:val="1"/>
    </w:lvl>
  </w:abstractNum>
  <w:abstractNum w:abstractNumId="50">
    <w:nsid w:val="EAD6F57"/>
    <w:multiLevelType w:val="hybridMultilevel"/>
    <w:lvl w:ilvl="0">
      <w:lvlJc w:val="left"/>
      <w:lvlText w:val="•"/>
      <w:numFmt w:val="bullet"/>
      <w:start w:val="1"/>
    </w:lvl>
  </w:abstractNum>
  <w:abstractNum w:abstractNumId="51">
    <w:nsid w:val="6EC9D844"/>
    <w:multiLevelType w:val="hybridMultilevel"/>
    <w:lvl w:ilvl="0">
      <w:lvlJc w:val="left"/>
      <w:lvlText w:val="•"/>
      <w:numFmt w:val="bullet"/>
      <w:start w:val="1"/>
    </w:lvl>
  </w:abstractNum>
  <w:abstractNum w:abstractNumId="52">
    <w:nsid w:val="5C49EAEE"/>
    <w:multiLevelType w:val="hybridMultilevel"/>
    <w:lvl w:ilvl="0">
      <w:lvlJc w:val="left"/>
      <w:lvlText w:val="•"/>
      <w:numFmt w:val="bullet"/>
      <w:start w:val="1"/>
    </w:lvl>
  </w:abstractNum>
  <w:abstractNum w:abstractNumId="53">
    <w:nsid w:val="64AF49B"/>
    <w:multiLevelType w:val="hybridMultilevel"/>
    <w:lvl w:ilvl="0">
      <w:lvlJc w:val="left"/>
      <w:lvlText w:val="•"/>
      <w:numFmt w:val="bullet"/>
      <w:start w:val="1"/>
    </w:lvl>
  </w:abstractNum>
  <w:abstractNum w:abstractNumId="54">
    <w:nsid w:val="397C46BC"/>
    <w:multiLevelType w:val="hybridMultilevel"/>
    <w:lvl w:ilvl="0">
      <w:lvlJc w:val="left"/>
      <w:lvlText w:val="•"/>
      <w:numFmt w:val="bullet"/>
      <w:start w:val="1"/>
    </w:lvl>
  </w:abstractNum>
  <w:abstractNum w:abstractNumId="55">
    <w:nsid w:val="7E448DE9"/>
    <w:multiLevelType w:val="hybridMultilevel"/>
    <w:lvl w:ilvl="0">
      <w:lvlJc w:val="left"/>
      <w:lvlText w:val="(%1)"/>
      <w:numFmt w:val="lowerRoman"/>
      <w:start w:val="2"/>
    </w:lvl>
  </w:abstractNum>
  <w:abstractNum w:abstractNumId="56">
    <w:nsid w:val="5A9CC3E5"/>
    <w:multiLevelType w:val="hybridMultilevel"/>
    <w:lvl w:ilvl="0">
      <w:lvlJc w:val="left"/>
      <w:lvlText w:val="(%1)"/>
      <w:numFmt w:val="lowerRoman"/>
      <w:start w:val="3"/>
    </w:lvl>
  </w:abstractNum>
  <w:abstractNum w:abstractNumId="57">
    <w:nsid w:val="1AFE3625"/>
    <w:multiLevelType w:val="hybridMultilevel"/>
    <w:lvl w:ilvl="0">
      <w:lvlJc w:val="left"/>
      <w:lvlText w:val="•"/>
      <w:numFmt w:val="bullet"/>
      <w:start w:val="1"/>
    </w:lvl>
  </w:abstractNum>
  <w:abstractNum w:abstractNumId="58">
    <w:nsid w:val="3CA88ECF"/>
    <w:multiLevelType w:val="hybridMultilevel"/>
    <w:lvl w:ilvl="0">
      <w:lvlJc w:val="left"/>
      <w:lvlText w:val="•"/>
      <w:numFmt w:val="bullet"/>
      <w:start w:val="1"/>
    </w:lvl>
  </w:abstractNum>
  <w:abstractNum w:abstractNumId="59">
    <w:nsid w:val="6EBE4208"/>
    <w:multiLevelType w:val="hybridMultilevel"/>
    <w:lvl w:ilvl="0">
      <w:lvlJc w:val="left"/>
      <w:lvlText w:val="•"/>
      <w:numFmt w:val="bullet"/>
      <w:start w:val="1"/>
    </w:lvl>
  </w:abstractNum>
  <w:abstractNum w:abstractNumId="60">
    <w:nsid w:val="C058DF5"/>
    <w:multiLevelType w:val="hybridMultilevel"/>
    <w:lvl w:ilvl="0">
      <w:lvlJc w:val="left"/>
      <w:lvlText w:val="(%1)"/>
      <w:numFmt w:val="lowerRoman"/>
      <w:start w:val="1"/>
    </w:lvl>
  </w:abstractNum>
  <w:abstractNum w:abstractNumId="61">
    <w:nsid w:val="CBE5BE9"/>
    <w:multiLevelType w:val="hybridMultilevel"/>
    <w:lvl w:ilvl="0">
      <w:lvlJc w:val="left"/>
      <w:lvlText w:val="•"/>
      <w:numFmt w:val="bullet"/>
      <w:start w:val="1"/>
    </w:lvl>
  </w:abstractNum>
  <w:abstractNum w:abstractNumId="62">
    <w:nsid w:val="3102BBE2"/>
    <w:multiLevelType w:val="hybridMultilevel"/>
    <w:lvl w:ilvl="0">
      <w:lvlJc w:val="left"/>
      <w:lvlText w:val="(%1)"/>
      <w:numFmt w:val="decimal"/>
      <w:start w:val="1"/>
    </w:lvl>
  </w:abstractNum>
  <w:abstractNum w:abstractNumId="63">
    <w:nsid w:val="26A02C5E"/>
    <w:multiLevelType w:val="hybridMultilevel"/>
    <w:lvl w:ilvl="0">
      <w:lvlJc w:val="left"/>
      <w:lvlText w:val="(%1)"/>
      <w:numFmt w:val="decimal"/>
      <w:start w:val="1"/>
    </w:lvl>
  </w:abstractNum>
  <w:abstractNum w:abstractNumId="64">
    <w:nsid w:val="541C8153"/>
    <w:multiLevelType w:val="hybridMultilevel"/>
    <w:lvl w:ilvl="0">
      <w:lvlJc w:val="left"/>
      <w:lvlText w:val="•"/>
      <w:numFmt w:val="bullet"/>
      <w:start w:val="1"/>
    </w:lvl>
  </w:abstractNum>
  <w:abstractNum w:abstractNumId="65">
    <w:nsid w:val="67906F60"/>
    <w:multiLevelType w:val="hybridMultilevel"/>
    <w:lvl w:ilvl="0">
      <w:lvlJc w:val="left"/>
      <w:lvlText w:val="(%1)"/>
      <w:numFmt w:val="decimal"/>
      <w:start w:val="1"/>
    </w:lvl>
  </w:abstractNum>
  <w:abstractNum w:abstractNumId="66">
    <w:nsid w:val="10DB9DAA"/>
    <w:multiLevelType w:val="hybridMultilevel"/>
    <w:lvl w:ilvl="0">
      <w:lvlJc w:val="left"/>
      <w:lvlText w:val="•"/>
      <w:numFmt w:val="bullet"/>
      <w:start w:val="1"/>
    </w:lvl>
  </w:abstractNum>
  <w:abstractNum w:abstractNumId="67">
    <w:nsid w:val="697D2D2"/>
    <w:multiLevelType w:val="hybridMultilevel"/>
    <w:lvl w:ilvl="0">
      <w:lvlJc w:val="left"/>
      <w:lvlText w:val="(%1)"/>
      <w:numFmt w:val="decimal"/>
      <w:start w:val="1"/>
    </w:lvl>
  </w:abstractNum>
  <w:abstractNum w:abstractNumId="68">
    <w:nsid w:val="6D68AB2"/>
    <w:multiLevelType w:val="hybridMultilevel"/>
    <w:lvl w:ilvl="0">
      <w:lvlJc w:val="left"/>
      <w:lvlText w:val="•"/>
      <w:numFmt w:val="bullet"/>
      <w:start w:val="1"/>
    </w:lvl>
  </w:abstractNum>
  <w:abstractNum w:abstractNumId="69">
    <w:nsid w:val="3A966CD0"/>
    <w:multiLevelType w:val="hybridMultilevel"/>
    <w:lvl w:ilvl="0">
      <w:lvlJc w:val="left"/>
      <w:lvlText w:val="•"/>
      <w:numFmt w:val="bullet"/>
      <w:start w:val="1"/>
    </w:lvl>
  </w:abstractNum>
  <w:abstractNum w:abstractNumId="70">
    <w:nsid w:val="63F37E85"/>
    <w:multiLevelType w:val="hybridMultilevel"/>
    <w:lvl w:ilvl="0">
      <w:lvlJc w:val="left"/>
      <w:lvlText w:val="•"/>
      <w:numFmt w:val="bullet"/>
      <w:start w:val="1"/>
    </w:lvl>
    <w:lvl w:ilvl="1">
      <w:lvlJc w:val="left"/>
      <w:lvlText w:val="•"/>
      <w:numFmt w:val="bullet"/>
      <w:start w:val="1"/>
    </w:lvl>
  </w:abstractNum>
  <w:abstractNum w:abstractNumId="71">
    <w:nsid w:val="5895F5FA"/>
    <w:multiLevelType w:val="hybridMultilevel"/>
    <w:lvl w:ilvl="0">
      <w:lvlJc w:val="left"/>
      <w:lvlText w:val="•"/>
      <w:numFmt w:val="bullet"/>
      <w:start w:val="1"/>
    </w:lvl>
  </w:abstractNum>
  <w:abstractNum w:abstractNumId="72">
    <w:nsid w:val="38A5D054"/>
    <w:multiLevelType w:val="hybridMultilevel"/>
    <w:lvl w:ilvl="0">
      <w:lvlJc w:val="left"/>
      <w:lvlText w:val="•"/>
      <w:numFmt w:val="bullet"/>
      <w:start w:val="1"/>
    </w:lvl>
  </w:abstractNum>
  <w:abstractNum w:abstractNumId="73">
    <w:nsid w:val="F3F09D8"/>
    <w:multiLevelType w:val="hybridMultilevel"/>
    <w:lvl w:ilvl="0">
      <w:lvlJc w:val="left"/>
      <w:lvlText w:val="(%1)"/>
      <w:numFmt w:val="lowerRoman"/>
      <w:start w:val="3"/>
    </w:lvl>
  </w:abstractNum>
  <w:abstractNum w:abstractNumId="74">
    <w:nsid w:val="4B793735"/>
    <w:multiLevelType w:val="hybridMultilevel"/>
    <w:lvl w:ilvl="0">
      <w:lvlJc w:val="left"/>
      <w:lvlText w:val="•"/>
      <w:numFmt w:val="bullet"/>
      <w:start w:val="1"/>
    </w:lvl>
  </w:abstractNum>
  <w:abstractNum w:abstractNumId="75">
    <w:nsid w:val="4A10B4E8"/>
    <w:multiLevelType w:val="hybridMultilevel"/>
    <w:lvl w:ilvl="0">
      <w:lvlJc w:val="left"/>
      <w:lvlText w:val="**"/>
      <w:numFmt w:val="bullet"/>
      <w:start w:val="1"/>
    </w:lvl>
    <w:lvl w:ilvl="1">
      <w:lvlJc w:val="left"/>
      <w:lvlText w:val="•"/>
      <w:numFmt w:val="bullet"/>
      <w:start w:val="1"/>
    </w:lvl>
  </w:abstractNum>
  <w:abstractNum w:abstractNumId="76">
    <w:nsid w:val="43D3BCD4"/>
    <w:multiLevelType w:val="hybridMultilevel"/>
    <w:lvl w:ilvl="0">
      <w:lvlJc w:val="left"/>
      <w:lvlText w:val="•"/>
      <w:numFmt w:val="bullet"/>
      <w:start w:val="1"/>
    </w:lvl>
  </w:abstractNum>
  <w:abstractNum w:abstractNumId="77">
    <w:nsid w:val="4C2A7166"/>
    <w:multiLevelType w:val="hybridMultilevel"/>
    <w:lvl w:ilvl="0">
      <w:lvlJc w:val="left"/>
      <w:lvlText w:val="•"/>
      <w:numFmt w:val="bullet"/>
      <w:start w:val="1"/>
    </w:lvl>
  </w:abstractNum>
  <w:abstractNum w:abstractNumId="78">
    <w:nsid w:val="2E534A82"/>
    <w:multiLevelType w:val="hybridMultilevel"/>
    <w:lvl w:ilvl="0">
      <w:lvlJc w:val="left"/>
      <w:lvlText w:val="*"/>
      <w:numFmt w:val="bullet"/>
      <w:start w:val="1"/>
    </w:lvl>
  </w:abstractNum>
  <w:abstractNum w:abstractNumId="79">
    <w:nsid w:val="26F2D364"/>
    <w:multiLevelType w:val="hybridMultilevel"/>
    <w:lvl w:ilvl="0">
      <w:lvlJc w:val="left"/>
      <w:lvlText w:val="**"/>
      <w:numFmt w:val="bullet"/>
      <w:start w:val="1"/>
    </w:lvl>
  </w:abstractNum>
  <w:abstractNum w:abstractNumId="80">
    <w:nsid w:val="71C1AF98"/>
    <w:multiLevelType w:val="hybridMultilevel"/>
    <w:lvl w:ilvl="0">
      <w:lvlJc w:val="left"/>
      <w:lvlText w:val="(%1)"/>
      <w:numFmt w:val="decimal"/>
      <w:start w:val="1"/>
    </w:lvl>
  </w:abstractNum>
  <w:abstractNum w:abstractNumId="81">
    <w:nsid w:val="3D00B9D9"/>
    <w:multiLevelType w:val="hybridMultilevel"/>
    <w:lvl w:ilvl="0">
      <w:lvlJc w:val="left"/>
      <w:lvlText w:val="•"/>
      <w:numFmt w:val="bullet"/>
      <w:start w:val="1"/>
    </w:lvl>
  </w:abstractNum>
  <w:abstractNum w:abstractNumId="82">
    <w:nsid w:val="15BCABA8"/>
    <w:multiLevelType w:val="hybridMultilevel"/>
    <w:lvl w:ilvl="0">
      <w:lvlJc w:val="left"/>
      <w:lvlText w:val="•"/>
      <w:numFmt w:val="bullet"/>
      <w:start w:val="1"/>
    </w:lvl>
  </w:abstractNum>
  <w:abstractNum w:abstractNumId="83">
    <w:nsid w:val="4E0B9A87"/>
    <w:multiLevelType w:val="hybridMultilevel"/>
    <w:lvl w:ilvl="0">
      <w:lvlJc w:val="left"/>
      <w:lvlText w:val="•"/>
      <w:numFmt w:val="bullet"/>
      <w:start w:val="1"/>
    </w:lvl>
  </w:abstractNum>
  <w:abstractNum w:abstractNumId="84">
    <w:nsid w:val="434BAE75"/>
    <w:multiLevelType w:val="hybridMultilevel"/>
    <w:lvl w:ilvl="0">
      <w:lvlJc w:val="left"/>
      <w:lvlText w:val="•"/>
      <w:numFmt w:val="bullet"/>
      <w:start w:val="1"/>
    </w:lvl>
  </w:abstractNum>
  <w:abstractNum w:abstractNumId="85">
    <w:nsid w:val="4F38F265"/>
    <w:multiLevelType w:val="hybridMultilevel"/>
    <w:lvl w:ilvl="0">
      <w:lvlJc w:val="left"/>
      <w:lvlText w:val="•"/>
      <w:numFmt w:val="bullet"/>
      <w:start w:val="1"/>
    </w:lvl>
  </w:abstractNum>
  <w:abstractNum w:abstractNumId="86">
    <w:nsid w:val="4C502870"/>
    <w:multiLevelType w:val="hybridMultilevel"/>
    <w:lvl w:ilvl="0">
      <w:lvlJc w:val="left"/>
      <w:lvlText w:val="•"/>
      <w:numFmt w:val="bullet"/>
      <w:start w:val="1"/>
    </w:lvl>
  </w:abstractNum>
  <w:abstractNum w:abstractNumId="87">
    <w:nsid w:val="1DE8725A"/>
    <w:multiLevelType w:val="hybridMultilevel"/>
    <w:lvl w:ilvl="0">
      <w:lvlJc w:val="left"/>
      <w:lvlText w:val="•"/>
      <w:numFmt w:val="bullet"/>
      <w:start w:val="1"/>
    </w:lvl>
  </w:abstractNum>
  <w:abstractNum w:abstractNumId="88">
    <w:nsid w:val="6A37288A"/>
    <w:multiLevelType w:val="hybridMultilevel"/>
    <w:lvl w:ilvl="0">
      <w:lvlJc w:val="left"/>
      <w:lvlText w:val="•"/>
      <w:numFmt w:val="bullet"/>
      <w:start w:val="1"/>
    </w:lvl>
  </w:abstractNum>
  <w:abstractNum w:abstractNumId="89">
    <w:nsid w:val="8F8B73F"/>
    <w:multiLevelType w:val="hybridMultilevel"/>
    <w:lvl w:ilvl="0">
      <w:lvlJc w:val="left"/>
      <w:lvlText w:val="•"/>
      <w:numFmt w:val="bullet"/>
      <w:start w:val="1"/>
    </w:lvl>
  </w:abstractNum>
  <w:abstractNum w:abstractNumId="90">
    <w:nsid w:val="CA6B462"/>
    <w:multiLevelType w:val="hybridMultilevel"/>
    <w:lvl w:ilvl="0">
      <w:lvlJc w:val="left"/>
      <w:lvlText w:val="•"/>
      <w:numFmt w:val="bullet"/>
      <w:start w:val="1"/>
    </w:lvl>
  </w:abstractNum>
  <w:abstractNum w:abstractNumId="91">
    <w:nsid w:val="763CB680"/>
    <w:multiLevelType w:val="hybridMultilevel"/>
    <w:lvl w:ilvl="0">
      <w:lvlJc w:val="left"/>
      <w:lvlText w:val="•"/>
      <w:numFmt w:val="bullet"/>
      <w:start w:val="1"/>
    </w:lvl>
  </w:abstractNum>
  <w:abstractNum w:abstractNumId="92">
    <w:nsid w:val="15B71329"/>
    <w:multiLevelType w:val="hybridMultilevel"/>
    <w:lvl w:ilvl="0">
      <w:lvlJc w:val="left"/>
      <w:lvlText w:val="•"/>
      <w:numFmt w:val="bullet"/>
      <w:start w:val="1"/>
    </w:lvl>
  </w:abstractNum>
  <w:abstractNum w:abstractNumId="93">
    <w:nsid w:val="3DA97044"/>
    <w:multiLevelType w:val="hybridMultilevel"/>
    <w:lvl w:ilvl="0">
      <w:lvlJc w:val="left"/>
      <w:lvlText w:val="•"/>
      <w:numFmt w:val="bullet"/>
      <w:start w:val="1"/>
    </w:lvl>
  </w:abstractNum>
  <w:abstractNum w:abstractNumId="94">
    <w:nsid w:val="1CDCE2DE"/>
    <w:multiLevelType w:val="hybridMultilevel"/>
    <w:lvl w:ilvl="0">
      <w:lvlJc w:val="left"/>
      <w:lvlText w:val="•"/>
      <w:numFmt w:val="bullet"/>
      <w:start w:val="1"/>
    </w:lvl>
  </w:abstractNum>
  <w:abstractNum w:abstractNumId="95">
    <w:nsid w:val="69D3947C"/>
    <w:multiLevelType w:val="hybridMultilevel"/>
    <w:lvl w:ilvl="0">
      <w:lvlJc w:val="left"/>
      <w:lvlText w:val="•"/>
      <w:numFmt w:val="bullet"/>
      <w:start w:val="1"/>
    </w:lvl>
  </w:abstractNum>
  <w:abstractNum w:abstractNumId="96">
    <w:nsid w:val="2539DFA5"/>
    <w:multiLevelType w:val="hybridMultilevel"/>
    <w:lvl w:ilvl="0">
      <w:lvlJc w:val="left"/>
      <w:lvlText w:val="•"/>
      <w:numFmt w:val="bullet"/>
      <w:start w:val="1"/>
    </w:lvl>
  </w:abstractNum>
  <w:abstractNum w:abstractNumId="97">
    <w:nsid w:val="2DB88089"/>
    <w:multiLevelType w:val="hybridMultilevel"/>
    <w:lvl w:ilvl="0">
      <w:lvlJc w:val="left"/>
      <w:lvlText w:val="•"/>
      <w:numFmt w:val="bullet"/>
      <w:start w:val="1"/>
    </w:lvl>
  </w:abstractNum>
  <w:abstractNum w:abstractNumId="98">
    <w:nsid w:val="706B674E"/>
    <w:multiLevelType w:val="hybridMultilevel"/>
    <w:lvl w:ilvl="0">
      <w:lvlJc w:val="left"/>
      <w:lvlText w:val="•"/>
      <w:numFmt w:val="bullet"/>
      <w:start w:val="1"/>
    </w:lvl>
  </w:abstractNum>
  <w:abstractNum w:abstractNumId="99">
    <w:nsid w:val="2C106A57"/>
    <w:multiLevelType w:val="hybridMultilevel"/>
    <w:lvl w:ilvl="0">
      <w:lvlJc w:val="left"/>
      <w:lvlText w:val="•"/>
      <w:numFmt w:val="bullet"/>
      <w:start w:val="1"/>
    </w:lvl>
  </w:abstractNum>
  <w:abstractNum w:abstractNumId="100">
    <w:nsid w:val="684EED59"/>
    <w:multiLevelType w:val="hybridMultilevel"/>
    <w:lvl w:ilvl="0">
      <w:lvlJc w:val="left"/>
      <w:lvlText w:val="•"/>
      <w:numFmt w:val="bullet"/>
      <w:start w:val="1"/>
    </w:lvl>
  </w:abstractNum>
  <w:abstractNum w:abstractNumId="101">
    <w:nsid w:val="545EE5D3"/>
    <w:multiLevelType w:val="hybridMultilevel"/>
    <w:lvl w:ilvl="0">
      <w:lvlJc w:val="left"/>
      <w:lvlText w:val="•"/>
      <w:numFmt w:val="bullet"/>
      <w:start w:val="1"/>
    </w:lvl>
  </w:abstractNum>
  <w:abstractNum w:abstractNumId="102">
    <w:nsid w:val="4A66051"/>
    <w:multiLevelType w:val="hybridMultilevel"/>
    <w:lvl w:ilvl="0">
      <w:lvlJc w:val="left"/>
      <w:lvlText w:val="•"/>
      <w:numFmt w:val="bullet"/>
      <w:start w:val="1"/>
    </w:lvl>
  </w:abstractNum>
  <w:abstractNum w:abstractNumId="103">
    <w:nsid w:val="20F4BDAD"/>
    <w:multiLevelType w:val="hybridMultilevel"/>
    <w:lvl w:ilvl="0">
      <w:lvlJc w:val="left"/>
      <w:lvlText w:val="•"/>
      <w:numFmt w:val="bullet"/>
      <w:start w:val="1"/>
    </w:lvl>
  </w:abstractNum>
  <w:abstractNum w:abstractNumId="104">
    <w:nsid w:val="639DEFAC"/>
    <w:multiLevelType w:val="hybridMultilevel"/>
    <w:lvl w:ilvl="0">
      <w:lvlJc w:val="left"/>
      <w:lvlText w:val="•"/>
      <w:numFmt w:val="bullet"/>
      <w:start w:val="1"/>
    </w:lvl>
  </w:abstractNum>
  <w:abstractNum w:abstractNumId="105">
    <w:nsid w:val="501F9786"/>
    <w:multiLevelType w:val="hybridMultilevel"/>
    <w:lvl w:ilvl="0">
      <w:lvlJc w:val="left"/>
      <w:lvlText w:val="•"/>
      <w:numFmt w:val="bullet"/>
      <w:start w:val="1"/>
    </w:lvl>
  </w:abstractNum>
  <w:abstractNum w:abstractNumId="106">
    <w:nsid w:val="6B057295"/>
    <w:multiLevelType w:val="hybridMultilevel"/>
    <w:lvl w:ilvl="0">
      <w:lvlJc w:val="left"/>
      <w:lvlText w:val="•"/>
      <w:numFmt w:val="bullet"/>
      <w:start w:val="1"/>
    </w:lvl>
  </w:abstractNum>
  <w:abstractNum w:abstractNumId="107">
    <w:nsid w:val="2771AC80"/>
    <w:multiLevelType w:val="hybridMultilevel"/>
    <w:lvl w:ilvl="0">
      <w:lvlJc w:val="left"/>
      <w:lvlText w:val="•"/>
      <w:numFmt w:val="bullet"/>
      <w:start w:val="1"/>
    </w:lvl>
    <w:lvl w:ilvl="1">
      <w:lvlJc w:val="left"/>
      <w:lvlText w:val="•"/>
      <w:numFmt w:val="bullet"/>
      <w:start w:val="1"/>
    </w:lvl>
  </w:abstractNum>
  <w:abstractNum w:abstractNumId="108">
    <w:nsid w:val="1C4A08EC"/>
    <w:multiLevelType w:val="hybridMultilevel"/>
    <w:lvl w:ilvl="0">
      <w:lvlJc w:val="left"/>
      <w:lvlText w:val="•"/>
      <w:numFmt w:val="bullet"/>
      <w:start w:val="1"/>
    </w:lvl>
  </w:abstractNum>
  <w:abstractNum w:abstractNumId="109">
    <w:nsid w:val="1958BD17"/>
    <w:multiLevelType w:val="hybridMultilevel"/>
    <w:lvl w:ilvl="0">
      <w:lvlJc w:val="left"/>
      <w:lvlText w:val="•"/>
      <w:numFmt w:val="bullet"/>
      <w:start w:val="1"/>
    </w:lvl>
  </w:abstractNum>
  <w:abstractNum w:abstractNumId="110">
    <w:nsid w:val="4E647FE4"/>
    <w:multiLevelType w:val="hybridMultilevel"/>
    <w:lvl w:ilvl="0">
      <w:lvlJc w:val="left"/>
      <w:lvlText w:val="•"/>
      <w:numFmt w:val="bullet"/>
      <w:start w:val="1"/>
    </w:lvl>
  </w:abstractNum>
  <w:abstractNum w:abstractNumId="111">
    <w:nsid w:val="E0BB885"/>
    <w:multiLevelType w:val="hybridMultilevel"/>
    <w:lvl w:ilvl="0">
      <w:lvlJc w:val="left"/>
      <w:lvlText w:val="•"/>
      <w:numFmt w:val="bullet"/>
      <w:start w:val="1"/>
    </w:lvl>
  </w:abstractNum>
  <w:abstractNum w:abstractNumId="112">
    <w:nsid w:val="565976F1"/>
    <w:multiLevelType w:val="hybridMultilevel"/>
    <w:lvl w:ilvl="0">
      <w:lvlJc w:val="left"/>
      <w:lvlText w:val="•"/>
      <w:numFmt w:val="bullet"/>
      <w:start w:val="1"/>
    </w:lvl>
  </w:abstractNum>
  <w:abstractNum w:abstractNumId="113">
    <w:nsid w:val="64212B8C"/>
    <w:multiLevelType w:val="hybridMultilevel"/>
    <w:lvl w:ilvl="0">
      <w:lvlJc w:val="left"/>
      <w:lvlText w:val="•"/>
      <w:numFmt w:val="bullet"/>
      <w:start w:val="1"/>
    </w:lvl>
  </w:abstractNum>
  <w:abstractNum w:abstractNumId="114">
    <w:nsid w:val="5C17530C"/>
    <w:multiLevelType w:val="hybridMultilevel"/>
    <w:lvl w:ilvl="0">
      <w:lvlJc w:val="left"/>
      <w:lvlText w:val="•"/>
      <w:numFmt w:val="bullet"/>
      <w:start w:val="1"/>
    </w:lvl>
  </w:abstractNum>
  <w:abstractNum w:abstractNumId="115">
    <w:nsid w:val="19A52566"/>
    <w:multiLevelType w:val="hybridMultilevel"/>
    <w:lvl w:ilvl="0">
      <w:lvlJc w:val="left"/>
      <w:lvlText w:val="•"/>
      <w:numFmt w:val="bullet"/>
      <w:start w:val="1"/>
    </w:lvl>
  </w:abstractNum>
  <w:abstractNum w:abstractNumId="116">
    <w:nsid w:val="335A1DF1"/>
    <w:multiLevelType w:val="hybridMultilevel"/>
    <w:lvl w:ilvl="0">
      <w:lvlJc w:val="left"/>
      <w:lvlText w:val="•"/>
      <w:numFmt w:val="bullet"/>
      <w:start w:val="1"/>
    </w:lvl>
  </w:abstractNum>
  <w:abstractNum w:abstractNumId="117">
    <w:nsid w:val="28677B7C"/>
    <w:multiLevelType w:val="hybridMultilevel"/>
    <w:lvl w:ilvl="0">
      <w:lvlJc w:val="left"/>
      <w:lvlText w:val="•"/>
      <w:numFmt w:val="bullet"/>
      <w:start w:val="1"/>
    </w:lvl>
  </w:abstractNum>
  <w:abstractNum w:abstractNumId="118">
    <w:nsid w:val="378D97C0"/>
    <w:multiLevelType w:val="hybridMultilevel"/>
    <w:lvl w:ilvl="0">
      <w:lvlJc w:val="left"/>
      <w:lvlText w:val="•"/>
      <w:numFmt w:val="bullet"/>
      <w:start w:val="1"/>
    </w:lvl>
  </w:abstractNum>
  <w:abstractNum w:abstractNumId="119">
    <w:nsid w:val="1D91467C"/>
    <w:multiLevelType w:val="hybridMultilevel"/>
    <w:lvl w:ilvl="0">
      <w:lvlJc w:val="left"/>
      <w:lvlText w:val="(%1)"/>
      <w:numFmt w:val="lowerLetter"/>
      <w:start w:val="1"/>
    </w:lvl>
  </w:abstractNum>
  <w:abstractNum w:abstractNumId="120">
    <w:nsid w:val="316032BB"/>
    <w:multiLevelType w:val="hybridMultilevel"/>
    <w:lvl w:ilvl="0">
      <w:lvlJc w:val="left"/>
      <w:lvlText w:val="•"/>
      <w:numFmt w:val="bullet"/>
      <w:start w:val="1"/>
    </w:lvl>
  </w:abstractNum>
  <w:abstractNum w:abstractNumId="121">
    <w:nsid w:val="44344C22"/>
    <w:multiLevelType w:val="hybridMultilevel"/>
    <w:lvl w:ilvl="0">
      <w:lvlJc w:val="left"/>
      <w:lvlText w:val="•"/>
      <w:numFmt w:val="bullet"/>
      <w:start w:val="1"/>
    </w:lvl>
  </w:abstractNum>
  <w:abstractNum w:abstractNumId="122">
    <w:nsid w:val="13CDFCFC"/>
    <w:multiLevelType w:val="hybridMultilevel"/>
    <w:lvl w:ilvl="0">
      <w:lvlJc w:val="left"/>
      <w:lvlText w:val="(%1)"/>
      <w:numFmt w:val="upperLetter"/>
      <w:start w:val="2"/>
    </w:lvl>
  </w:abstractNum>
  <w:abstractNum w:abstractNumId="123">
    <w:nsid w:val="471745E4"/>
    <w:multiLevelType w:val="hybridMultilevel"/>
    <w:lvl w:ilvl="0">
      <w:lvlJc w:val="left"/>
      <w:lvlText w:val="•"/>
      <w:numFmt w:val="bullet"/>
      <w:start w:val="1"/>
    </w:lvl>
  </w:abstractNum>
  <w:abstractNum w:abstractNumId="124">
    <w:nsid w:val="1DDBC66"/>
    <w:multiLevelType w:val="hybridMultilevel"/>
    <w:lvl w:ilvl="0">
      <w:lvlJc w:val="left"/>
      <w:lvlText w:val="•"/>
      <w:numFmt w:val="bullet"/>
      <w:start w:val="1"/>
    </w:lvl>
  </w:abstractNum>
  <w:abstractNum w:abstractNumId="125">
    <w:nsid w:val="30AADFDA"/>
    <w:multiLevelType w:val="hybridMultilevel"/>
    <w:lvl w:ilvl="0">
      <w:lvlJc w:val="left"/>
      <w:lvlText w:val="•"/>
      <w:numFmt w:val="bullet"/>
      <w:start w:val="1"/>
    </w:lvl>
  </w:abstractNum>
  <w:abstractNum w:abstractNumId="126">
    <w:nsid w:val="30EADA61"/>
    <w:multiLevelType w:val="hybridMultilevel"/>
    <w:lvl w:ilvl="0">
      <w:lvlJc w:val="left"/>
      <w:lvlText w:val="•"/>
      <w:numFmt w:val="bullet"/>
      <w:start w:val="1"/>
    </w:lvl>
  </w:abstractNum>
  <w:abstractNum w:abstractNumId="127">
    <w:nsid w:val="27179C0B"/>
    <w:multiLevelType w:val="hybridMultilevel"/>
    <w:lvl w:ilvl="0">
      <w:lvlJc w:val="left"/>
      <w:lvlText w:val="%1."/>
      <w:numFmt w:val="decimal"/>
      <w:start w:val="28"/>
    </w:lvl>
  </w:abstractNum>
  <w:abstractNum w:abstractNumId="128">
    <w:nsid w:val="5E636063"/>
    <w:multiLevelType w:val="hybridMultilevel"/>
    <w:lvl w:ilvl="0">
      <w:lvlJc w:val="left"/>
      <w:lvlText w:val="•"/>
      <w:numFmt w:val="bullet"/>
      <w:start w:val="1"/>
    </w:lvl>
  </w:abstractNum>
  <w:abstractNum w:abstractNumId="129">
    <w:nsid w:val="215641AF"/>
    <w:multiLevelType w:val="hybridMultilevel"/>
    <w:lvl w:ilvl="0">
      <w:lvlJc w:val="left"/>
      <w:lvlText w:val="•"/>
      <w:numFmt w:val="bullet"/>
      <w:start w:val="1"/>
    </w:lvl>
  </w:abstractNum>
  <w:abstractNum w:abstractNumId="130">
    <w:nsid w:val="53280662"/>
    <w:multiLevelType w:val="hybridMultilevel"/>
    <w:lvl w:ilvl="0">
      <w:lvlJc w:val="left"/>
      <w:lvlText w:val="•"/>
      <w:numFmt w:val="bullet"/>
      <w:start w:val="1"/>
    </w:lvl>
  </w:abstractNum>
  <w:abstractNum w:abstractNumId="131">
    <w:nsid w:val="46B24DBC"/>
    <w:multiLevelType w:val="hybridMultilevel"/>
    <w:lvl w:ilvl="0">
      <w:lvlJc w:val="left"/>
      <w:lvlText w:val="•"/>
      <w:numFmt w:val="bullet"/>
      <w:start w:val="1"/>
    </w:lvl>
  </w:abstractNum>
  <w:abstractNum w:abstractNumId="132">
    <w:nsid w:val="75B52783"/>
    <w:multiLevelType w:val="hybridMultilevel"/>
    <w:lvl w:ilvl="0">
      <w:lvlJc w:val="left"/>
      <w:lvlText w:val="•"/>
      <w:numFmt w:val="bullet"/>
      <w:start w:val="1"/>
    </w:lvl>
  </w:abstractNum>
  <w:abstractNum w:abstractNumId="133">
    <w:nsid w:val="57CE66B4"/>
    <w:multiLevelType w:val="hybridMultilevel"/>
    <w:lvl w:ilvl="0">
      <w:lvlJc w:val="left"/>
      <w:lvlText w:val="•"/>
      <w:numFmt w:val="bullet"/>
      <w:start w:val="1"/>
    </w:lvl>
  </w:abstractNum>
  <w:abstractNum w:abstractNumId="134">
    <w:nsid w:val="67A70B69"/>
    <w:multiLevelType w:val="hybridMultilevel"/>
    <w:lvl w:ilvl="0">
      <w:lvlJc w:val="left"/>
      <w:lvlText w:val="•"/>
      <w:numFmt w:val="bullet"/>
      <w:start w:val="1"/>
    </w:lvl>
  </w:abstractNum>
  <w:abstractNum w:abstractNumId="135">
    <w:nsid w:val="5953172F"/>
    <w:multiLevelType w:val="hybridMultilevel"/>
    <w:lvl w:ilvl="0">
      <w:lvlJc w:val="left"/>
      <w:lvlText w:val="(%1)"/>
      <w:numFmt w:val="lowerRoman"/>
      <w:start w:val="1"/>
    </w:lvl>
  </w:abstractNum>
  <w:abstractNum w:abstractNumId="136">
    <w:nsid w:val="27EDFE3A"/>
    <w:multiLevelType w:val="hybridMultilevel"/>
    <w:lvl w:ilvl="0">
      <w:lvlJc w:val="left"/>
      <w:lvlText w:val="(%1)"/>
      <w:numFmt w:val="decimal"/>
      <w:start w:val="1"/>
    </w:lvl>
  </w:abstractNum>
  <w:abstractNum w:abstractNumId="137">
    <w:nsid w:val="52AC7DFF"/>
    <w:multiLevelType w:val="hybridMultilevel"/>
    <w:lvl w:ilvl="0">
      <w:lvlJc w:val="left"/>
      <w:lvlText w:val="(%1)"/>
      <w:numFmt w:val="decimal"/>
      <w:start w:val="1"/>
    </w:lvl>
  </w:abstractNum>
  <w:abstractNum w:abstractNumId="138">
    <w:nsid w:val="C4C3AF"/>
    <w:multiLevelType w:val="hybridMultilevel"/>
    <w:lvl w:ilvl="0">
      <w:lvlJc w:val="left"/>
      <w:lvlText w:val="(%1)"/>
      <w:numFmt w:val="decimal"/>
      <w:start w:val="1"/>
    </w:lvl>
  </w:abstractNum>
  <w:abstractNum w:abstractNumId="139">
    <w:nsid w:val="44380727"/>
    <w:multiLevelType w:val="hybridMultilevel"/>
    <w:lvl w:ilvl="0">
      <w:lvlJc w:val="left"/>
      <w:lvlText w:val="(%1)"/>
      <w:numFmt w:val="decimal"/>
      <w:start w:val="1"/>
    </w:lvl>
  </w:abstractNum>
  <w:abstractNum w:abstractNumId="140">
    <w:nsid w:val="6C053B16"/>
    <w:multiLevelType w:val="hybridMultilevel"/>
    <w:lvl w:ilvl="0">
      <w:lvlJc w:val="left"/>
      <w:lvlText w:val="(%1)"/>
      <w:numFmt w:val="decimal"/>
      <w:start w:val="1"/>
    </w:lvl>
  </w:abstractNum>
  <w:abstractNum w:abstractNumId="141">
    <w:nsid w:val="4F294393"/>
    <w:multiLevelType w:val="hybridMultilevel"/>
    <w:lvl w:ilvl="0">
      <w:lvlJc w:val="left"/>
      <w:lvlText w:val="(%1)"/>
      <w:numFmt w:val="decimal"/>
      <w:start w:val="4"/>
    </w:lvl>
  </w:abstractNum>
  <w:abstractNum w:abstractNumId="142">
    <w:nsid w:val="5243BFAC"/>
    <w:multiLevelType w:val="hybridMultilevel"/>
    <w:lvl w:ilvl="0">
      <w:lvlJc w:val="left"/>
      <w:lvlText w:val="*"/>
      <w:numFmt w:val="bullet"/>
      <w:start w:val="1"/>
    </w:lvl>
  </w:abstractNum>
  <w:abstractNum w:abstractNumId="143">
    <w:nsid w:val="425EB207"/>
    <w:multiLevelType w:val="hybridMultilevel"/>
    <w:lvl w:ilvl="0">
      <w:lvlJc w:val="left"/>
      <w:lvlText w:val="(%1)"/>
      <w:numFmt w:val="decimal"/>
      <w:start w:val="1"/>
    </w:lvl>
  </w:abstractNum>
  <w:abstractNum w:abstractNumId="144">
    <w:nsid w:val="334A6F1F"/>
    <w:multiLevelType w:val="hybridMultilevel"/>
    <w:lvl w:ilvl="0">
      <w:lvlJc w:val="left"/>
      <w:lvlText w:val="*"/>
      <w:numFmt w:val="bullet"/>
      <w:start w:val="1"/>
    </w:lvl>
  </w:abstractNum>
  <w:abstractNum w:abstractNumId="145">
    <w:nsid w:val="2E5B12B8"/>
    <w:multiLevelType w:val="hybridMultilevel"/>
    <w:lvl w:ilvl="0">
      <w:lvlJc w:val="left"/>
      <w:lvlText w:val="(%1)"/>
      <w:numFmt w:val="decimal"/>
      <w:start w:val="1"/>
    </w:lvl>
  </w:abstractNum>
  <w:abstractNum w:abstractNumId="146">
    <w:nsid w:val="5C03D76D"/>
    <w:multiLevelType w:val="hybridMultilevel"/>
    <w:lvl w:ilvl="0">
      <w:lvlJc w:val="left"/>
      <w:lvlText w:val="(%1)"/>
      <w:numFmt w:val="decimal"/>
      <w:start w:val="2"/>
    </w:lvl>
  </w:abstractNum>
  <w:abstractNum w:abstractNumId="147">
    <w:nsid w:val="66A48D11"/>
    <w:multiLevelType w:val="hybridMultilevel"/>
    <w:lvl w:ilvl="0">
      <w:lvlJc w:val="left"/>
      <w:lvlText w:val="*"/>
      <w:numFmt w:val="bullet"/>
      <w:start w:val="1"/>
    </w:lvl>
  </w:abstractNum>
  <w:abstractNum w:abstractNumId="148">
    <w:nsid w:val="56C28E34"/>
    <w:multiLevelType w:val="hybridMultilevel"/>
    <w:lvl w:ilvl="0">
      <w:lvlJc w:val="left"/>
      <w:lvlText w:val="*"/>
      <w:numFmt w:val="bullet"/>
      <w:start w:val="1"/>
    </w:lvl>
  </w:abstractNum>
  <w:abstractNum w:abstractNumId="149">
    <w:nsid w:val="13916F2D"/>
    <w:multiLevelType w:val="hybridMultilevel"/>
    <w:lvl w:ilvl="0">
      <w:lvlJc w:val="left"/>
      <w:lvlText w:val="(%1)"/>
      <w:numFmt w:val="lowerRoman"/>
      <w:start w:val="5"/>
    </w:lvl>
  </w:abstractNum>
  <w:abstractNum w:abstractNumId="150">
    <w:nsid w:val="435D38D"/>
    <w:multiLevelType w:val="hybridMultilevel"/>
    <w:lvl w:ilvl="0">
      <w:lvlJc w:val="left"/>
      <w:lvlText w:val="•"/>
      <w:numFmt w:val="bullet"/>
      <w:start w:val="1"/>
    </w:lvl>
  </w:abstractNum>
  <w:abstractNum w:abstractNumId="151">
    <w:nsid w:val="822C0EF"/>
    <w:multiLevelType w:val="hybridMultilevel"/>
    <w:lvl w:ilvl="0">
      <w:lvlJc w:val="left"/>
      <w:lvlText w:val="*"/>
      <w:numFmt w:val="bullet"/>
      <w:start w:val="1"/>
    </w:lvl>
  </w:abstractNum>
  <w:abstractNum w:abstractNumId="152">
    <w:nsid w:val="57C5BB4F"/>
    <w:multiLevelType w:val="hybridMultilevel"/>
    <w:lvl w:ilvl="0">
      <w:lvlJc w:val="left"/>
      <w:lvlText w:val="(%1)"/>
      <w:numFmt w:val="decimal"/>
      <w:start w:val="1"/>
    </w:lvl>
  </w:abstractNum>
  <w:abstractNum w:abstractNumId="153">
    <w:nsid w:val="1803D089"/>
    <w:multiLevelType w:val="hybridMultilevel"/>
    <w:lvl w:ilvl="0">
      <w:lvlJc w:val="left"/>
      <w:lvlText w:val="(%1)"/>
      <w:numFmt w:val="lowerRoman"/>
      <w:start w:val="1"/>
    </w:lvl>
  </w:abstractNum>
  <w:abstractNum w:abstractNumId="154">
    <w:nsid w:val="4F3A06D4"/>
    <w:multiLevelType w:val="hybridMultilevel"/>
    <w:lvl w:ilvl="0">
      <w:lvlJc w:val="left"/>
      <w:lvlText w:val="(%1)"/>
      <w:numFmt w:val="lowerRoman"/>
      <w:start w:val="3"/>
    </w:lvl>
  </w:abstractNum>
  <w:abstractNum w:abstractNumId="155">
    <w:nsid w:val="59A377B6"/>
    <w:multiLevelType w:val="hybridMultilevel"/>
    <w:lvl w:ilvl="0">
      <w:lvlJc w:val="left"/>
      <w:lvlText w:val="(%1)"/>
      <w:numFmt w:val="decimal"/>
      <w:start w:val="1"/>
    </w:lvl>
  </w:abstractNum>
  <w:abstractNum w:abstractNumId="156">
    <w:nsid w:val="48AEB063"/>
    <w:multiLevelType w:val="hybridMultilevel"/>
    <w:lvl w:ilvl="0">
      <w:lvlJc w:val="left"/>
      <w:lvlText w:val="•"/>
      <w:numFmt w:val="bullet"/>
      <w:start w:val="1"/>
    </w:lvl>
  </w:abstractNum>
  <w:abstractNum w:abstractNumId="157">
    <w:nsid w:val="24E135"/>
    <w:multiLevelType w:val="hybridMultilevel"/>
    <w:lvl w:ilvl="0">
      <w:lvlJc w:val="left"/>
      <w:lvlText w:val="•"/>
      <w:numFmt w:val="bullet"/>
      <w:start w:val="1"/>
    </w:lvl>
  </w:abstractNum>
  <w:abstractNum w:abstractNumId="158">
    <w:nsid w:val="BB13C1"/>
    <w:multiLevelType w:val="hybridMultilevel"/>
    <w:lvl w:ilvl="0">
      <w:lvlJc w:val="left"/>
      <w:lvlText w:val="•"/>
      <w:numFmt w:val="bullet"/>
      <w:start w:val="1"/>
    </w:lvl>
  </w:abstractNum>
  <w:abstractNum w:abstractNumId="159">
    <w:nsid w:val="271210C7"/>
    <w:multiLevelType w:val="hybridMultilevel"/>
    <w:lvl w:ilvl="0">
      <w:lvlJc w:val="left"/>
      <w:lvlText w:val="•"/>
      <w:numFmt w:val="bullet"/>
      <w:start w:val="1"/>
    </w:lvl>
  </w:abstractNum>
  <w:abstractNum w:abstractNumId="160">
    <w:nsid w:val="217B22E4"/>
    <w:multiLevelType w:val="hybridMultilevel"/>
    <w:lvl w:ilvl="0">
      <w:lvlJc w:val="left"/>
      <w:lvlText w:val="(%1)"/>
      <w:numFmt w:val="lowerLetter"/>
      <w:start w:val="1"/>
    </w:lvl>
  </w:abstractNum>
  <w:abstractNum w:abstractNumId="161">
    <w:nsid w:val="53E31A24"/>
    <w:multiLevelType w:val="hybridMultilevel"/>
    <w:lvl w:ilvl="0">
      <w:lvlJc w:val="left"/>
      <w:lvlText w:val="(%1)"/>
      <w:numFmt w:val="lowerLetter"/>
      <w:start w:val="4"/>
    </w:lvl>
  </w:abstractNum>
  <w:abstractNum w:abstractNumId="162">
    <w:nsid w:val="6DC45E83"/>
    <w:multiLevelType w:val="hybridMultilevel"/>
    <w:lvl w:ilvl="0">
      <w:lvlJc w:val="left"/>
      <w:lvlText w:val="•"/>
      <w:numFmt w:val="bullet"/>
      <w:start w:val="1"/>
    </w:lvl>
  </w:abstractNum>
  <w:abstractNum w:abstractNumId="163">
    <w:nsid w:val="17304A67"/>
    <w:multiLevelType w:val="hybridMultilevel"/>
    <w:lvl w:ilvl="0">
      <w:lvlJc w:val="left"/>
      <w:lvlText w:val="•"/>
      <w:numFmt w:val="bullet"/>
      <w:start w:val="1"/>
    </w:lvl>
    <w:lvl w:ilvl="1">
      <w:lvlJc w:val="left"/>
      <w:lvlText w:val="•"/>
      <w:numFmt w:val="bullet"/>
      <w:start w:val="1"/>
    </w:lvl>
  </w:abstractNum>
  <w:abstractNum w:abstractNumId="164">
    <w:nsid w:val="2BB180D8"/>
    <w:multiLevelType w:val="hybridMultilevel"/>
    <w:lvl w:ilvl="0">
      <w:lvlJc w:val="left"/>
      <w:lvlText w:val="•"/>
      <w:numFmt w:val="bullet"/>
      <w:start w:val="1"/>
    </w:lvl>
  </w:abstractNum>
  <w:abstractNum w:abstractNumId="165">
    <w:nsid w:val="556B69ED"/>
    <w:multiLevelType w:val="hybridMultilevel"/>
    <w:lvl w:ilvl="0">
      <w:lvlJc w:val="left"/>
      <w:lvlText w:val="(%1)"/>
      <w:numFmt w:val="lowerRoman"/>
      <w:start w:val="2"/>
    </w:lvl>
  </w:abstractNum>
  <w:abstractNum w:abstractNumId="166">
    <w:nsid w:val="70836196"/>
    <w:multiLevelType w:val="hybridMultilevel"/>
    <w:lvl w:ilvl="0">
      <w:lvlJc w:val="left"/>
      <w:lvlText w:val="(%1)"/>
      <w:numFmt w:val="lowerRoman"/>
      <w:start w:val="2"/>
    </w:lvl>
  </w:abstractNum>
  <w:abstractNum w:abstractNumId="167">
    <w:nsid w:val="539F7F12"/>
    <w:multiLevelType w:val="hybridMultilevel"/>
    <w:lvl w:ilvl="0">
      <w:lvlJc w:val="left"/>
      <w:lvlText w:val="•"/>
      <w:numFmt w:val="bullet"/>
      <w:start w:val="1"/>
    </w:lvl>
  </w:abstractNum>
  <w:abstractNum w:abstractNumId="168">
    <w:nsid w:val="2817E7EC"/>
    <w:multiLevelType w:val="hybridMultilevel"/>
    <w:lvl w:ilvl="0">
      <w:lvlJc w:val="left"/>
      <w:lvlText w:val="•"/>
      <w:numFmt w:val="bullet"/>
      <w:start w:val="1"/>
    </w:lvl>
  </w:abstractNum>
  <w:abstractNum w:abstractNumId="169">
    <w:nsid w:val="71482545"/>
    <w:multiLevelType w:val="hybridMultilevel"/>
    <w:lvl w:ilvl="0">
      <w:lvlJc w:val="left"/>
      <w:lvlText w:val="•"/>
      <w:numFmt w:val="bullet"/>
      <w:start w:val="1"/>
    </w:lvl>
  </w:abstractNum>
  <w:abstractNum w:abstractNumId="170">
    <w:nsid w:val="17D78639"/>
    <w:multiLevelType w:val="hybridMultilevel"/>
    <w:lvl w:ilvl="0">
      <w:lvlJc w:val="left"/>
      <w:lvlText w:val="•"/>
      <w:numFmt w:val="bullet"/>
      <w:start w:val="1"/>
    </w:lvl>
  </w:abstractNum>
  <w:abstractNum w:abstractNumId="171">
    <w:nsid w:val="141D2302"/>
    <w:multiLevelType w:val="hybridMultilevel"/>
    <w:lvl w:ilvl="0">
      <w:lvlJc w:val="left"/>
      <w:lvlText w:val="•"/>
      <w:numFmt w:val="bullet"/>
      <w:start w:val="1"/>
    </w:lvl>
    <w:lvl w:ilvl="1">
      <w:lvlJc w:val="left"/>
      <w:lvlText w:val="•"/>
      <w:numFmt w:val="bullet"/>
      <w:start w:val="1"/>
    </w:lvl>
  </w:abstractNum>
  <w:abstractNum w:abstractNumId="172">
    <w:nsid w:val="407168D8"/>
    <w:multiLevelType w:val="hybridMultilevel"/>
    <w:lvl w:ilvl="0">
      <w:lvlJc w:val="left"/>
      <w:lvlText w:val="•"/>
      <w:numFmt w:val="bullet"/>
      <w:start w:val="1"/>
    </w:lvl>
    <w:lvl w:ilvl="1">
      <w:lvlJc w:val="left"/>
      <w:lvlText w:val="•"/>
      <w:numFmt w:val="bullet"/>
      <w:start w:val="1"/>
    </w:lvl>
  </w:abstractNum>
  <w:abstractNum w:abstractNumId="173">
    <w:nsid w:val="6A1B45E5"/>
    <w:multiLevelType w:val="hybridMultilevel"/>
    <w:lvl w:ilvl="0">
      <w:lvlJc w:val="left"/>
      <w:lvlText w:val="•"/>
      <w:numFmt w:val="bullet"/>
      <w:start w:val="1"/>
    </w:lvl>
  </w:abstractNum>
  <w:abstractNum w:abstractNumId="174">
    <w:nsid w:val="567BD50A"/>
    <w:multiLevelType w:val="hybridMultilevel"/>
    <w:lvl w:ilvl="0">
      <w:lvlJc w:val="left"/>
      <w:lvlText w:val="•"/>
      <w:numFmt w:val="bullet"/>
      <w:start w:val="1"/>
    </w:lvl>
  </w:abstractNum>
  <w:abstractNum w:abstractNumId="175">
    <w:nsid w:val="73BBD7F8"/>
    <w:multiLevelType w:val="hybridMultilevel"/>
    <w:lvl w:ilvl="0">
      <w:lvlJc w:val="left"/>
      <w:lvlText w:val="•"/>
      <w:numFmt w:val="bullet"/>
      <w:start w:val="1"/>
    </w:lvl>
  </w:abstractNum>
  <w:abstractNum w:abstractNumId="176">
    <w:nsid w:val="1876589D"/>
    <w:multiLevelType w:val="hybridMultilevel"/>
    <w:lvl w:ilvl="0">
      <w:lvlJc w:val="left"/>
      <w:lvlText w:val="•"/>
      <w:numFmt w:val="bullet"/>
      <w:start w:val="1"/>
    </w:lvl>
  </w:abstractNum>
  <w:abstractNum w:abstractNumId="177">
    <w:nsid w:val="327FAC77"/>
    <w:multiLevelType w:val="hybridMultilevel"/>
    <w:lvl w:ilvl="0">
      <w:lvlJc w:val="left"/>
      <w:lvlText w:val="•"/>
      <w:numFmt w:val="bullet"/>
      <w:start w:val="1"/>
    </w:lvl>
  </w:abstractNum>
  <w:abstractNum w:abstractNumId="178">
    <w:nsid w:val="5A606509"/>
    <w:multiLevelType w:val="hybridMultilevel"/>
    <w:lvl w:ilvl="0">
      <w:lvlJc w:val="left"/>
      <w:lvlText w:val="(%1)"/>
      <w:numFmt w:val="lowerRoman"/>
      <w:start w:val="2"/>
    </w:lvl>
  </w:abstractNum>
  <w:abstractNum w:abstractNumId="179">
    <w:nsid w:val="6F38E6D1"/>
    <w:multiLevelType w:val="hybridMultilevel"/>
    <w:lvl w:ilvl="0">
      <w:lvlJc w:val="left"/>
      <w:lvlText w:val="•"/>
      <w:numFmt w:val="bullet"/>
      <w:start w:val="1"/>
    </w:lvl>
  </w:abstractNum>
  <w:abstractNum w:abstractNumId="180">
    <w:nsid w:val="46111BA5"/>
    <w:multiLevelType w:val="hybridMultilevel"/>
    <w:lvl w:ilvl="0">
      <w:lvlJc w:val="left"/>
      <w:lvlText w:val="•"/>
      <w:numFmt w:val="bullet"/>
      <w:start w:val="1"/>
    </w:lvl>
  </w:abstractNum>
  <w:abstractNum w:abstractNumId="181">
    <w:nsid w:val="5E963896"/>
    <w:multiLevelType w:val="hybridMultilevel"/>
    <w:lvl w:ilvl="0">
      <w:lvlJc w:val="left"/>
      <w:lvlText w:val="•"/>
      <w:numFmt w:val="bullet"/>
      <w:start w:val="1"/>
    </w:lvl>
  </w:abstractNum>
  <w:abstractNum w:abstractNumId="182">
    <w:nsid w:val="775BA7C1"/>
    <w:multiLevelType w:val="hybridMultilevel"/>
    <w:lvl w:ilvl="0">
      <w:lvlJc w:val="left"/>
      <w:lvlText w:val="•"/>
      <w:numFmt w:val="bullet"/>
      <w:start w:val="1"/>
    </w:lvl>
  </w:abstractNum>
  <w:abstractNum w:abstractNumId="183">
    <w:nsid w:val="1DD6D6F4"/>
    <w:multiLevelType w:val="hybridMultilevel"/>
    <w:lvl w:ilvl="0">
      <w:lvlJc w:val="left"/>
      <w:lvlText w:val="•"/>
      <w:numFmt w:val="bullet"/>
      <w:start w:val="1"/>
    </w:lvl>
  </w:abstractNum>
  <w:abstractNum w:abstractNumId="184">
    <w:nsid w:val="769A091F"/>
    <w:multiLevelType w:val="hybridMultilevel"/>
    <w:lvl w:ilvl="0">
      <w:lvlJc w:val="left"/>
      <w:lvlText w:val="•"/>
      <w:numFmt w:val="bullet"/>
      <w:start w:val="1"/>
    </w:lvl>
  </w:abstractNum>
  <w:abstractNum w:abstractNumId="185">
    <w:nsid w:val="4695AE95"/>
    <w:multiLevelType w:val="hybridMultilevel"/>
    <w:lvl w:ilvl="0">
      <w:lvlJc w:val="left"/>
      <w:lvlText w:val="(%1)"/>
      <w:numFmt w:val="lowerRoman"/>
      <w:start w:val="1"/>
    </w:lvl>
  </w:abstractNum>
  <w:abstractNum w:abstractNumId="186">
    <w:nsid w:val="777A4EAA"/>
    <w:multiLevelType w:val="hybridMultilevel"/>
    <w:lvl w:ilvl="0">
      <w:lvlJc w:val="left"/>
      <w:lvlText w:val="(%1)"/>
      <w:numFmt w:val="lowerRoman"/>
      <w:start w:val="1"/>
    </w:lvl>
  </w:abstractNum>
  <w:abstractNum w:abstractNumId="187">
    <w:nsid w:val="3F48B982"/>
    <w:multiLevelType w:val="hybridMultilevel"/>
    <w:lvl w:ilvl="0">
      <w:lvlJc w:val="left"/>
      <w:lvlText w:val="(%1)"/>
      <w:numFmt w:val="lowerRoman"/>
      <w:start w:val="1"/>
    </w:lvl>
  </w:abstractNum>
  <w:abstractNum w:abstractNumId="188">
    <w:nsid w:val="46BA8FCA"/>
    <w:multiLevelType w:val="hybridMultilevel"/>
    <w:lvl w:ilvl="0">
      <w:lvlJc w:val="left"/>
      <w:lvlText w:val="(%1)"/>
      <w:numFmt w:val="lowerRoman"/>
      <w:start w:val="1"/>
    </w:lvl>
  </w:abstractNum>
  <w:abstractNum w:abstractNumId="189">
    <w:nsid w:val="7835626C"/>
    <w:multiLevelType w:val="hybridMultilevel"/>
    <w:lvl w:ilvl="0">
      <w:lvlJc w:val="left"/>
      <w:lvlText w:val="\emdash "/>
      <w:numFmt w:val="bullet"/>
      <w:start w:val="1"/>
    </w:lvl>
  </w:abstractNum>
  <w:abstractNum w:abstractNumId="190">
    <w:nsid w:val="665ACA49"/>
    <w:multiLevelType w:val="hybridMultilevel"/>
    <w:lvl w:ilvl="0">
      <w:lvlJc w:val="left"/>
      <w:lvlText w:val="(%1)"/>
      <w:numFmt w:val="lowerRoman"/>
      <w:start w:val="1"/>
    </w:lvl>
  </w:abstractNum>
  <w:abstractNum w:abstractNumId="191">
    <w:nsid w:val="6835B2AE"/>
    <w:multiLevelType w:val="hybridMultilevel"/>
    <w:lvl w:ilvl="0">
      <w:lvlJc w:val="left"/>
      <w:lvlText w:val="•"/>
      <w:numFmt w:val="bullet"/>
      <w:start w:val="1"/>
    </w:lvl>
  </w:abstractNum>
  <w:abstractNum w:abstractNumId="192">
    <w:nsid w:val="4C187C90"/>
    <w:multiLevelType w:val="hybridMultilevel"/>
    <w:lvl w:ilvl="0">
      <w:lvlJc w:val="left"/>
      <w:lvlText w:val="•"/>
      <w:numFmt w:val="bullet"/>
      <w:start w:val="1"/>
    </w:lvl>
  </w:abstractNum>
  <w:abstractNum w:abstractNumId="193">
    <w:nsid w:val="541F28CD"/>
    <w:multiLevelType w:val="hybridMultilevel"/>
    <w:lvl w:ilvl="0">
      <w:lvlJc w:val="left"/>
      <w:lvlText w:val="•"/>
      <w:numFmt w:val="bullet"/>
      <w:start w:val="1"/>
    </w:lvl>
  </w:abstractNum>
  <w:abstractNum w:abstractNumId="194">
    <w:nsid w:val="7F65FD16"/>
    <w:multiLevelType w:val="hybridMultilevel"/>
    <w:lvl w:ilvl="0">
      <w:lvlJc w:val="left"/>
      <w:lvlText w:val="(%1)"/>
      <w:numFmt w:val="lowerRoman"/>
      <w:start w:val="2"/>
    </w:lvl>
  </w:abstractNum>
  <w:abstractNum w:abstractNumId="195">
    <w:nsid w:val="77C9FD68"/>
    <w:multiLevelType w:val="hybridMultilevel"/>
    <w:lvl w:ilvl="0">
      <w:lvlJc w:val="left"/>
      <w:lvlText w:val="A"/>
      <w:numFmt w:val="bullet"/>
      <w:start w:val="1"/>
    </w:lvl>
  </w:abstractNum>
  <w:abstractNum w:abstractNumId="196">
    <w:nsid w:val="298A92BA"/>
    <w:multiLevelType w:val="hybridMultilevel"/>
    <w:lvl w:ilvl="0">
      <w:lvlJc w:val="left"/>
      <w:lvlText w:val="•"/>
      <w:numFmt w:val="bullet"/>
      <w:start w:val="1"/>
    </w:lvl>
  </w:abstractNum>
  <w:abstractNum w:abstractNumId="197">
    <w:nsid w:val="6FE95EAC"/>
    <w:multiLevelType w:val="hybridMultilevel"/>
    <w:lvl w:ilvl="0">
      <w:lvlJc w:val="left"/>
      <w:lvlText w:val="(%1)"/>
      <w:numFmt w:val="lowerRoman"/>
      <w:start w:val="3"/>
    </w:lvl>
  </w:abstractNum>
  <w:abstractNum w:abstractNumId="198">
    <w:nsid w:val="4B697C7A"/>
    <w:multiLevelType w:val="hybridMultilevel"/>
    <w:lvl w:ilvl="0">
      <w:lvlJc w:val="left"/>
      <w:lvlText w:val="(%1)"/>
      <w:numFmt w:val="decimal"/>
      <w:start w:val="8"/>
    </w:lvl>
  </w:abstractNum>
  <w:abstractNum w:abstractNumId="199">
    <w:nsid w:val="51A27AA6"/>
    <w:multiLevelType w:val="hybridMultilevel"/>
    <w:lvl w:ilvl="0">
      <w:lvlJc w:val="left"/>
      <w:lvlText w:val="(%1)"/>
      <w:numFmt w:val="lowerLetter"/>
      <w:start w:val="1"/>
    </w:lvl>
  </w:abstractNum>
  <w:abstractNum w:abstractNumId="200">
    <w:nsid w:val="613183F2"/>
    <w:multiLevelType w:val="hybridMultilevel"/>
    <w:lvl w:ilvl="0">
      <w:lvlJc w:val="left"/>
      <w:lvlText w:val="(%1)"/>
      <w:numFmt w:val="lowerLetter"/>
      <w:start w:val="1"/>
    </w:lvl>
  </w:abstractNum>
  <w:abstractNum w:abstractNumId="201">
    <w:nsid w:val="634102B4"/>
    <w:multiLevelType w:val="hybridMultilevel"/>
    <w:lvl w:ilvl="0">
      <w:lvlJc w:val="left"/>
      <w:lvlText w:val="(%1)"/>
      <w:numFmt w:val="lowerRoman"/>
      <w:start w:val="2"/>
    </w:lvl>
  </w:abstractNum>
  <w:abstractNum w:abstractNumId="202">
    <w:nsid w:val="65BF9DA8"/>
    <w:multiLevelType w:val="hybridMultilevel"/>
    <w:lvl w:ilvl="0">
      <w:lvlJc w:val="left"/>
      <w:lvlText w:val="*"/>
      <w:numFmt w:val="bullet"/>
      <w:start w:val="1"/>
    </w:lvl>
  </w:abstractNum>
  <w:abstractNum w:abstractNumId="203">
    <w:nsid w:val="21A2ECCA"/>
    <w:multiLevelType w:val="hybridMultilevel"/>
    <w:lvl w:ilvl="0">
      <w:lvlJc w:val="left"/>
      <w:lvlText w:val="*"/>
      <w:numFmt w:val="bullet"/>
      <w:start w:val="1"/>
    </w:lvl>
  </w:abstractNum>
  <w:abstractNum w:abstractNumId="204">
    <w:nsid w:val="4D5C4899"/>
    <w:multiLevelType w:val="hybridMultilevel"/>
    <w:lvl w:ilvl="0">
      <w:lvlJc w:val="left"/>
      <w:lvlText w:val="*"/>
      <w:numFmt w:val="bullet"/>
      <w:start w:val="1"/>
    </w:lvl>
  </w:abstractNum>
  <w:abstractNum w:abstractNumId="205">
    <w:nsid w:val="3C3B72B2"/>
    <w:multiLevelType w:val="hybridMultilevel"/>
    <w:lvl w:ilvl="0">
      <w:lvlJc w:val="left"/>
      <w:lvlText w:val="*"/>
      <w:numFmt w:val="bullet"/>
      <w:start w:val="1"/>
    </w:lvl>
  </w:abstractNum>
  <w:abstractNum w:abstractNumId="206">
    <w:nsid w:val="155EC4C2"/>
    <w:multiLevelType w:val="hybridMultilevel"/>
    <w:lvl w:ilvl="0">
      <w:lvlJc w:val="left"/>
      <w:lvlText w:val="*"/>
      <w:numFmt w:val="bullet"/>
      <w:start w:val="1"/>
    </w:lvl>
  </w:abstractNum>
  <w:abstractNum w:abstractNumId="207">
    <w:nsid w:val="65D2A137"/>
    <w:multiLevelType w:val="hybridMultilevel"/>
    <w:lvl w:ilvl="0">
      <w:lvlJc w:val="left"/>
      <w:lvlText w:val="*"/>
      <w:numFmt w:val="bullet"/>
      <w:start w:val="1"/>
    </w:lvl>
  </w:abstractNum>
  <w:abstractNum w:abstractNumId="208">
    <w:nsid w:val="6EBB1F2A"/>
    <w:multiLevelType w:val="hybridMultilevel"/>
    <w:lvl w:ilvl="0">
      <w:lvlJc w:val="left"/>
      <w:lvlText w:val="*"/>
      <w:numFmt w:val="bullet"/>
      <w:start w:val="1"/>
    </w:lvl>
  </w:abstractNum>
  <w:abstractNum w:abstractNumId="209">
    <w:nsid w:val="6FBF29CB"/>
    <w:multiLevelType w:val="hybridMultilevel"/>
    <w:lvl w:ilvl="0">
      <w:lvlJc w:val="left"/>
      <w:lvlText w:val="•"/>
      <w:numFmt w:val="bullet"/>
      <w:start w:val="1"/>
    </w:lvl>
  </w:abstractNum>
  <w:abstractNum w:abstractNumId="210">
    <w:nsid w:val="550B8808"/>
    <w:multiLevelType w:val="hybridMultilevel"/>
    <w:lvl w:ilvl="0">
      <w:lvlJc w:val="left"/>
      <w:lvlText w:val="•"/>
      <w:numFmt w:val="bullet"/>
      <w:start w:val="1"/>
    </w:lvl>
  </w:abstractNum>
  <w:abstractNum w:abstractNumId="211">
    <w:nsid w:val="34CC3ACF"/>
    <w:multiLevelType w:val="hybridMultilevel"/>
    <w:lvl w:ilvl="0">
      <w:lvlJc w:val="left"/>
      <w:lvlText w:val="•"/>
      <w:numFmt w:val="bullet"/>
      <w:start w:val="1"/>
    </w:lvl>
  </w:abstractNum>
  <w:abstractNum w:abstractNumId="212">
    <w:nsid w:val="4E556261"/>
    <w:multiLevelType w:val="hybridMultilevel"/>
    <w:lvl w:ilvl="0">
      <w:lvlJc w:val="left"/>
      <w:lvlText w:val="•"/>
      <w:numFmt w:val="bullet"/>
      <w:start w:val="1"/>
    </w:lvl>
  </w:abstractNum>
  <w:abstractNum w:abstractNumId="213">
    <w:nsid w:val="4C672FC9"/>
    <w:multiLevelType w:val="hybridMultilevel"/>
    <w:lvl w:ilvl="0">
      <w:lvlJc w:val="left"/>
      <w:lvlText w:val="•"/>
      <w:numFmt w:val="bullet"/>
      <w:start w:val="1"/>
    </w:lvl>
  </w:abstractNum>
  <w:abstractNum w:abstractNumId="214">
    <w:nsid w:val="52A311C3"/>
    <w:multiLevelType w:val="hybridMultilevel"/>
    <w:lvl w:ilvl="0">
      <w:lvlJc w:val="left"/>
      <w:lvlText w:val="•"/>
      <w:numFmt w:val="bullet"/>
      <w:start w:val="1"/>
    </w:lvl>
  </w:abstractNum>
  <w:abstractNum w:abstractNumId="215">
    <w:nsid w:val="44EF6B80"/>
    <w:multiLevelType w:val="hybridMultilevel"/>
    <w:lvl w:ilvl="0">
      <w:lvlJc w:val="left"/>
      <w:lvlText w:val="•"/>
      <w:numFmt w:val="bullet"/>
      <w:start w:val="1"/>
    </w:lvl>
  </w:abstractNum>
  <w:abstractNum w:abstractNumId="216">
    <w:nsid w:val="12FCDE5E"/>
    <w:multiLevelType w:val="hybridMultilevel"/>
    <w:lvl w:ilvl="0">
      <w:lvlJc w:val="left"/>
      <w:lvlText w:val="•"/>
      <w:numFmt w:val="bullet"/>
      <w:start w:val="1"/>
    </w:lvl>
  </w:abstractNum>
  <w:abstractNum w:abstractNumId="217">
    <w:nsid w:val="4A1D606E"/>
    <w:multiLevelType w:val="hybridMultilevel"/>
    <w:lvl w:ilvl="0">
      <w:lvlJc w:val="left"/>
      <w:lvlText w:val="•"/>
      <w:numFmt w:val="bullet"/>
      <w:start w:val="1"/>
    </w:lvl>
  </w:abstractNum>
  <w:abstractNum w:abstractNumId="218">
    <w:nsid w:val="4382503"/>
    <w:multiLevelType w:val="hybridMultilevel"/>
    <w:lvl w:ilvl="0">
      <w:lvlJc w:val="left"/>
      <w:lvlText w:val="•"/>
      <w:numFmt w:val="bullet"/>
      <w:start w:val="1"/>
    </w:lvl>
  </w:abstractNum>
  <w:abstractNum w:abstractNumId="219">
    <w:nsid w:val="59B76E28"/>
    <w:multiLevelType w:val="hybridMultilevel"/>
    <w:lvl w:ilvl="0">
      <w:lvlJc w:val="left"/>
      <w:lvlText w:val="%1)"/>
      <w:numFmt w:val="lowerLetter"/>
      <w:start w:val="5"/>
    </w:lvl>
  </w:abstractNum>
  <w:abstractNum w:abstractNumId="220">
    <w:nsid w:val="4252C2DA"/>
    <w:multiLevelType w:val="hybridMultilevel"/>
    <w:lvl w:ilvl="0">
      <w:lvlJc w:val="left"/>
      <w:lvlText w:val="•"/>
      <w:numFmt w:val="bullet"/>
      <w:start w:val="1"/>
    </w:lvl>
    <w:lvl w:ilvl="1">
      <w:lvlJc w:val="left"/>
      <w:lvlText w:val="•"/>
      <w:numFmt w:val="bullet"/>
      <w:start w:val="1"/>
    </w:lvl>
  </w:abstractNum>
  <w:abstractNum w:abstractNumId="221">
    <w:nsid w:val="6A92EF4C"/>
    <w:multiLevelType w:val="hybridMultilevel"/>
    <w:lvl w:ilvl="0">
      <w:lvlJc w:val="left"/>
      <w:lvlText w:val="•"/>
      <w:numFmt w:val="bullet"/>
      <w:start w:val="1"/>
    </w:lvl>
  </w:abstractNum>
  <w:abstractNum w:abstractNumId="222">
    <w:nsid w:val="41ED20D7"/>
    <w:multiLevelType w:val="hybridMultilevel"/>
    <w:lvl w:ilvl="0">
      <w:lvlJc w:val="left"/>
      <w:lvlText w:val="•"/>
      <w:numFmt w:val="bullet"/>
      <w:start w:val="1"/>
    </w:lvl>
  </w:abstractNum>
  <w:abstractNum w:abstractNumId="223">
    <w:nsid w:val="E6B3F6A"/>
    <w:multiLevelType w:val="hybridMultilevel"/>
    <w:lvl w:ilvl="0">
      <w:lvlJc w:val="left"/>
      <w:lvlText w:val="•"/>
      <w:numFmt w:val="bullet"/>
      <w:start w:val="1"/>
    </w:lvl>
    <w:lvl w:ilvl="1">
      <w:lvlJc w:val="left"/>
      <w:lvlText w:val="•"/>
      <w:numFmt w:val="bullet"/>
      <w:start w:val="1"/>
    </w:lvl>
  </w:abstractNum>
  <w:abstractNum w:abstractNumId="224">
    <w:nsid w:val="3EB21819"/>
    <w:multiLevelType w:val="hybridMultilevel"/>
    <w:lvl w:ilvl="0">
      <w:lvlJc w:val="left"/>
      <w:lvlText w:val="•"/>
      <w:numFmt w:val="bullet"/>
      <w:start w:val="1"/>
    </w:lvl>
    <w:lvl w:ilvl="1">
      <w:lvlJc w:val="left"/>
      <w:lvlText w:val="•"/>
      <w:numFmt w:val="bullet"/>
      <w:start w:val="1"/>
    </w:lvl>
  </w:abstractNum>
  <w:abstractNum w:abstractNumId="225">
    <w:nsid w:val="41531DED"/>
    <w:multiLevelType w:val="hybridMultilevel"/>
    <w:lvl w:ilvl="0">
      <w:lvlJc w:val="left"/>
      <w:lvlText w:val="•"/>
      <w:numFmt w:val="bullet"/>
      <w:start w:val="1"/>
    </w:lvl>
  </w:abstractNum>
  <w:abstractNum w:abstractNumId="226">
    <w:nsid w:val="6353CD2"/>
    <w:multiLevelType w:val="hybridMultilevel"/>
    <w:lvl w:ilvl="0">
      <w:lvlJc w:val="left"/>
      <w:lvlText w:val="•"/>
      <w:numFmt w:val="bullet"/>
      <w:start w:val="1"/>
    </w:lvl>
    <w:lvl w:ilvl="1">
      <w:lvlJc w:val="left"/>
      <w:lvlText w:val="•"/>
      <w:numFmt w:val="bullet"/>
      <w:start w:val="1"/>
    </w:lvl>
  </w:abstractNum>
  <w:abstractNum w:abstractNumId="227">
    <w:nsid w:val="683CAAD3"/>
    <w:multiLevelType w:val="hybridMultilevel"/>
    <w:lvl w:ilvl="0">
      <w:lvlJc w:val="left"/>
      <w:lvlText w:val="•"/>
      <w:numFmt w:val="bullet"/>
      <w:start w:val="1"/>
    </w:lvl>
  </w:abstractNum>
  <w:abstractNum w:abstractNumId="228">
    <w:nsid w:val="313C7C99"/>
    <w:multiLevelType w:val="hybridMultilevel"/>
    <w:lvl w:ilvl="0">
      <w:lvlJc w:val="left"/>
      <w:lvlText w:val="%1."/>
      <w:numFmt w:val="decimal"/>
      <w:start w:val="15"/>
    </w:lvl>
  </w:abstractNum>
  <w:abstractNum w:abstractNumId="229">
    <w:nsid w:val="519EB94C"/>
    <w:multiLevelType w:val="hybridMultilevel"/>
    <w:lvl w:ilvl="0">
      <w:lvlJc w:val="left"/>
      <w:lvlText w:val="•"/>
      <w:numFmt w:val="bullet"/>
      <w:start w:val="1"/>
    </w:lvl>
  </w:abstractNum>
  <w:abstractNum w:abstractNumId="230">
    <w:nsid w:val="39DF2579"/>
    <w:multiLevelType w:val="hybridMultilevel"/>
    <w:lvl w:ilvl="0">
      <w:lvlJc w:val="left"/>
      <w:lvlText w:val="%1."/>
      <w:numFmt w:val="lowerLetter"/>
      <w:start w:val="1"/>
    </w:lvl>
  </w:abstractNum>
  <w:abstractNum w:abstractNumId="231">
    <w:nsid w:val="126E008B"/>
    <w:multiLevelType w:val="hybridMultilevel"/>
    <w:lvl w:ilvl="0">
      <w:lvlJc w:val="left"/>
      <w:lvlText w:val="%1."/>
      <w:numFmt w:val="lowerLetter"/>
      <w:start w:val="1"/>
    </w:lvl>
  </w:abstractNum>
  <w:abstractNum w:abstractNumId="232">
    <w:nsid w:val="34DFBC00"/>
    <w:multiLevelType w:val="hybridMultilevel"/>
    <w:lvl w:ilvl="0">
      <w:lvlJc w:val="left"/>
      <w:lvlText w:val="%1."/>
      <w:numFmt w:val="lowerLetter"/>
      <w:start w:val="4"/>
    </w:lvl>
  </w:abstractNum>
  <w:abstractNum w:abstractNumId="233">
    <w:nsid w:val="1F9EC322"/>
    <w:multiLevelType w:val="hybridMultilevel"/>
    <w:lvl w:ilvl="0">
      <w:lvlJc w:val="left"/>
      <w:lvlText w:val="(%1)"/>
      <w:numFmt w:val="lowerLetter"/>
      <w:start w:val="1"/>
    </w:lvl>
  </w:abstractNum>
  <w:abstractNum w:abstractNumId="234">
    <w:nsid w:val="3410ED56"/>
    <w:multiLevelType w:val="hybridMultilevel"/>
    <w:lvl w:ilvl="0">
      <w:lvlJc w:val="left"/>
      <w:lvlText w:val="†"/>
      <w:numFmt w:val="bullet"/>
      <w:start w:val="1"/>
    </w:lvl>
  </w:abstractNum>
  <w:abstractNum w:abstractNumId="235">
    <w:nsid w:val="23C049A"/>
    <w:multiLevelType w:val="hybridMultilevel"/>
    <w:lvl w:ilvl="0">
      <w:lvlJc w:val="left"/>
      <w:lvlText w:val="(%1)"/>
      <w:numFmt w:val="lowerLetter"/>
      <w:start w:val="2"/>
    </w:lvl>
  </w:abstractNum>
  <w:abstractNum w:abstractNumId="236">
    <w:nsid w:val="5BDA35D4"/>
    <w:multiLevelType w:val="hybridMultilevel"/>
    <w:lvl w:ilvl="0">
      <w:lvlJc w:val="left"/>
      <w:lvlText w:val="(%1)"/>
      <w:numFmt w:val="lowerLetter"/>
      <w:start w:val="1"/>
    </w:lvl>
    <w:lvl w:ilvl="1">
      <w:lvlJc w:val="left"/>
      <w:lvlText w:val="(%2)"/>
      <w:numFmt w:val="decimal"/>
      <w:start w:val="1"/>
    </w:lvl>
  </w:abstractNum>
  <w:abstractNum w:abstractNumId="237">
    <w:nsid w:val="496FB218"/>
    <w:multiLevelType w:val="hybridMultilevel"/>
    <w:lvl w:ilvl="0">
      <w:lvlJc w:val="left"/>
      <w:lvlText w:val="["/>
      <w:numFmt w:val="bullet"/>
      <w:start w:val="1"/>
    </w:lvl>
  </w:abstractNum>
  <w:abstractNum w:abstractNumId="238">
    <w:nsid w:val="680EA5D1"/>
    <w:multiLevelType w:val="hybridMultilevel"/>
    <w:lvl w:ilvl="0">
      <w:lvlJc w:val="left"/>
      <w:lvlText w:val="(%1)"/>
      <w:numFmt w:val="lowerLetter"/>
      <w:start w:val="1"/>
    </w:lvl>
    <w:lvl w:ilvl="1">
      <w:lvlJc w:val="left"/>
      <w:lvlText w:val="(%2)"/>
      <w:numFmt w:val="lowerLetter"/>
      <w:start w:val="9"/>
    </w:lvl>
  </w:abstractNum>
  <w:abstractNum w:abstractNumId="239">
    <w:nsid w:val="4A9554FE"/>
    <w:multiLevelType w:val="hybridMultilevel"/>
    <w:lvl w:ilvl="0">
      <w:lvlJc w:val="left"/>
      <w:lvlText w:val="(%1)"/>
      <w:numFmt w:val="lowerRoman"/>
      <w:start w:val="2"/>
    </w:lvl>
  </w:abstractNum>
  <w:abstractNum w:abstractNumId="240">
    <w:nsid w:val="392EDBE4"/>
    <w:multiLevelType w:val="hybridMultilevel"/>
    <w:lvl w:ilvl="0">
      <w:lvlJc w:val="left"/>
      <w:lvlText w:val="(%1)"/>
      <w:numFmt w:val="lowerRoman"/>
      <w:start w:val="3"/>
    </w:lvl>
  </w:abstractNum>
  <w:abstractNum w:abstractNumId="241">
    <w:nsid w:val="3D1A2DD9"/>
    <w:multiLevelType w:val="hybridMultilevel"/>
    <w:lvl w:ilvl="0">
      <w:lvlJc w:val="left"/>
      <w:lvlText w:val="(%1)"/>
      <w:numFmt w:val="lowerRoman"/>
      <w:start w:val="9"/>
    </w:lvl>
  </w:abstractNum>
  <w:abstractNum w:abstractNumId="242">
    <w:nsid w:val="7F618FCD"/>
    <w:multiLevelType w:val="hybridMultilevel"/>
    <w:lvl w:ilvl="0">
      <w:lvlJc w:val="left"/>
      <w:lvlText w:val="(%1)"/>
      <w:numFmt w:val="lowerRoman"/>
      <w:start w:val="13"/>
    </w:lvl>
  </w:abstractNum>
  <w:abstractNum w:abstractNumId="243">
    <w:nsid w:val="7843E45"/>
    <w:multiLevelType w:val="hybridMultilevel"/>
    <w:lvl w:ilvl="0">
      <w:lvlJc w:val="left"/>
      <w:lvlText w:val="(%1)"/>
      <w:numFmt w:val="lowerRoman"/>
      <w:start w:val="17"/>
    </w:lvl>
  </w:abstractNum>
  <w:abstractNum w:abstractNumId="244">
    <w:nsid w:val="9815DA3"/>
    <w:multiLevelType w:val="hybridMultilevel"/>
    <w:lvl w:ilvl="0">
      <w:lvlJc w:val="left"/>
      <w:lvlText w:val="%1"/>
      <w:numFmt w:val="upperLetter"/>
      <w:start w:val="1"/>
    </w:lvl>
    <w:lvl w:ilvl="1">
      <w:lvlJc w:val="left"/>
      <w:lvlText w:val="(%2)"/>
      <w:numFmt w:val="lowerRoman"/>
      <w:start w:val="22"/>
    </w:lvl>
  </w:abstractNum>
  <w:abstractNum w:abstractNumId="245">
    <w:nsid w:val="5204A191"/>
    <w:multiLevelType w:val="hybridMultilevel"/>
    <w:lvl w:ilvl="0">
      <w:lvlJc w:val="left"/>
      <w:lvlText w:val="(%1)"/>
      <w:numFmt w:val="upperLetter"/>
      <w:start w:val="2"/>
    </w:lvl>
    <w:lvl w:ilvl="1">
      <w:lvlJc w:val="left"/>
      <w:lvlText w:val="(%2)"/>
      <w:numFmt w:val="lowerRoman"/>
      <w:start w:val="23"/>
    </w:lvl>
  </w:abstractNum>
  <w:abstractNum w:abstractNumId="246">
    <w:nsid w:val="4C73A9C6"/>
    <w:multiLevelType w:val="hybridMultilevel"/>
    <w:lvl w:ilvl="0">
      <w:lvlJc w:val="left"/>
      <w:lvlText w:val="(%1)"/>
      <w:numFmt w:val="upperLetter"/>
      <w:start w:val="2"/>
    </w:lvl>
    <w:lvl w:ilvl="1">
      <w:lvlJc w:val="left"/>
      <w:lvlText w:val="%2"/>
      <w:numFmt w:val="lowerRoman"/>
      <w:start w:val="1"/>
    </w:lvl>
  </w:abstractNum>
  <w:abstractNum w:abstractNumId="247">
    <w:nsid w:val="1C7E3C01"/>
    <w:multiLevelType w:val="hybridMultilevel"/>
    <w:lvl w:ilvl="0">
      <w:lvlJc w:val="left"/>
      <w:lvlText w:val="(%1)"/>
      <w:numFmt w:val="upperLetter"/>
      <w:start w:val="8"/>
    </w:lvl>
    <w:lvl w:ilvl="1">
      <w:lvlJc w:val="left"/>
      <w:lvlText w:val="%2"/>
      <w:numFmt w:val="lowerRoman"/>
      <w:start w:val="1"/>
    </w:lvl>
  </w:abstractNum>
  <w:abstractNum w:abstractNumId="248">
    <w:nsid w:val="1C2201FF"/>
    <w:multiLevelType w:val="hybridMultilevel"/>
    <w:lvl w:ilvl="0">
      <w:lvlJc w:val="left"/>
      <w:lvlText w:val="(%1)"/>
      <w:numFmt w:val="lowerRoman"/>
      <w:start w:val="24"/>
    </w:lvl>
  </w:abstractNum>
  <w:abstractNum w:abstractNumId="249">
    <w:nsid w:val="50ABCEC9"/>
    <w:multiLevelType w:val="hybridMultilevel"/>
    <w:lvl w:ilvl="0">
      <w:lvlJc w:val="left"/>
      <w:lvlText w:val="(%1)"/>
      <w:numFmt w:val="lowerRoman"/>
      <w:start w:val="26"/>
    </w:lvl>
  </w:abstractNum>
  <w:abstractNum w:abstractNumId="250">
    <w:nsid w:val="7635AA2A"/>
    <w:multiLevelType w:val="hybridMultilevel"/>
    <w:lvl w:ilvl="0">
      <w:lvlJc w:val="left"/>
      <w:lvlText w:val="(%1)"/>
      <w:numFmt w:val="lowerRoman"/>
      <w:start w:val="31"/>
    </w:lvl>
  </w:abstractNum>
  <w:abstractNum w:abstractNumId="251">
    <w:nsid w:val="5E74C4D9"/>
    <w:multiLevelType w:val="hybridMultilevel"/>
    <w:lvl w:ilvl="0">
      <w:lvlJc w:val="left"/>
      <w:lvlText w:val="(%1)"/>
      <w:numFmt w:val="lowerRoman"/>
      <w:start w:val="35"/>
    </w:lvl>
  </w:abstractNum>
  <w:abstractNum w:abstractNumId="252">
    <w:nsid w:val="3B3EBE15"/>
    <w:multiLevelType w:val="hybridMultilevel"/>
    <w:lvl w:ilvl="0">
      <w:lvlJc w:val="left"/>
      <w:lvlText w:val="(%1)"/>
      <w:numFmt w:val="lowerRoman"/>
      <w:start w:val="8"/>
    </w:lvl>
  </w:abstractNum>
  <w:abstractNum w:abstractNumId="253">
    <w:nsid w:val="3822CB01"/>
    <w:multiLevelType w:val="hybridMultilevel"/>
    <w:lvl w:ilvl="0">
      <w:lvlJc w:val="left"/>
      <w:lvlText w:val="(%1)"/>
      <w:numFmt w:val="lowerLetter"/>
      <w:start w:val="2"/>
    </w:lvl>
  </w:abstractNum>
  <w:abstractNum w:abstractNumId="254">
    <w:nsid w:val="6CE00443"/>
    <w:multiLevelType w:val="hybridMultilevel"/>
    <w:lvl w:ilvl="0">
      <w:lvlJc w:val="left"/>
      <w:lvlText w:val="(%1)"/>
      <w:numFmt w:val="lowerLetter"/>
      <w:start w:val="1"/>
    </w:lvl>
  </w:abstractNum>
  <w:abstractNum w:abstractNumId="255">
    <w:nsid w:val="79F0D62F"/>
    <w:multiLevelType w:val="hybridMultilevel"/>
    <w:lvl w:ilvl="0">
      <w:lvlJc w:val="left"/>
      <w:lvlText w:val="(%1)"/>
      <w:numFmt w:val="lowerLetter"/>
      <w:start w:val="1"/>
    </w:lvl>
  </w:abstractNum>
  <w:abstractNum w:abstractNumId="256">
    <w:nsid w:val="7975E8EE"/>
    <w:multiLevelType w:val="hybridMultilevel"/>
    <w:lvl w:ilvl="0">
      <w:lvlJc w:val="left"/>
      <w:lvlText w:val="%1"/>
      <w:numFmt w:val="lowerLetter"/>
      <w:start w:val="1"/>
    </w:lvl>
    <w:lvl w:ilvl="1">
      <w:lvlJc w:val="left"/>
      <w:lvlText w:val="(%2)"/>
      <w:numFmt w:val="lowerLetter"/>
      <w:start w:val="2"/>
    </w:lvl>
  </w:abstractNum>
  <w:abstractNum w:abstractNumId="257">
    <w:nsid w:val="73154115"/>
    <w:multiLevelType w:val="hybridMultilevel"/>
    <w:lvl w:ilvl="0">
      <w:lvlJc w:val="left"/>
      <w:lvlText w:val="(%1)"/>
      <w:numFmt w:val="lowerLetter"/>
      <w:start w:val="61"/>
    </w:lvl>
    <w:lvl w:ilvl="1">
      <w:lvlJc w:val="left"/>
      <w:lvlText w:val="(%2)"/>
      <w:numFmt w:val="lowerLetter"/>
      <w:start w:val="3"/>
    </w:lvl>
  </w:abstractNum>
  <w:abstractNum w:abstractNumId="258">
    <w:nsid w:val="622D8102"/>
    <w:multiLevelType w:val="hybridMultilevel"/>
    <w:lvl w:ilvl="0">
      <w:lvlJc w:val="left"/>
      <w:lvlText w:val="%1"/>
      <w:numFmt w:val="upperLetter"/>
      <w:start w:val="1"/>
    </w:lvl>
    <w:lvl w:ilvl="1">
      <w:lvlJc w:val="left"/>
      <w:lvlText w:val="(%2)"/>
      <w:numFmt w:val="lowerLetter"/>
      <w:start w:val="6"/>
    </w:lvl>
  </w:abstractNum>
  <w:abstractNum w:abstractNumId="259">
    <w:nsid w:val="2AB26587"/>
    <w:multiLevelType w:val="hybridMultilevel"/>
    <w:lvl w:ilvl="0">
      <w:lvlJc w:val="left"/>
      <w:lvlText w:val="(%1)"/>
      <w:numFmt w:val="upperLetter"/>
      <w:start w:val="2"/>
    </w:lvl>
    <w:lvl w:ilvl="1">
      <w:lvlJc w:val="left"/>
      <w:lvlText w:val="(%2)"/>
      <w:numFmt w:val="lowerLetter"/>
      <w:start w:val="10"/>
    </w:lvl>
  </w:abstractNum>
  <w:abstractNum w:abstractNumId="260">
    <w:nsid w:val="44B3FA61"/>
    <w:multiLevelType w:val="hybridMultilevel"/>
    <w:lvl w:ilvl="0">
      <w:lvlJc w:val="left"/>
      <w:lvlText w:val="(%1)"/>
      <w:numFmt w:val="lowerLetter"/>
      <w:start w:val="12"/>
    </w:lvl>
  </w:abstractNum>
  <w:abstractNum w:abstractNumId="261">
    <w:nsid w:val="1C0CA67C"/>
    <w:multiLevelType w:val="hybridMultilevel"/>
    <w:lvl w:ilvl="0">
      <w:lvlJc w:val="left"/>
      <w:lvlText w:val="%1"/>
      <w:numFmt w:val="lowerLetter"/>
      <w:start w:val="1"/>
    </w:lvl>
    <w:lvl w:ilvl="1">
      <w:lvlJc w:val="left"/>
      <w:lvlText w:val="(%2)"/>
      <w:numFmt w:val="lowerLetter"/>
      <w:start w:val="15"/>
    </w:lvl>
  </w:abstractNum>
  <w:abstractNum w:abstractNumId="262">
    <w:nsid w:val="3D206613"/>
    <w:multiLevelType w:val="hybridMultilevel"/>
    <w:lvl w:ilvl="0">
      <w:lvlJc w:val="left"/>
      <w:lvlText w:val="(%1)"/>
      <w:numFmt w:val="lowerLetter"/>
      <w:start w:val="35"/>
    </w:lvl>
    <w:lvl w:ilvl="1">
      <w:lvlJc w:val="left"/>
      <w:lvlText w:val="(%2)"/>
      <w:numFmt w:val="lowerLetter"/>
      <w:start w:val="17"/>
    </w:lvl>
  </w:abstractNum>
  <w:abstractNum w:abstractNumId="263">
    <w:nsid w:val="7993B662"/>
    <w:multiLevelType w:val="hybridMultilevel"/>
    <w:lvl w:ilvl="0">
      <w:lvlJc w:val="left"/>
      <w:lvlText w:val="1"/>
      <w:numFmt w:val="bullet"/>
      <w:start w:val="1"/>
    </w:lvl>
  </w:abstractNum>
  <w:abstractNum w:abstractNumId="264">
    <w:nsid w:val="3BAB699E"/>
    <w:multiLevelType w:val="hybridMultilevel"/>
    <w:lvl w:ilvl="0">
      <w:lvlJc w:val="left"/>
      <w:lvlText w:val="%1"/>
      <w:numFmt w:val="lowerRoman"/>
      <w:start w:val="1"/>
    </w:lvl>
    <w:lvl w:ilvl="1">
      <w:lvlJc w:val="left"/>
      <w:lvlText w:val="(%2)"/>
      <w:numFmt w:val="lowerLetter"/>
      <w:start w:val="1"/>
    </w:lvl>
  </w:abstractNum>
  <w:abstractNum w:abstractNumId="265">
    <w:nsid w:val="71315369"/>
    <w:multiLevelType w:val="hybridMultilevel"/>
    <w:lvl w:ilvl="0">
      <w:lvlJc w:val="left"/>
      <w:lvlText w:val="(%1)"/>
      <w:numFmt w:val="lowerRoman"/>
      <w:start w:val="4"/>
    </w:lvl>
    <w:lvl w:ilvl="1">
      <w:lvlJc w:val="left"/>
      <w:lvlText w:val="(%2)"/>
      <w:numFmt w:val="lowerLetter"/>
      <w:start w:val="2"/>
    </w:lvl>
  </w:abstractNum>
  <w:abstractNum w:abstractNumId="266">
    <w:nsid w:val="7BCFBAFC"/>
    <w:multiLevelType w:val="hybridMultilevel"/>
    <w:lvl w:ilvl="0">
      <w:lvlJc w:val="left"/>
      <w:lvlText w:val="(%1)"/>
      <w:numFmt w:val="lowerLetter"/>
      <w:start w:val="1"/>
    </w:lvl>
  </w:abstractNum>
  <w:abstractNum w:abstractNumId="267">
    <w:nsid w:val="17859F72"/>
    <w:multiLevelType w:val="hybridMultilevel"/>
    <w:lvl w:ilvl="0">
      <w:lvlJc w:val="left"/>
      <w:lvlText w:val="(%1)"/>
      <w:numFmt w:val="lowerLetter"/>
      <w:start w:val="8"/>
    </w:lvl>
    <w:lvl w:ilvl="1">
      <w:lvlJc w:val="left"/>
      <w:lvlText w:val="(%2)"/>
      <w:numFmt w:val="lowerRoman"/>
      <w:start w:val="1"/>
    </w:lvl>
  </w:abstractNum>
  <w:abstractNum w:abstractNumId="268">
    <w:nsid w:val="3AA10581"/>
    <w:multiLevelType w:val="hybridMultilevel"/>
    <w:lvl w:ilvl="0">
      <w:lvlJc w:val="left"/>
      <w:lvlText w:val="(%1)"/>
      <w:numFmt w:val="lowerRoman"/>
      <w:start w:val="4"/>
    </w:lvl>
  </w:abstractNum>
  <w:abstractNum w:abstractNumId="269">
    <w:nsid w:val="63DE60CD"/>
    <w:multiLevelType w:val="hybridMultilevel"/>
    <w:lvl w:ilvl="0">
      <w:lvlJc w:val="left"/>
      <w:lvlText w:val="(%1)"/>
      <w:numFmt w:val="lowerLetter"/>
      <w:start w:val="14"/>
    </w:lvl>
  </w:abstractNum>
  <w:abstractNum w:abstractNumId="270">
    <w:nsid w:val="621AF471"/>
    <w:multiLevelType w:val="hybridMultilevel"/>
    <w:lvl w:ilvl="0">
      <w:lvlJc w:val="left"/>
      <w:lvlText w:val="(%1)"/>
      <w:numFmt w:val="lowerLetter"/>
      <w:start w:val="1"/>
    </w:lvl>
    <w:lvl w:ilvl="1">
      <w:lvlJc w:val="left"/>
      <w:lvlText w:val="(%2)"/>
      <w:numFmt w:val="lowerLetter"/>
      <w:start w:val="9"/>
    </w:lvl>
  </w:abstractNum>
  <w:abstractNum w:abstractNumId="271">
    <w:nsid w:val="73CFE165"/>
    <w:multiLevelType w:val="hybridMultilevel"/>
    <w:lvl w:ilvl="0">
      <w:lvlJc w:val="left"/>
      <w:lvlText w:val="(%1)"/>
      <w:numFmt w:val="lowerRoman"/>
      <w:start w:val="2"/>
    </w:lvl>
  </w:abstractNum>
  <w:abstractNum w:abstractNumId="272">
    <w:nsid w:val="20F88EA6"/>
    <w:multiLevelType w:val="hybridMultilevel"/>
    <w:lvl w:ilvl="0">
      <w:lvlJc w:val="left"/>
      <w:lvlText w:val="(%1)"/>
      <w:numFmt w:val="lowerLetter"/>
      <w:start w:val="2"/>
    </w:lvl>
  </w:abstractNum>
  <w:abstractNum w:abstractNumId="273">
    <w:nsid w:val="617C843E"/>
    <w:multiLevelType w:val="hybridMultilevel"/>
    <w:lvl w:ilvl="0">
      <w:lvlJc w:val="left"/>
      <w:lvlText w:val="(%1)"/>
      <w:numFmt w:val="lowerLetter"/>
      <w:start w:val="4"/>
    </w:lvl>
  </w:abstractNum>
  <w:abstractNum w:abstractNumId="274">
    <w:nsid w:val="7B541FAB"/>
    <w:multiLevelType w:val="hybridMultilevel"/>
    <w:lvl w:ilvl="0">
      <w:lvlJc w:val="left"/>
      <w:lvlText w:val="%1"/>
      <w:numFmt w:val="lowerLetter"/>
      <w:start w:val="1"/>
    </w:lvl>
    <w:lvl w:ilvl="1">
      <w:lvlJc w:val="left"/>
      <w:lvlText w:val="(%2)"/>
      <w:numFmt w:val="lowerLetter"/>
      <w:start w:val="1"/>
    </w:lvl>
  </w:abstractNum>
  <w:abstractNum w:abstractNumId="275">
    <w:nsid w:val="2A79EC49"/>
    <w:multiLevelType w:val="hybridMultilevel"/>
    <w:lvl w:ilvl="0">
      <w:lvlJc w:val="left"/>
      <w:lvlText w:val="(%1)"/>
      <w:numFmt w:val="lowerLetter"/>
      <w:start w:val="9"/>
    </w:lvl>
    <w:lvl w:ilvl="1">
      <w:lvlJc w:val="left"/>
      <w:lvlText w:val="(%2)"/>
      <w:numFmt w:val="lowerLetter"/>
      <w:start w:val="2"/>
    </w:lvl>
  </w:abstractNum>
  <w:abstractNum w:abstractNumId="276">
    <w:nsid w:val="338125CF"/>
    <w:multiLevelType w:val="hybridMultilevel"/>
    <w:lvl w:ilvl="0">
      <w:lvlJc w:val="left"/>
      <w:lvlText w:val="(%1)"/>
      <w:numFmt w:val="lowerRoman"/>
      <w:start w:val="1"/>
    </w:lvl>
  </w:abstractNum>
  <w:abstractNum w:abstractNumId="277">
    <w:nsid w:val="47C7C971"/>
    <w:multiLevelType w:val="hybridMultilevel"/>
    <w:lvl w:ilvl="0">
      <w:lvlJc w:val="left"/>
      <w:lvlText w:val="(%1)"/>
      <w:numFmt w:val="lowerLetter"/>
      <w:start w:val="5"/>
    </w:lvl>
  </w:abstractNum>
  <w:abstractNum w:abstractNumId="278">
    <w:nsid w:val="46F8284B"/>
    <w:multiLevelType w:val="hybridMultilevel"/>
    <w:lvl w:ilvl="0">
      <w:lvlJc w:val="left"/>
      <w:lvlText w:val="(%1)"/>
      <w:numFmt w:val="lowerLetter"/>
      <w:start w:val="1"/>
    </w:lvl>
  </w:abstractNum>
  <w:abstractNum w:abstractNumId="279">
    <w:nsid w:val="4FA327CE"/>
    <w:multiLevelType w:val="hybridMultilevel"/>
    <w:lvl w:ilvl="0">
      <w:lvlJc w:val="left"/>
      <w:lvlText w:val="%1."/>
      <w:numFmt w:val="decimal"/>
      <w:start w:val="1"/>
    </w:lvl>
  </w:abstractNum>
  <w:abstractNum w:abstractNumId="280">
    <w:nsid w:val="1873983A"/>
    <w:multiLevelType w:val="hybridMultilevel"/>
    <w:lvl w:ilvl="0">
      <w:lvlJc w:val="left"/>
      <w:lvlText w:val="%1."/>
      <w:numFmt w:val="decimal"/>
      <w:start w:val="1"/>
    </w:lvl>
  </w:abstractNum>
  <w:abstractNum w:abstractNumId="281">
    <w:nsid w:val="3D2DD275"/>
    <w:multiLevelType w:val="hybridMultilevel"/>
    <w:lvl w:ilvl="0">
      <w:lvlJc w:val="left"/>
      <w:lvlText w:val="1"/>
      <w:numFmt w:val="bullet"/>
      <w:start w:val="1"/>
    </w:lvl>
  </w:abstractNum>
  <w:abstractNum w:abstractNumId="282">
    <w:nsid w:val="2E17ECA7"/>
    <w:multiLevelType w:val="hybridMultilevel"/>
    <w:lvl w:ilvl="0">
      <w:lvlJc w:val="left"/>
      <w:lvlText w:val="2"/>
      <w:numFmt w:val="bullet"/>
      <w:start w:val="1"/>
    </w:lvl>
  </w:abstractNum>
  <w:abstractNum w:abstractNumId="283">
    <w:nsid w:val="53B2564F"/>
    <w:multiLevelType w:val="hybridMultilevel"/>
    <w:lvl w:ilvl="0">
      <w:lvlJc w:val="left"/>
      <w:lvlText w:val="3"/>
      <w:numFmt w:val="bullet"/>
      <w:start w:val="1"/>
    </w:lvl>
  </w:abstractNum>
  <w:abstractNum w:abstractNumId="284">
    <w:nsid w:val="75509D76"/>
    <w:multiLevelType w:val="hybridMultilevel"/>
    <w:lvl w:ilvl="0">
      <w:lvlJc w:val="left"/>
      <w:lvlText w:val="%1."/>
      <w:numFmt w:val="lowerLetter"/>
      <w:start w:val="1"/>
    </w:lvl>
  </w:abstractNum>
  <w:abstractNum w:abstractNumId="285">
    <w:nsid w:val="1AF7F0EA"/>
    <w:multiLevelType w:val="hybridMultilevel"/>
    <w:lvl w:ilvl="0">
      <w:lvlJc w:val="left"/>
      <w:lvlText w:val="%1."/>
      <w:numFmt w:val="lowerLetter"/>
      <w:start w:val="7"/>
    </w:lvl>
  </w:abstractNum>
  <w:abstractNum w:abstractNumId="286">
    <w:nsid w:val="4DA32C7E"/>
    <w:multiLevelType w:val="hybridMultilevel"/>
    <w:lvl w:ilvl="0">
      <w:lvlJc w:val="left"/>
      <w:lvlText w:val="%1."/>
      <w:numFmt w:val="decimal"/>
      <w:start w:val="1"/>
    </w:lvl>
  </w:abstractNum>
  <w:abstractNum w:abstractNumId="287">
    <w:nsid w:val="6EC68664"/>
    <w:multiLevelType w:val="hybridMultilevel"/>
    <w:lvl w:ilvl="0">
      <w:lvlJc w:val="left"/>
      <w:lvlText w:val="%1."/>
      <w:numFmt w:val="upperLetter"/>
      <w:start w:val="1"/>
    </w:lvl>
  </w:abstractNum>
  <w:abstractNum w:abstractNumId="288">
    <w:nsid w:val="E0D31FF"/>
    <w:multiLevelType w:val="hybridMultilevel"/>
    <w:lvl w:ilvl="0">
      <w:lvlJc w:val="left"/>
      <w:lvlText w:val="%1."/>
      <w:numFmt w:val="upperLetter"/>
      <w:start w:val="2"/>
    </w:lvl>
    <w:lvl w:ilvl="1">
      <w:lvlJc w:val="left"/>
      <w:lvlText w:val="%2."/>
      <w:numFmt w:val="lowerLetter"/>
      <w:start w:val="1"/>
    </w:lvl>
  </w:abstractNum>
  <w:abstractNum w:abstractNumId="289">
    <w:nsid w:val="2FD0AD81"/>
    <w:multiLevelType w:val="hybridMultilevel"/>
    <w:lvl w:ilvl="0">
      <w:lvlJc w:val="left"/>
      <w:lvlText w:val="%1"/>
      <w:numFmt w:val="upperLetter"/>
      <w:start w:val="1"/>
    </w:lvl>
    <w:lvl w:ilvl="1">
      <w:lvlJc w:val="left"/>
      <w:lvlText w:val="%2."/>
      <w:numFmt w:val="lowerLetter"/>
      <w:start w:val="3"/>
    </w:lvl>
  </w:abstractNum>
  <w:abstractNum w:abstractNumId="290">
    <w:nsid w:val="1978EBEB"/>
    <w:multiLevelType w:val="hybridMultilevel"/>
    <w:lvl w:ilvl="0">
      <w:lvlJc w:val="left"/>
      <w:lvlText w:val="%1."/>
      <w:numFmt w:val="upperLetter"/>
      <w:start w:val="5"/>
    </w:lvl>
    <w:lvl w:ilvl="1">
      <w:lvlJc w:val="left"/>
      <w:lvlText w:val="%2"/>
      <w:numFmt w:val="lowerLetter"/>
      <w:start w:val="1"/>
    </w:lvl>
  </w:abstractNum>
  <w:abstractNum w:abstractNumId="291">
    <w:nsid w:val="52C12C61"/>
    <w:multiLevelType w:val="hybridMultilevel"/>
    <w:lvl w:ilvl="0">
      <w:lvlJc w:val="left"/>
      <w:lvlText w:val="%1."/>
      <w:numFmt w:val="lowerLetter"/>
      <w:start w:val="1"/>
    </w:lvl>
  </w:abstractNum>
  <w:abstractNum w:abstractNumId="292">
    <w:nsid w:val="4BDD53FD"/>
    <w:multiLevelType w:val="hybridMultilevel"/>
    <w:lvl w:ilvl="0">
      <w:lvlJc w:val="left"/>
      <w:lvlText w:val="·"/>
      <w:numFmt w:val="bullet"/>
      <w:start w:val="1"/>
    </w:lvl>
  </w:abstractNum>
  <w:abstractNum w:abstractNumId="293">
    <w:nsid w:val="569951FE"/>
    <w:multiLevelType w:val="hybridMultilevel"/>
    <w:lvl w:ilvl="0">
      <w:lvlJc w:val="left"/>
      <w:lvlText w:val="·"/>
      <w:numFmt w:val="bullet"/>
      <w:start w:val="1"/>
    </w:lvl>
  </w:abstractNum>
  <w:abstractNum w:abstractNumId="294">
    <w:nsid w:val="4C54E2C3"/>
    <w:multiLevelType w:val="hybridMultilevel"/>
    <w:lvl w:ilvl="0">
      <w:lvlJc w:val="left"/>
      <w:lvlText w:val="%1."/>
      <w:numFmt w:val="decimal"/>
      <w:start w:val="1"/>
    </w:lvl>
  </w:abstractNum>
  <w:abstractNum w:abstractNumId="295">
    <w:nsid w:val="788BD9B"/>
    <w:multiLevelType w:val="hybridMultilevel"/>
    <w:lvl w:ilvl="0">
      <w:lvlJc w:val="left"/>
      <w:lvlText w:val="%1."/>
      <w:numFmt w:val="decimal"/>
      <w:start w:val="2"/>
    </w:lvl>
  </w:abstractNum>
  <w:abstractNum w:abstractNumId="296">
    <w:nsid w:val="47CAA567"/>
    <w:multiLevelType w:val="hybridMultilevel"/>
    <w:lvl w:ilvl="0">
      <w:lvlJc w:val="left"/>
      <w:lvlText w:val="%1."/>
      <w:numFmt w:val="decimal"/>
      <w:start w:val="3"/>
    </w:lvl>
  </w:abstractNum>
  <w:abstractNum w:abstractNumId="297">
    <w:nsid w:val="48249DBF"/>
    <w:multiLevelType w:val="hybridMultilevel"/>
    <w:lvl w:ilvl="0">
      <w:lvlJc w:val="left"/>
      <w:lvlText w:val="%1."/>
      <w:numFmt w:val="decimal"/>
      <w:start w:val="4"/>
    </w:lvl>
  </w:abstractNum>
  <w:abstractNum w:abstractNumId="298">
    <w:nsid w:val="1F0E5D0D"/>
    <w:multiLevelType w:val="hybridMultilevel"/>
    <w:lvl w:ilvl="0">
      <w:lvlJc w:val="left"/>
      <w:lvlText w:val="%1."/>
      <w:numFmt w:val="decimal"/>
      <w:start w:val="5"/>
    </w:lvl>
  </w:abstractNum>
  <w:abstractNum w:abstractNumId="299">
    <w:nsid w:val="26BAAE9"/>
    <w:multiLevelType w:val="hybridMultilevel"/>
    <w:lvl w:ilvl="0">
      <w:lvlJc w:val="left"/>
      <w:lvlText w:val="%1."/>
      <w:numFmt w:val="decimal"/>
      <w:start w:val="6"/>
    </w:lvl>
  </w:abstractNum>
  <w:abstractNum w:abstractNumId="300">
    <w:nsid w:val="2C02FE8C"/>
    <w:multiLevelType w:val="hybridMultilevel"/>
    <w:lvl w:ilvl="0">
      <w:lvlJc w:val="left"/>
      <w:lvlText w:val="%1."/>
      <w:numFmt w:val="decimal"/>
      <w:start w:val="1"/>
    </w:lvl>
  </w:abstractNum>
  <w:abstractNum w:abstractNumId="301">
    <w:nsid w:val="129517E"/>
    <w:multiLevelType w:val="hybridMultilevel"/>
    <w:lvl w:ilvl="0">
      <w:lvlJc w:val="left"/>
      <w:lvlText w:val="-"/>
      <w:numFmt w:val="bullet"/>
      <w:start w:val="1"/>
    </w:lvl>
  </w:abstractNum>
  <w:abstractNum w:abstractNumId="302">
    <w:nsid w:val="763B8C4E"/>
    <w:multiLevelType w:val="hybridMultilevel"/>
    <w:lvl w:ilvl="0">
      <w:lvlJc w:val="left"/>
      <w:lvlText w:val="-"/>
      <w:numFmt w:val="bullet"/>
      <w:start w:val="1"/>
    </w:lvl>
  </w:abstractNum>
  <w:abstractNum w:abstractNumId="303">
    <w:nsid w:val="4CFB8D32"/>
    <w:multiLevelType w:val="hybridMultilevel"/>
    <w:lvl w:ilvl="0">
      <w:lvlJc w:val="left"/>
      <w:lvlText w:val="A"/>
      <w:numFmt w:val="bullet"/>
      <w:start w:val="1"/>
    </w:lvl>
  </w:abstractNum>
  <w:abstractNum w:abstractNumId="304">
    <w:nsid w:val="62A5D5BD"/>
    <w:multiLevelType w:val="hybridMultilevel"/>
    <w:lvl w:ilvl="0">
      <w:lvlJc w:val="left"/>
      <w:lvlText w:val="B"/>
      <w:numFmt w:val="bullet"/>
      <w:start w:val="1"/>
    </w:lvl>
  </w:abstractNum>
  <w:abstractNum w:abstractNumId="305">
    <w:nsid w:val="718FABF9"/>
    <w:multiLevelType w:val="hybridMultilevel"/>
    <w:lvl w:ilvl="0">
      <w:lvlJc w:val="left"/>
      <w:lvlText w:val="C"/>
      <w:numFmt w:val="bullet"/>
      <w:start w:val="1"/>
    </w:lvl>
  </w:abstractNum>
  <w:abstractNum w:abstractNumId="306">
    <w:nsid w:val="7775797C"/>
    <w:multiLevelType w:val="hybridMultilevel"/>
    <w:lvl w:ilvl="0">
      <w:lvlJc w:val="left"/>
      <w:lvlText w:val="1"/>
      <w:numFmt w:val="bullet"/>
      <w:start w:val="1"/>
    </w:lvl>
  </w:abstractNum>
  <w:abstractNum w:abstractNumId="307">
    <w:nsid w:val="1626FB8C"/>
    <w:multiLevelType w:val="hybridMultilevel"/>
    <w:lvl w:ilvl="0">
      <w:lvlJc w:val="left"/>
      <w:lvlText w:val="2"/>
      <w:numFmt w:val="bullet"/>
      <w:start w:val="1"/>
    </w:lvl>
  </w:abstractNum>
  <w:abstractNum w:abstractNumId="308">
    <w:nsid w:val="3957756A"/>
    <w:multiLevelType w:val="hybridMultilevel"/>
    <w:lvl w:ilvl="0">
      <w:lvlJc w:val="left"/>
      <w:lvlText w:val="3"/>
      <w:numFmt w:val="bullet"/>
      <w:start w:val="1"/>
    </w:lvl>
  </w:abstractNum>
  <w:abstractNum w:abstractNumId="309">
    <w:nsid w:val="3E6DA1C7"/>
    <w:multiLevelType w:val="hybridMultilevel"/>
    <w:lvl w:ilvl="0">
      <w:lvlJc w:val="left"/>
      <w:lvlText w:val="%1."/>
      <w:numFmt w:val="upperLetter"/>
      <w:start w:val="1"/>
    </w:lvl>
  </w:abstractNum>
  <w:abstractNum w:abstractNumId="310">
    <w:nsid w:val="65CA235B"/>
    <w:multiLevelType w:val="hybridMultilevel"/>
    <w:lvl w:ilvl="0">
      <w:lvlJc w:val="left"/>
      <w:lvlText w:val="%1."/>
      <w:numFmt w:val="decimal"/>
      <w:start w:val="1"/>
    </w:lvl>
  </w:abstractNum>
  <w:abstractNum w:abstractNumId="311">
    <w:nsid w:val="51CB0DA4"/>
    <w:multiLevelType w:val="hybridMultilevel"/>
    <w:lvl w:ilvl="0">
      <w:lvlJc w:val="left"/>
      <w:lvlText w:val="%1."/>
      <w:numFmt w:val="decimal"/>
      <w:start w:val="3"/>
    </w:lvl>
  </w:abstractNum>
  <w:abstractNum w:abstractNumId="312">
    <w:nsid w:val="7B9B743C"/>
    <w:multiLevelType w:val="hybridMultilevel"/>
    <w:lvl w:ilvl="0">
      <w:lvlJc w:val="left"/>
      <w:lvlText w:val="(%1)"/>
      <w:numFmt w:val="lowerLetter"/>
      <w:start w:val="1"/>
    </w:lvl>
  </w:abstractNum>
  <w:abstractNum w:abstractNumId="313">
    <w:nsid w:val="13E21002"/>
    <w:multiLevelType w:val="hybridMultilevel"/>
    <w:lvl w:ilvl="0">
      <w:lvlJc w:val="left"/>
      <w:lvlText w:val="(%1)"/>
      <w:numFmt w:val="lowerLetter"/>
      <w:start w:val="1"/>
    </w:lvl>
    <w:lvl w:ilvl="1">
      <w:lvlJc w:val="left"/>
      <w:lvlText w:val="(%2)"/>
      <w:numFmt w:val="lowerRoman"/>
      <w:start w:val="1"/>
    </w:lvl>
  </w:abstractNum>
  <w:abstractNum w:abstractNumId="314">
    <w:nsid w:val="257D63F4"/>
    <w:multiLevelType w:val="hybridMultilevel"/>
    <w:lvl w:ilvl="0">
      <w:lvlJc w:val="left"/>
      <w:lvlText w:val="(%1)"/>
      <w:numFmt w:val="lowerRoman"/>
      <w:start w:val="5"/>
    </w:lvl>
  </w:abstractNum>
  <w:abstractNum w:abstractNumId="315">
    <w:nsid w:val="70EC11B2"/>
    <w:multiLevelType w:val="hybridMultilevel"/>
    <w:lvl w:ilvl="0">
      <w:lvlJc w:val="left"/>
      <w:lvlText w:val="(%1)"/>
      <w:numFmt w:val="lowerRoman"/>
      <w:start w:val="6"/>
    </w:lvl>
  </w:abstractNum>
  <w:abstractNum w:abstractNumId="316">
    <w:nsid w:val="2EDA00ED"/>
    <w:multiLevelType w:val="hybridMultilevel"/>
    <w:lvl w:ilvl="0">
      <w:lvlJc w:val="left"/>
      <w:lvlText w:val="(%1)"/>
      <w:numFmt w:val="lowerRoman"/>
      <w:start w:val="8"/>
    </w:lvl>
  </w:abstractNum>
  <w:abstractNum w:abstractNumId="317">
    <w:nsid w:val="73209072"/>
    <w:multiLevelType w:val="hybridMultilevel"/>
    <w:lvl w:ilvl="0">
      <w:lvlJc w:val="left"/>
      <w:lvlText w:val="(%1)"/>
      <w:numFmt w:val="lowerRoman"/>
      <w:start w:val="12"/>
    </w:lvl>
  </w:abstractNum>
  <w:abstractNum w:abstractNumId="318">
    <w:nsid w:val="5FB29816"/>
    <w:multiLevelType w:val="hybridMultilevel"/>
    <w:lvl w:ilvl="0">
      <w:lvlJc w:val="left"/>
      <w:lvlText w:val="(%1)"/>
      <w:numFmt w:val="lowerRoman"/>
      <w:start w:val="1"/>
    </w:lvl>
  </w:abstractNum>
  <w:abstractNum w:abstractNumId="319">
    <w:nsid w:val="3CE732EC"/>
    <w:multiLevelType w:val="hybridMultilevel"/>
    <w:lvl w:ilvl="0">
      <w:lvlJc w:val="left"/>
      <w:lvlText w:val="(%1)"/>
      <w:numFmt w:val="lowerRoman"/>
      <w:start w:val="2"/>
    </w:lvl>
  </w:abstractNum>
  <w:abstractNum w:abstractNumId="320">
    <w:nsid w:val="22F13DF3"/>
    <w:multiLevelType w:val="hybridMultilevel"/>
    <w:lvl w:ilvl="0">
      <w:lvlJc w:val="left"/>
      <w:lvlText w:val="%1."/>
      <w:numFmt w:val="upperLetter"/>
      <w:start w:val="2"/>
    </w:lvl>
  </w:abstractNum>
  <w:abstractNum w:abstractNumId="321">
    <w:nsid w:val="792B8401"/>
    <w:multiLevelType w:val="hybridMultilevel"/>
    <w:lvl w:ilvl="0">
      <w:lvlJc w:val="left"/>
      <w:lvlText w:val="%1."/>
      <w:numFmt w:val="decimal"/>
      <w:start w:val="1"/>
    </w:lvl>
  </w:abstractNum>
  <w:abstractNum w:abstractNumId="322">
    <w:nsid w:val="FA85F4D"/>
    <w:multiLevelType w:val="hybridMultilevel"/>
    <w:lvl w:ilvl="0">
      <w:lvlJc w:val="left"/>
      <w:lvlText w:val="%1."/>
      <w:numFmt w:val="decimal"/>
      <w:start w:val="4"/>
    </w:lvl>
  </w:abstractNum>
  <w:abstractNum w:abstractNumId="323">
    <w:nsid w:val="6ECE91F0"/>
    <w:multiLevelType w:val="hybridMultilevel"/>
    <w:lvl w:ilvl="0">
      <w:lvlJc w:val="left"/>
      <w:lvlText w:val="(%1)"/>
      <w:numFmt w:val="lowerRoman"/>
      <w:start w:val="1"/>
    </w:lvl>
    <w:lvl w:ilvl="1">
      <w:lvlJc w:val="left"/>
      <w:lvlText w:val="-"/>
      <w:numFmt w:val="bullet"/>
      <w:start w:val="1"/>
    </w:lvl>
  </w:abstractNum>
  <w:abstractNum w:abstractNumId="324">
    <w:nsid w:val="4FC4D600"/>
    <w:multiLevelType w:val="hybridMultilevel"/>
    <w:lvl w:ilvl="0">
      <w:lvlJc w:val="left"/>
      <w:lvlText w:val="(%1)"/>
      <w:numFmt w:val="lowerRoman"/>
      <w:start w:val="2"/>
    </w:lvl>
    <w:lvl w:ilvl="1">
      <w:lvlJc w:val="left"/>
      <w:lvlText w:val="-"/>
      <w:numFmt w:val="bullet"/>
      <w:start w:val="1"/>
    </w:lvl>
  </w:abstractNum>
  <w:abstractNum w:abstractNumId="325">
    <w:nsid w:val="5BFD4210"/>
    <w:multiLevelType w:val="hybridMultilevel"/>
    <w:lvl w:ilvl="0">
      <w:lvlJc w:val="left"/>
      <w:lvlText w:val="%1"/>
      <w:numFmt w:val="decimal"/>
      <w:start w:val="1"/>
    </w:lvl>
    <w:lvl w:ilvl="1">
      <w:lvlJc w:val="left"/>
      <w:lvlText w:val="(%2)"/>
      <w:numFmt w:val="lowerRoman"/>
      <w:start w:val="6"/>
    </w:lvl>
  </w:abstractNum>
  <w:abstractNum w:abstractNumId="326">
    <w:nsid w:val="76574F8B"/>
    <w:multiLevelType w:val="hybridMultilevel"/>
    <w:lvl w:ilvl="0">
      <w:lvlJc w:val="left"/>
      <w:lvlText w:val="%1."/>
      <w:numFmt w:val="decimal"/>
      <w:start w:val="5"/>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png"/><Relationship Id="rId382" Type="http://schemas.openxmlformats.org/officeDocument/2006/relationships/image" Target="media/image375.jpeg"/><Relationship Id="rId383" Type="http://schemas.openxmlformats.org/officeDocument/2006/relationships/image" Target="media/image376.png"/><Relationship Id="rId384" Type="http://schemas.openxmlformats.org/officeDocument/2006/relationships/image" Target="media/image377.jpe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jpe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jpe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806" Type="http://schemas.openxmlformats.org/officeDocument/2006/relationships/image" Target="media/image791.png"/><Relationship Id="rId822" Type="http://schemas.openxmlformats.org/officeDocument/2006/relationships/image" Target="media/image792.png"/><Relationship Id="rId839" Type="http://schemas.openxmlformats.org/officeDocument/2006/relationships/image" Target="media/image793.png"/><Relationship Id="rId851" Type="http://schemas.openxmlformats.org/officeDocument/2006/relationships/image" Target="media/image794.png"/><Relationship Id="rId853" Type="http://schemas.openxmlformats.org/officeDocument/2006/relationships/image" Target="media/image795.png"/><Relationship Id="rId854" Type="http://schemas.openxmlformats.org/officeDocument/2006/relationships/image" Target="media/image796.png"/><Relationship Id="rId855" Type="http://schemas.openxmlformats.org/officeDocument/2006/relationships/image" Target="media/image797.png"/><Relationship Id="rId856" Type="http://schemas.openxmlformats.org/officeDocument/2006/relationships/image" Target="media/image798.png"/><Relationship Id="rId857" Type="http://schemas.openxmlformats.org/officeDocument/2006/relationships/image" Target="media/image799.png"/><Relationship Id="rId858" Type="http://schemas.openxmlformats.org/officeDocument/2006/relationships/image" Target="media/image800.png"/><Relationship Id="rId859" Type="http://schemas.openxmlformats.org/officeDocument/2006/relationships/image" Target="media/image801.png"/><Relationship Id="rId860" Type="http://schemas.openxmlformats.org/officeDocument/2006/relationships/image" Target="media/image802.png"/><Relationship Id="rId861" Type="http://schemas.openxmlformats.org/officeDocument/2006/relationships/image" Target="media/image803.png"/><Relationship Id="rId862" Type="http://schemas.openxmlformats.org/officeDocument/2006/relationships/image" Target="media/image804.png"/><Relationship Id="rId863" Type="http://schemas.openxmlformats.org/officeDocument/2006/relationships/image" Target="media/image805.png"/><Relationship Id="rId864" Type="http://schemas.openxmlformats.org/officeDocument/2006/relationships/image" Target="media/image806.png"/><Relationship Id="rId865" Type="http://schemas.openxmlformats.org/officeDocument/2006/relationships/image" Target="media/image807.png"/><Relationship Id="rId866" Type="http://schemas.openxmlformats.org/officeDocument/2006/relationships/image" Target="media/image808.png"/><Relationship Id="rId867" Type="http://schemas.openxmlformats.org/officeDocument/2006/relationships/image" Target="media/image809.png"/><Relationship Id="rId868" Type="http://schemas.openxmlformats.org/officeDocument/2006/relationships/image" Target="media/image810.png"/><Relationship Id="rId869" Type="http://schemas.openxmlformats.org/officeDocument/2006/relationships/image" Target="media/image811.png"/><Relationship Id="rId870" Type="http://schemas.openxmlformats.org/officeDocument/2006/relationships/image" Target="media/image812.png"/><Relationship Id="rId871" Type="http://schemas.openxmlformats.org/officeDocument/2006/relationships/image" Target="media/image813.png"/><Relationship Id="rId872" Type="http://schemas.openxmlformats.org/officeDocument/2006/relationships/image" Target="media/image814.png"/><Relationship Id="rId873" Type="http://schemas.openxmlformats.org/officeDocument/2006/relationships/image" Target="media/image815.png"/><Relationship Id="rId874" Type="http://schemas.openxmlformats.org/officeDocument/2006/relationships/image" Target="media/image816.png"/><Relationship Id="rId875" Type="http://schemas.openxmlformats.org/officeDocument/2006/relationships/image" Target="media/image817.png"/><Relationship Id="rId876" Type="http://schemas.openxmlformats.org/officeDocument/2006/relationships/image" Target="media/image818.png"/><Relationship Id="rId877" Type="http://schemas.openxmlformats.org/officeDocument/2006/relationships/image" Target="media/image819.png"/><Relationship Id="rId878" Type="http://schemas.openxmlformats.org/officeDocument/2006/relationships/image" Target="media/image820.png"/><Relationship Id="rId879" Type="http://schemas.openxmlformats.org/officeDocument/2006/relationships/image" Target="media/image821.png"/><Relationship Id="rId880" Type="http://schemas.openxmlformats.org/officeDocument/2006/relationships/image" Target="media/image822.png"/><Relationship Id="rId881" Type="http://schemas.openxmlformats.org/officeDocument/2006/relationships/image" Target="media/image823.png"/><Relationship Id="rId882" Type="http://schemas.openxmlformats.org/officeDocument/2006/relationships/image" Target="media/image824.png"/><Relationship Id="rId883" Type="http://schemas.openxmlformats.org/officeDocument/2006/relationships/image" Target="media/image825.png"/><Relationship Id="rId884" Type="http://schemas.openxmlformats.org/officeDocument/2006/relationships/image" Target="media/image826.png"/><Relationship Id="rId885" Type="http://schemas.openxmlformats.org/officeDocument/2006/relationships/image" Target="media/image827.png"/><Relationship Id="rId886" Type="http://schemas.openxmlformats.org/officeDocument/2006/relationships/image" Target="media/image828.png"/><Relationship Id="rId887" Type="http://schemas.openxmlformats.org/officeDocument/2006/relationships/image" Target="media/image829.png"/><Relationship Id="rId888" Type="http://schemas.openxmlformats.org/officeDocument/2006/relationships/image" Target="media/image830.png"/><Relationship Id="rId889" Type="http://schemas.openxmlformats.org/officeDocument/2006/relationships/image" Target="media/image831.png"/><Relationship Id="rId890" Type="http://schemas.openxmlformats.org/officeDocument/2006/relationships/image" Target="media/image832.png"/><Relationship Id="rId891" Type="http://schemas.openxmlformats.org/officeDocument/2006/relationships/image" Target="media/image833.png"/><Relationship Id="rId892" Type="http://schemas.openxmlformats.org/officeDocument/2006/relationships/image" Target="media/image834.png"/><Relationship Id="rId893" Type="http://schemas.openxmlformats.org/officeDocument/2006/relationships/image" Target="media/image835.png"/><Relationship Id="rId894" Type="http://schemas.openxmlformats.org/officeDocument/2006/relationships/image" Target="media/image836.png"/><Relationship Id="rId895" Type="http://schemas.openxmlformats.org/officeDocument/2006/relationships/image" Target="media/image837.png"/><Relationship Id="rId896" Type="http://schemas.openxmlformats.org/officeDocument/2006/relationships/image" Target="media/image838.png"/><Relationship Id="rId897" Type="http://schemas.openxmlformats.org/officeDocument/2006/relationships/image" Target="media/image839.png"/><Relationship Id="rId898" Type="http://schemas.openxmlformats.org/officeDocument/2006/relationships/image" Target="media/image840.png"/><Relationship Id="rId899" Type="http://schemas.openxmlformats.org/officeDocument/2006/relationships/image" Target="media/image841.png"/><Relationship Id="rId900" Type="http://schemas.openxmlformats.org/officeDocument/2006/relationships/image" Target="media/image842.png"/><Relationship Id="rId901" Type="http://schemas.openxmlformats.org/officeDocument/2006/relationships/image" Target="media/image843.png"/><Relationship Id="rId902" Type="http://schemas.openxmlformats.org/officeDocument/2006/relationships/image" Target="media/image844.png"/><Relationship Id="rId903" Type="http://schemas.openxmlformats.org/officeDocument/2006/relationships/image" Target="media/image845.png"/><Relationship Id="rId904" Type="http://schemas.openxmlformats.org/officeDocument/2006/relationships/image" Target="media/image846.png"/><Relationship Id="rId905" Type="http://schemas.openxmlformats.org/officeDocument/2006/relationships/image" Target="media/image847.png"/><Relationship Id="rId906" Type="http://schemas.openxmlformats.org/officeDocument/2006/relationships/image" Target="media/image848.png"/><Relationship Id="rId907" Type="http://schemas.openxmlformats.org/officeDocument/2006/relationships/image" Target="media/image849.png"/><Relationship Id="rId908" Type="http://schemas.openxmlformats.org/officeDocument/2006/relationships/image" Target="media/image850.png"/><Relationship Id="rId909" Type="http://schemas.openxmlformats.org/officeDocument/2006/relationships/image" Target="media/image851.png"/><Relationship Id="rId910" Type="http://schemas.openxmlformats.org/officeDocument/2006/relationships/image" Target="media/image852.png"/><Relationship Id="rId911" Type="http://schemas.openxmlformats.org/officeDocument/2006/relationships/image" Target="media/image853.png"/><Relationship Id="rId912" Type="http://schemas.openxmlformats.org/officeDocument/2006/relationships/image" Target="media/image854.png"/><Relationship Id="rId913" Type="http://schemas.openxmlformats.org/officeDocument/2006/relationships/image" Target="media/image855.png"/><Relationship Id="rId914" Type="http://schemas.openxmlformats.org/officeDocument/2006/relationships/image" Target="media/image856.png"/><Relationship Id="rId915" Type="http://schemas.openxmlformats.org/officeDocument/2006/relationships/image" Target="media/image857.png"/><Relationship Id="rId916" Type="http://schemas.openxmlformats.org/officeDocument/2006/relationships/image" Target="media/image858.png"/><Relationship Id="rId917" Type="http://schemas.openxmlformats.org/officeDocument/2006/relationships/image" Target="media/image859.png"/><Relationship Id="rId918" Type="http://schemas.openxmlformats.org/officeDocument/2006/relationships/image" Target="media/image860.png"/><Relationship Id="rId919" Type="http://schemas.openxmlformats.org/officeDocument/2006/relationships/image" Target="media/image861.png"/><Relationship Id="rId920" Type="http://schemas.openxmlformats.org/officeDocument/2006/relationships/image" Target="media/image862.png"/><Relationship Id="rId921" Type="http://schemas.openxmlformats.org/officeDocument/2006/relationships/image" Target="media/image863.png"/><Relationship Id="rId922" Type="http://schemas.openxmlformats.org/officeDocument/2006/relationships/image" Target="media/image864.png"/><Relationship Id="rId923" Type="http://schemas.openxmlformats.org/officeDocument/2006/relationships/image" Target="media/image865.png"/><Relationship Id="rId924" Type="http://schemas.openxmlformats.org/officeDocument/2006/relationships/image" Target="media/image866.png"/><Relationship Id="rId925" Type="http://schemas.openxmlformats.org/officeDocument/2006/relationships/image" Target="media/image867.png"/><Relationship Id="rId926" Type="http://schemas.openxmlformats.org/officeDocument/2006/relationships/image" Target="media/image868.png"/><Relationship Id="rId927" Type="http://schemas.openxmlformats.org/officeDocument/2006/relationships/image" Target="media/image869.png"/><Relationship Id="rId928" Type="http://schemas.openxmlformats.org/officeDocument/2006/relationships/image" Target="media/image870.jpeg"/><Relationship Id="rId929" Type="http://schemas.openxmlformats.org/officeDocument/2006/relationships/image" Target="media/image871.jpeg"/><Relationship Id="rId930" Type="http://schemas.openxmlformats.org/officeDocument/2006/relationships/image" Target="media/image872.png"/><Relationship Id="rId931" Type="http://schemas.openxmlformats.org/officeDocument/2006/relationships/image" Target="media/image873.jpeg"/><Relationship Id="rId932" Type="http://schemas.openxmlformats.org/officeDocument/2006/relationships/image" Target="media/image874.png"/><Relationship Id="rId933" Type="http://schemas.openxmlformats.org/officeDocument/2006/relationships/image" Target="media/image875.jpeg"/><Relationship Id="rId934" Type="http://schemas.openxmlformats.org/officeDocument/2006/relationships/image" Target="media/image876.png"/><Relationship Id="rId935" Type="http://schemas.openxmlformats.org/officeDocument/2006/relationships/image" Target="media/image877.png"/><Relationship Id="rId936" Type="http://schemas.openxmlformats.org/officeDocument/2006/relationships/image" Target="media/image878.jpeg"/><Relationship Id="rId937" Type="http://schemas.openxmlformats.org/officeDocument/2006/relationships/image" Target="media/image879.jpeg"/><Relationship Id="rId938" Type="http://schemas.openxmlformats.org/officeDocument/2006/relationships/image" Target="media/image880.png"/><Relationship Id="rId939" Type="http://schemas.openxmlformats.org/officeDocument/2006/relationships/image" Target="media/image881.jpeg"/><Relationship Id="rId940" Type="http://schemas.openxmlformats.org/officeDocument/2006/relationships/image" Target="media/image882.png"/><Relationship Id="rId941" Type="http://schemas.openxmlformats.org/officeDocument/2006/relationships/image" Target="media/image883.jpeg"/><Relationship Id="rId942" Type="http://schemas.openxmlformats.org/officeDocument/2006/relationships/image" Target="media/image884.png"/><Relationship Id="rId943" Type="http://schemas.openxmlformats.org/officeDocument/2006/relationships/image" Target="media/image885.jpeg"/><Relationship Id="rId944" Type="http://schemas.openxmlformats.org/officeDocument/2006/relationships/image" Target="media/image886.png"/><Relationship Id="rId945" Type="http://schemas.openxmlformats.org/officeDocument/2006/relationships/image" Target="media/image887.jpeg"/><Relationship Id="rId946" Type="http://schemas.openxmlformats.org/officeDocument/2006/relationships/image" Target="media/image888.jpeg"/><Relationship Id="rId947" Type="http://schemas.openxmlformats.org/officeDocument/2006/relationships/image" Target="media/image889.jpeg"/><Relationship Id="rId948" Type="http://schemas.openxmlformats.org/officeDocument/2006/relationships/image" Target="media/image890.jpeg"/><Relationship Id="rId949" Type="http://schemas.openxmlformats.org/officeDocument/2006/relationships/image" Target="media/image891.jpeg"/><Relationship Id="rId950" Type="http://schemas.openxmlformats.org/officeDocument/2006/relationships/image" Target="media/image892.png"/><Relationship Id="rId951" Type="http://schemas.openxmlformats.org/officeDocument/2006/relationships/image" Target="media/image893.jpeg"/><Relationship Id="rId952" Type="http://schemas.openxmlformats.org/officeDocument/2006/relationships/image" Target="media/image894.jpeg"/><Relationship Id="rId953" Type="http://schemas.openxmlformats.org/officeDocument/2006/relationships/image" Target="media/image895.jpeg"/><Relationship Id="rId954" Type="http://schemas.openxmlformats.org/officeDocument/2006/relationships/image" Target="media/image896.png"/><Relationship Id="rId955" Type="http://schemas.openxmlformats.org/officeDocument/2006/relationships/image" Target="media/image897.jpeg"/><Relationship Id="rId956" Type="http://schemas.openxmlformats.org/officeDocument/2006/relationships/image" Target="media/image898.jpeg"/><Relationship Id="rId957" Type="http://schemas.openxmlformats.org/officeDocument/2006/relationships/image" Target="media/image899.jpeg"/><Relationship Id="rId958" Type="http://schemas.openxmlformats.org/officeDocument/2006/relationships/image" Target="media/image900.png"/><Relationship Id="rId959" Type="http://schemas.openxmlformats.org/officeDocument/2006/relationships/image" Target="media/image901.jpeg"/><Relationship Id="rId960" Type="http://schemas.openxmlformats.org/officeDocument/2006/relationships/image" Target="media/image902.jpeg"/><Relationship Id="rId961" Type="http://schemas.openxmlformats.org/officeDocument/2006/relationships/image" Target="media/image903.png"/><Relationship Id="rId962" Type="http://schemas.openxmlformats.org/officeDocument/2006/relationships/image" Target="media/image904.png"/><Relationship Id="rId963" Type="http://schemas.openxmlformats.org/officeDocument/2006/relationships/image" Target="media/image905.png"/><Relationship Id="rId964" Type="http://schemas.openxmlformats.org/officeDocument/2006/relationships/image" Target="media/image906.png"/><Relationship Id="rId965" Type="http://schemas.openxmlformats.org/officeDocument/2006/relationships/image" Target="media/image907.jpeg"/><Relationship Id="rId966" Type="http://schemas.openxmlformats.org/officeDocument/2006/relationships/image" Target="media/image908.jpeg"/><Relationship Id="rId967" Type="http://schemas.openxmlformats.org/officeDocument/2006/relationships/image" Target="media/image909.png"/><Relationship Id="rId968" Type="http://schemas.openxmlformats.org/officeDocument/2006/relationships/image" Target="media/image910.jpeg"/><Relationship Id="rId969" Type="http://schemas.openxmlformats.org/officeDocument/2006/relationships/image" Target="media/image911.png"/><Relationship Id="rId970" Type="http://schemas.openxmlformats.org/officeDocument/2006/relationships/image" Target="media/image912.png"/><Relationship Id="rId971" Type="http://schemas.openxmlformats.org/officeDocument/2006/relationships/image" Target="media/image913.png"/><Relationship Id="rId972" Type="http://schemas.openxmlformats.org/officeDocument/2006/relationships/image" Target="media/image914.png"/><Relationship Id="rId973" Type="http://schemas.openxmlformats.org/officeDocument/2006/relationships/image" Target="media/image915.png"/><Relationship Id="rId974" Type="http://schemas.openxmlformats.org/officeDocument/2006/relationships/image" Target="media/image916.png"/><Relationship Id="rId975" Type="http://schemas.openxmlformats.org/officeDocument/2006/relationships/image" Target="media/image917.png"/><Relationship Id="rId976" Type="http://schemas.openxmlformats.org/officeDocument/2006/relationships/image" Target="media/image918.png"/><Relationship Id="rId977" Type="http://schemas.openxmlformats.org/officeDocument/2006/relationships/image" Target="media/image919.png"/><Relationship Id="rId978" Type="http://schemas.openxmlformats.org/officeDocument/2006/relationships/image" Target="media/image920.png"/><Relationship Id="rId979" Type="http://schemas.openxmlformats.org/officeDocument/2006/relationships/image" Target="media/image921.png"/><Relationship Id="rId980" Type="http://schemas.openxmlformats.org/officeDocument/2006/relationships/image" Target="media/image922.png"/><Relationship Id="rId981" Type="http://schemas.openxmlformats.org/officeDocument/2006/relationships/image" Target="media/image923.png"/><Relationship Id="rId982" Type="http://schemas.openxmlformats.org/officeDocument/2006/relationships/image" Target="media/image924.png"/><Relationship Id="rId983" Type="http://schemas.openxmlformats.org/officeDocument/2006/relationships/image" Target="media/image925.png"/><Relationship Id="rId984" Type="http://schemas.openxmlformats.org/officeDocument/2006/relationships/image" Target="media/image926.png"/><Relationship Id="rId985" Type="http://schemas.openxmlformats.org/officeDocument/2006/relationships/image" Target="media/image927.png"/><Relationship Id="rId986" Type="http://schemas.openxmlformats.org/officeDocument/2006/relationships/image" Target="media/image928.png"/><Relationship Id="rId987" Type="http://schemas.openxmlformats.org/officeDocument/2006/relationships/image" Target="media/image929.png"/><Relationship Id="rId988" Type="http://schemas.openxmlformats.org/officeDocument/2006/relationships/image" Target="media/image930.png"/><Relationship Id="rId989" Type="http://schemas.openxmlformats.org/officeDocument/2006/relationships/image" Target="media/image931.png"/><Relationship Id="rId990" Type="http://schemas.openxmlformats.org/officeDocument/2006/relationships/image" Target="media/image932.png"/><Relationship Id="rId991" Type="http://schemas.openxmlformats.org/officeDocument/2006/relationships/image" Target="media/image933.png"/><Relationship Id="rId992" Type="http://schemas.openxmlformats.org/officeDocument/2006/relationships/image" Target="media/image934.png"/><Relationship Id="rId993" Type="http://schemas.openxmlformats.org/officeDocument/2006/relationships/image" Target="media/image935.png"/><Relationship Id="rId994" Type="http://schemas.openxmlformats.org/officeDocument/2006/relationships/image" Target="media/image936.png"/><Relationship Id="rId995" Type="http://schemas.openxmlformats.org/officeDocument/2006/relationships/image" Target="media/image937.png"/><Relationship Id="rId996" Type="http://schemas.openxmlformats.org/officeDocument/2006/relationships/image" Target="media/image938.png"/><Relationship Id="rId997" Type="http://schemas.openxmlformats.org/officeDocument/2006/relationships/image" Target="media/image939.png"/><Relationship Id="rId998" Type="http://schemas.openxmlformats.org/officeDocument/2006/relationships/image" Target="media/image940.png"/><Relationship Id="rId999" Type="http://schemas.openxmlformats.org/officeDocument/2006/relationships/image" Target="media/image941.png"/><Relationship Id="rId1000" Type="http://schemas.openxmlformats.org/officeDocument/2006/relationships/image" Target="media/image942.png"/><Relationship Id="rId1001" Type="http://schemas.openxmlformats.org/officeDocument/2006/relationships/image" Target="media/image943.png"/><Relationship Id="rId1002" Type="http://schemas.openxmlformats.org/officeDocument/2006/relationships/image" Target="media/image944.png"/><Relationship Id="rId1003" Type="http://schemas.openxmlformats.org/officeDocument/2006/relationships/image" Target="media/image945.jpeg"/><Relationship Id="rId1004" Type="http://schemas.openxmlformats.org/officeDocument/2006/relationships/image" Target="media/image946.png"/><Relationship Id="rId1005" Type="http://schemas.openxmlformats.org/officeDocument/2006/relationships/image" Target="media/image947.png"/><Relationship Id="rId1006" Type="http://schemas.openxmlformats.org/officeDocument/2006/relationships/image" Target="media/image948.png"/><Relationship Id="rId1007" Type="http://schemas.openxmlformats.org/officeDocument/2006/relationships/image" Target="media/image949.png"/><Relationship Id="rId1008" Type="http://schemas.openxmlformats.org/officeDocument/2006/relationships/image" Target="media/image950.png"/><Relationship Id="rId1009" Type="http://schemas.openxmlformats.org/officeDocument/2006/relationships/image" Target="media/image951.png"/><Relationship Id="rId798" Type="http://schemas.openxmlformats.org/officeDocument/2006/relationships/hyperlink" Target="http://www.sec.gov/Archives/edgar/data/1809122/000110465920091817/tm2016252d8_ex3-1.htm" TargetMode="External"/><Relationship Id="rId799" Type="http://schemas.openxmlformats.org/officeDocument/2006/relationships/hyperlink" Target="http://www.sec.gov/Archives/edgar/data/1809122/000110465920089179/tm2016252d8_ex3-2.htm" TargetMode="External"/><Relationship Id="rId800" Type="http://schemas.openxmlformats.org/officeDocument/2006/relationships/hyperlink" Target="http://www.sec.gov/Archives/edgar/data/1809122/000110465920089179/tm2016252d8_ex3-3.htm" TargetMode="External"/><Relationship Id="rId801" Type="http://schemas.openxmlformats.org/officeDocument/2006/relationships/hyperlink" Target="http://www.sec.gov/Archives/edgar/data/1809122/000110465920089179/tm2016252d8_ex3-5.htm" TargetMode="External"/><Relationship Id="rId802" Type="http://schemas.openxmlformats.org/officeDocument/2006/relationships/hyperlink" Target="http://www.sec.gov/Archives/edgar/data/1809122/000110465920086354/tm2016252d12_ex3-6.htm" TargetMode="External"/><Relationship Id="rId803" Type="http://schemas.openxmlformats.org/officeDocument/2006/relationships/hyperlink" Target="http://www.sec.gov/Archives/edgar/data/1809122/000110465920086354/tm2016252d12_ex3-7.htm" TargetMode="External"/><Relationship Id="rId804" Type="http://schemas.openxmlformats.org/officeDocument/2006/relationships/hyperlink" Target="http://www.sec.gov/Archives/edgar/data/1809122/000110465920091817/tm2016252d17_ex4-1.htm" TargetMode="External"/><Relationship Id="rId805" Type="http://schemas.openxmlformats.org/officeDocument/2006/relationships/hyperlink" Target="http://www.sec.gov/Archives/edgar/data/1809122/000110465920089179/tm2016252d8_ex10-1.htm" TargetMode="External"/><Relationship Id="rId807" Type="http://schemas.openxmlformats.org/officeDocument/2006/relationships/hyperlink" Target="http://www.sec.gov/Archives/edgar/data/1809122/000110465920089179/tm2016252d8_ex10-2.htm" TargetMode="External"/><Relationship Id="rId808" Type="http://schemas.openxmlformats.org/officeDocument/2006/relationships/hyperlink" Target="http://www.sec.gov/Archives/edgar/data/1809122/000110465920089179/tm2016252d8_ex10-3.htm" TargetMode="External"/><Relationship Id="rId809" Type="http://schemas.openxmlformats.org/officeDocument/2006/relationships/hyperlink" Target="http://www.sec.gov/Archives/edgar/data/1809122/000110465920086354/tm2016252d12_ex10-4.htm" TargetMode="External"/><Relationship Id="rId810" Type="http://schemas.openxmlformats.org/officeDocument/2006/relationships/hyperlink" Target="http://www.sec.gov/Archives/edgar/data/1809122/000110465920086354/tm2016252d12_ex10-5.htm" TargetMode="External"/><Relationship Id="rId811" Type="http://schemas.openxmlformats.org/officeDocument/2006/relationships/hyperlink" Target="http://www.sec.gov/Archives/edgar/data/1809122/000110465920086354/tm2016252d12_ex10-6.htm" TargetMode="External"/><Relationship Id="rId812" Type="http://schemas.openxmlformats.org/officeDocument/2006/relationships/hyperlink" Target="http://www.sec.gov/Archives/edgar/data/1809122/000110465920089179/tm2016252d8_ex10-7.htm" TargetMode="External"/><Relationship Id="rId813" Type="http://schemas.openxmlformats.org/officeDocument/2006/relationships/hyperlink" Target="http://www.sec.gov/Archives/edgar/data/1809122/000110465920086354/tm2016252d12_ex10-8.htm" TargetMode="External"/><Relationship Id="rId814" Type="http://schemas.openxmlformats.org/officeDocument/2006/relationships/hyperlink" Target="http://www.sec.gov/Archives/edgar/data/1809122/000110465920086354/tm2016252d12_ex10-9.htm" TargetMode="External"/><Relationship Id="rId815" Type="http://schemas.openxmlformats.org/officeDocument/2006/relationships/hyperlink" Target="http://www.sec.gov/Archives/edgar/data/1809122/000110465920086354/tm2016252d12_ex10-10.htm" TargetMode="External"/><Relationship Id="rId816" Type="http://schemas.openxmlformats.org/officeDocument/2006/relationships/hyperlink" Target="http://www.sec.gov/Archives/edgar/data/1809122/000110465920086354/tm2016252d12_ex10-11.htm" TargetMode="External"/><Relationship Id="rId817" Type="http://schemas.openxmlformats.org/officeDocument/2006/relationships/hyperlink" Target="http://www.sec.gov/Archives/edgar/data/1809122/000110465920089179/tm2016252d8_ex10-12.htm" TargetMode="External"/><Relationship Id="rId818" Type="http://schemas.openxmlformats.org/officeDocument/2006/relationships/hyperlink" Target="http://www.sec.gov/Archives/edgar/data/1809122/000110465920086354/tm2016252d12_ex10-13.htm" TargetMode="External"/><Relationship Id="rId819" Type="http://schemas.openxmlformats.org/officeDocument/2006/relationships/hyperlink" Target="http://www.sec.gov/Archives/edgar/data/1809122/000110465920086354/tm2016252d12_ex10-14.htm" TargetMode="External"/><Relationship Id="rId820" Type="http://schemas.openxmlformats.org/officeDocument/2006/relationships/hyperlink" Target="http://www.sec.gov/Archives/edgar/data/1809122/000110465920086354/tm2016252d12_ex10-15.htm" TargetMode="External"/><Relationship Id="rId821" Type="http://schemas.openxmlformats.org/officeDocument/2006/relationships/hyperlink" Target="http://www.sec.gov/Archives/edgar/data/1809122/000110465920086354/tm2016252d12_ex10-16.htm" TargetMode="External"/><Relationship Id="rId823" Type="http://schemas.openxmlformats.org/officeDocument/2006/relationships/hyperlink" Target="http://www.sec.gov/Archives/edgar/data/1809122/000110465920086354/tm2016252d12_ex10-17.htm" TargetMode="External"/><Relationship Id="rId824" Type="http://schemas.openxmlformats.org/officeDocument/2006/relationships/hyperlink" Target="http://www.sec.gov/Archives/edgar/data/1809122/000110465920086354/tm2016252d12_ex10-18.htm" TargetMode="External"/><Relationship Id="rId825" Type="http://schemas.openxmlformats.org/officeDocument/2006/relationships/hyperlink" Target="http://www.sec.gov/Archives/edgar/data/1809122/000110465920086354/tm2016252d12_ex10-19.htm" TargetMode="External"/><Relationship Id="rId826" Type="http://schemas.openxmlformats.org/officeDocument/2006/relationships/hyperlink" Target="http://www.sec.gov/Archives/edgar/data/1809122/000110465920086354/tm2016252d12_ex10-20.htm" TargetMode="External"/><Relationship Id="rId827" Type="http://schemas.openxmlformats.org/officeDocument/2006/relationships/hyperlink" Target="http://www.sec.gov/Archives/edgar/data/1809122/000110465920086354/tm2016252d12_ex10-21.htm" TargetMode="External"/><Relationship Id="rId828" Type="http://schemas.openxmlformats.org/officeDocument/2006/relationships/hyperlink" Target="http://www.sec.gov/Archives/edgar/data/1809122/000110465920086354/tm2016252d12_ex10-22.htm" TargetMode="External"/><Relationship Id="rId829" Type="http://schemas.openxmlformats.org/officeDocument/2006/relationships/hyperlink" Target="http://www.sec.gov/Archives/edgar/data/1809122/000110465920086354/tm2016252d12_ex10-23.htm" TargetMode="External"/><Relationship Id="rId830" Type="http://schemas.openxmlformats.org/officeDocument/2006/relationships/hyperlink" Target="http://www.sec.gov/Archives/edgar/data/1809122/000110465920086354/tm2016252d12_ex10-24.htm" TargetMode="External"/><Relationship Id="rId831" Type="http://schemas.openxmlformats.org/officeDocument/2006/relationships/hyperlink" Target="http://www.sec.gov/Archives/edgar/data/1809122/000110465920086354/tm2016252d12_ex10-25.htm" TargetMode="External"/><Relationship Id="rId832" Type="http://schemas.openxmlformats.org/officeDocument/2006/relationships/hyperlink" Target="http://www.sec.gov/Archives/edgar/data/1809122/000110465920086354/tm2016252d12_ex10-26.htm" TargetMode="External"/><Relationship Id="rId833" Type="http://schemas.openxmlformats.org/officeDocument/2006/relationships/hyperlink" Target="http://www.sec.gov/Archives/edgar/data/1809122/000110465920086354/tm2016252d12_ex10-27.htm" TargetMode="External"/><Relationship Id="rId834" Type="http://schemas.openxmlformats.org/officeDocument/2006/relationships/hyperlink" Target="http://www.sec.gov/Archives/edgar/data/1809122/000110465920086354/tm2016252d12_ex10-28.htm" TargetMode="External"/><Relationship Id="rId835" Type="http://schemas.openxmlformats.org/officeDocument/2006/relationships/hyperlink" Target="http://www.sec.gov/Archives/edgar/data/1809122/000110465920086354/tm2016252d12_ex10-29.htm" TargetMode="External"/><Relationship Id="rId836" Type="http://schemas.openxmlformats.org/officeDocument/2006/relationships/hyperlink" Target="http://www.sec.gov/Archives/edgar/data/1809122/000110465920086354/tm2016252d12_ex10-30.htm" TargetMode="External"/><Relationship Id="rId837" Type="http://schemas.openxmlformats.org/officeDocument/2006/relationships/hyperlink" Target="http://www.sec.gov/Archives/edgar/data/1809122/000110465920086354/tm2016252d12_ex10-31.htm" TargetMode="External"/><Relationship Id="rId838" Type="http://schemas.openxmlformats.org/officeDocument/2006/relationships/hyperlink" Target="http://www.sec.gov/Archives/edgar/data/1809122/000110465920086354/tm2016252d12_ex10-32.htm" TargetMode="External"/><Relationship Id="rId840" Type="http://schemas.openxmlformats.org/officeDocument/2006/relationships/hyperlink" Target="http://www.sec.gov/Archives/edgar/data/1809122/000110465920086354/tm2016252d12_ex10-33.htm" TargetMode="External"/><Relationship Id="rId841" Type="http://schemas.openxmlformats.org/officeDocument/2006/relationships/hyperlink" Target="http://www.sec.gov/Archives/edgar/data/1809122/000110465920086354/tm2016252d12_ex10-34.htm" TargetMode="External"/><Relationship Id="rId842" Type="http://schemas.openxmlformats.org/officeDocument/2006/relationships/hyperlink" Target="http://www.sec.gov/Archives/edgar/data/1809122/000110465920089179/tm2016252d13_ex10-35.htm" TargetMode="External"/><Relationship Id="rId843" Type="http://schemas.openxmlformats.org/officeDocument/2006/relationships/hyperlink" Target="http://www.sec.gov/Archives/edgar/data/1809122/000110465920089179/tm2016252d13_ex10-36.htm" TargetMode="External"/><Relationship Id="rId844" Type="http://schemas.openxmlformats.org/officeDocument/2006/relationships/hyperlink" Target="http://www.sec.gov/Archives/edgar/data/1809122/000110465920089179/tm2016252d13_ex10-37.htm" TargetMode="External"/><Relationship Id="rId845" Type="http://schemas.openxmlformats.org/officeDocument/2006/relationships/hyperlink" Target="http://www.sec.gov/Archives/edgar/data/1809122/000110465920091817/tm2016252d17_ex10-38.htm" TargetMode="External"/><Relationship Id="rId846" Type="http://schemas.openxmlformats.org/officeDocument/2006/relationships/hyperlink" Target="http://www.sec.gov/Archives/edgar/data/1809122/000110465920091817/tm2016252d17_ex10-39.htm" TargetMode="External"/><Relationship Id="rId847" Type="http://schemas.openxmlformats.org/officeDocument/2006/relationships/hyperlink" Target="http://www.sec.gov/Archives/edgar/data/1809122/000110465920091817/tm2016252d17_ex10-40.htm" TargetMode="External"/><Relationship Id="rId848" Type="http://schemas.openxmlformats.org/officeDocument/2006/relationships/hyperlink" Target="https://www.sec.gov/Archives/edgar/data/1809122/000110465920092289/tm2016252d19_ex10-41.htm" TargetMode="External"/><Relationship Id="rId849" Type="http://schemas.openxmlformats.org/officeDocument/2006/relationships/hyperlink" Target="https://www.sec.gov/Archives/edgar/data/1809122/000110465921004956/tm213031d1_ex99-1.htm" TargetMode="External"/><Relationship Id="rId850" Type="http://schemas.openxmlformats.org/officeDocument/2006/relationships/hyperlink" Target="http://www.sec.gov/Archives/edgar/data/1809122/000110465920086354/tm2016252d12_ex21-1.htm" TargetMode="External"/><Relationship Id="rId852" Type="http://schemas.openxmlformats.org/officeDocument/2006/relationships/hyperlink" Target="http://www.sec.gov/Archives/edgar/data/1809122/000110465920086354/tm2016252-11_f1.htm#tPO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2021-01-25T15:23:38Z</dcterms:created>
  <dcterms:modified xsi:type="dcterms:W3CDTF">2021-01-25T15:23:38Z</dcterms:modified>
</cp:coreProperties>
</file>