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SCHEDULE 14D-9</w:t>
      </w:r>
    </w:p>
    <w:p>
      <w:pPr>
        <w:spacing w:after="0" w:line="225"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(Amendment No. 7)</w:t>
      </w:r>
    </w:p>
    <w:p>
      <w:pPr>
        <w:spacing w:after="0" w:line="225" w:lineRule="exact"/>
        <w:rPr>
          <w:sz w:val="24"/>
          <w:szCs w:val="24"/>
          <w:color w:val="auto"/>
        </w:rPr>
      </w:pPr>
    </w:p>
    <w:p>
      <w:pPr>
        <w:ind w:left="4972"/>
        <w:spacing w:after="0"/>
        <w:rPr>
          <w:sz w:val="20"/>
          <w:szCs w:val="20"/>
          <w:color w:val="auto"/>
        </w:rPr>
      </w:pPr>
      <w:r>
        <w:rPr>
          <w:rFonts w:ascii="Times New Roman" w:cs="Times New Roman" w:eastAsia="Times New Roman" w:hAnsi="Times New Roman"/>
          <w:sz w:val="18"/>
          <w:szCs w:val="18"/>
          <w:b w:val="1"/>
          <w:bCs w:val="1"/>
          <w:color w:val="auto"/>
        </w:rPr>
        <w:t>(RULE 14d-101)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CureVac N.V.</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94"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25"/>
          <w:szCs w:val="25"/>
          <w:b w:val="1"/>
          <w:bCs w:val="1"/>
          <w:color w:val="auto"/>
        </w:rPr>
        <w:t>CureVac N.V.</w:t>
      </w:r>
    </w:p>
    <w:p>
      <w:pPr>
        <w:spacing w:after="0" w:line="40"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(Name of Person Filing Statement)</w:t>
      </w:r>
    </w:p>
    <w:p>
      <w:pPr>
        <w:spacing w:after="0" w:line="20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Ordinary shares, par value €0.12 per share</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N2451R105</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Marco Rau</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Executive Vice President Legal &amp; Compliance / General Counsel</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Friedrich-Miescher-Strasse 15, 72076</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Tübingen, Germany</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+49 7071 9883 0</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the person filing statement)</w:t>
      </w:r>
    </w:p>
    <w:p>
      <w:pPr>
        <w:spacing w:after="0" w:line="214" w:lineRule="exact"/>
        <w:rPr>
          <w:sz w:val="24"/>
          <w:szCs w:val="24"/>
          <w:color w:val="auto"/>
        </w:rPr>
      </w:pPr>
    </w:p>
    <w:p>
      <w:pPr>
        <w:ind w:left="5072"/>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Howard Ellin</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June Dipchand</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Stephan Hutter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Holger Hofmeister</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One Manhattan West</w:t>
      </w:r>
    </w:p>
    <w:p>
      <w:pPr>
        <w:spacing w:after="0" w:line="9" w:lineRule="exact"/>
        <w:rPr>
          <w:sz w:val="24"/>
          <w:szCs w:val="24"/>
          <w:color w:val="auto"/>
        </w:rPr>
      </w:pPr>
    </w:p>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New York, NY 10001-8602</w:t>
      </w:r>
    </w:p>
    <w:p>
      <w:pPr>
        <w:spacing w:after="0" w:line="9" w:lineRule="exact"/>
        <w:rPr>
          <w:sz w:val="24"/>
          <w:szCs w:val="24"/>
          <w:color w:val="auto"/>
        </w:rPr>
      </w:pPr>
    </w:p>
    <w:p>
      <w:pPr>
        <w:ind w:left="5492" w:hanging="438"/>
        <w:spacing w:after="0"/>
        <w:tabs>
          <w:tab w:leader="none" w:pos="549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735-3000</w:t>
      </w:r>
    </w:p>
    <w:p>
      <w:pPr>
        <w:spacing w:after="0" w:line="206" w:lineRule="exact"/>
        <w:rPr>
          <w:rFonts w:ascii="Times New Roman" w:cs="Times New Roman" w:eastAsia="Times New Roman" w:hAnsi="Times New Roman"/>
          <w:sz w:val="18"/>
          <w:szCs w:val="18"/>
          <w:b w:val="1"/>
          <w:bCs w:val="1"/>
          <w:color w:val="auto"/>
        </w:rPr>
      </w:pPr>
    </w:p>
    <w:p>
      <w:pPr>
        <w:ind w:left="372" w:hanging="372"/>
        <w:spacing w:after="0"/>
        <w:tabs>
          <w:tab w:leader="none" w:pos="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626110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52"/>
          </w:cols>
          <w:pgMar w:left="328" w:top="752" w:right="919" w:bottom="1440" w:gutter="0" w:footer="0" w:header="0"/>
        </w:sectPr>
      </w:pPr>
    </w:p>
    <w:bookmarkStart w:id="1" w:name="page2"/>
    <w:bookmarkEnd w:id="1"/>
    <w:p>
      <w:pPr>
        <w:ind w:firstLine="243"/>
        <w:spacing w:after="0" w:line="253" w:lineRule="auto"/>
        <w:rPr>
          <w:sz w:val="20"/>
          <w:szCs w:val="20"/>
          <w:color w:val="auto"/>
        </w:rPr>
      </w:pPr>
      <w:r>
        <w:rPr>
          <w:rFonts w:ascii="Times New Roman" w:cs="Times New Roman" w:eastAsia="Times New Roman" w:hAnsi="Times New Roman"/>
          <w:sz w:val="18"/>
          <w:szCs w:val="18"/>
          <w:color w:val="auto"/>
        </w:rPr>
        <w:t>This Amendment No. 7 (this “Amendment”) to Schedule 14D-9 amends and supplements the Schedule 14D-9 previously filed by CureVac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organized under the laws of the Netherlands having its registered office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in Amsterdam, the Netherlands, registered with the Dutch trade register under number 77798031 (the “Company” or “CureVac”) on October 21, 2025 with the U.S. Securities and Exchange Commission (the “SEC”) (as amended or supplemented from time to time, the “Schedule 14D-9”), with respect to the exchange offer (the “Offer”) by BioNTech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organized under the laws of Germany and the European Union, registered with the commercial register at the district court of Mainz under HRB 48720 (“Buyer” or “BioNTech”), and the Tender Offer Statement on Schedule TO, filed by Buyer with the SEC on October 21, 2025 (together with the exhibits thereto, as may be amended from time to time, the “Schedule TO”), pursuant to which Buyer offered to exchange each ordinary share, par value €0.12 per share, of the Company validly tendered and not properly withdrawn pursuant to the Offer for the right to receive (such consideration, the “Offer Consideration”) a number of American Depositary Shares of BioNTech (“BioNTech ADSs”), each representing one BioNTech ordinary share. Capitalized terms used in this Amendment but not defined herein shall have the respective meaning given to such terms in the Schedule 14D-9.</w:t>
      </w:r>
    </w:p>
    <w:p>
      <w:pPr>
        <w:spacing w:after="0" w:line="192" w:lineRule="exact"/>
        <w:rPr>
          <w:sz w:val="20"/>
          <w:szCs w:val="20"/>
          <w:color w:val="auto"/>
        </w:rPr>
      </w:pPr>
    </w:p>
    <w:p>
      <w:pPr>
        <w:ind w:right="360" w:firstLine="243"/>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Schedule 14D-9 remains unchanged and is incorporated herein by reference, except that such information is hereby amended or supplemented to the extent specifically provided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Item 8 of the Schedule 14D-9 is hereby amended and supplemented as follows:</w:t>
      </w:r>
    </w:p>
    <w:p>
      <w:pPr>
        <w:spacing w:after="0" w:line="229" w:lineRule="exact"/>
        <w:rPr>
          <w:sz w:val="20"/>
          <w:szCs w:val="20"/>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removing the strikethrough text and adding the bolded and underlined text to the heading of Item 8(e):</w:t>
      </w:r>
    </w:p>
    <w:p>
      <w:pPr>
        <w:spacing w:after="0" w:line="221" w:lineRule="exact"/>
        <w:rPr>
          <w:rFonts w:ascii="Times New Roman" w:cs="Times New Roman" w:eastAsia="Times New Roman" w:hAnsi="Times New Roman"/>
          <w:sz w:val="18"/>
          <w:szCs w:val="18"/>
          <w:color w:val="auto"/>
        </w:rPr>
      </w:pPr>
    </w:p>
    <w:p>
      <w:pPr>
        <w:ind w:left="900"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Minimum Condition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and Commencement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Expiration</w:t>
      </w:r>
      <w:r>
        <w:rPr>
          <w:rFonts w:ascii="Times New Roman" w:cs="Times New Roman" w:eastAsia="Times New Roman" w:hAnsi="Times New Roman"/>
          <w:sz w:val="18"/>
          <w:szCs w:val="18"/>
          <w:color w:val="auto"/>
        </w:rPr>
        <w:t xml:space="preserve"> of Subsequent Offering Period</w:t>
      </w:r>
      <w:r>
        <w:rPr>
          <w:rFonts w:ascii="Times New Roman" w:cs="Times New Roman" w:eastAsia="Times New Roman" w:hAnsi="Times New Roman"/>
          <w:sz w:val="18"/>
          <w:szCs w:val="18"/>
          <w:b w:val="1"/>
          <w:bCs w:val="1"/>
          <w:u w:val="single" w:color="auto"/>
          <w:color w:val="auto"/>
        </w:rPr>
        <w:t>, Completion of the Offer and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Result</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removing the strikethrough text and adding the bolded and underlined text to the first paragraph of Item 8(e):</w:t>
      </w:r>
    </w:p>
    <w:p>
      <w:pPr>
        <w:spacing w:after="0" w:line="252" w:lineRule="exact"/>
        <w:rPr>
          <w:rFonts w:ascii="Times New Roman" w:cs="Times New Roman" w:eastAsia="Times New Roman" w:hAnsi="Times New Roman"/>
          <w:sz w:val="18"/>
          <w:szCs w:val="18"/>
          <w:color w:val="auto"/>
        </w:rPr>
      </w:pPr>
    </w:p>
    <w:p>
      <w:pPr>
        <w:ind w:left="90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3, 2025, BioNTech announced that, as of the expiration of the initial offering period at 9:00 a.m. Eastern Time on December 3, 2025, a total of 184,071,410 shares of CureVac, representing approximately 81.74% of CureVac's issued and outstanding shares, were validly tendered and not properly withdrawn pursuant to the Offer. As a result, the minimum condition for the Offer has been satisfied, and all validly tendered shares have been accepted for exchange. All closing conditions related to the completion of the Post-Offer Reorganization </w:t>
      </w:r>
      <w:r>
        <w:rPr>
          <w:rFonts w:ascii="Times New Roman" w:cs="Times New Roman" w:eastAsia="Times New Roman" w:hAnsi="Times New Roman"/>
          <w:sz w:val="18"/>
          <w:szCs w:val="18"/>
          <w:b w:val="1"/>
          <w:bCs w:val="1"/>
          <w:u w:val="single" w:color="auto"/>
          <w:color w:val="auto"/>
        </w:rPr>
        <w:t>having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have now</w:t>
      </w:r>
      <w:r>
        <w:rPr>
          <w:rFonts w:ascii="Times New Roman" w:cs="Times New Roman" w:eastAsia="Times New Roman" w:hAnsi="Times New Roman"/>
          <w:sz w:val="18"/>
          <w:szCs w:val="18"/>
          <w:color w:val="auto"/>
        </w:rPr>
        <w:t xml:space="preserve"> been satisfied</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BioNTech </w:t>
      </w:r>
      <w:r>
        <w:rPr>
          <w:rFonts w:ascii="Times New Roman" w:cs="Times New Roman" w:eastAsia="Times New Roman" w:hAnsi="Times New Roman"/>
          <w:sz w:val="18"/>
          <w:szCs w:val="18"/>
          <w:color w:val="auto"/>
          <w:strike w:val="1"/>
        </w:rPr>
        <w:t>will now proceed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proceeded</w:t>
      </w:r>
      <w:r>
        <w:rPr>
          <w:rFonts w:ascii="Times New Roman" w:cs="Times New Roman" w:eastAsia="Times New Roman" w:hAnsi="Times New Roman"/>
          <w:sz w:val="18"/>
          <w:szCs w:val="18"/>
          <w:color w:val="auto"/>
        </w:rPr>
        <w:t xml:space="preserve"> to deliver BioNTech ADSs (and/or cash in lieu of fractional BioNTech ADSs) to the holders of Company Shares who have tendered their Company Shares </w:t>
      </w:r>
      <w:r>
        <w:rPr>
          <w:rFonts w:ascii="Times New Roman" w:cs="Times New Roman" w:eastAsia="Times New Roman" w:hAnsi="Times New Roman"/>
          <w:sz w:val="18"/>
          <w:szCs w:val="18"/>
          <w:b w:val="1"/>
          <w:bCs w:val="1"/>
          <w:u w:val="single" w:color="auto"/>
          <w:color w:val="auto"/>
        </w:rPr>
        <w:t>during the initial offer period</w:t>
      </w:r>
      <w:r>
        <w:rPr>
          <w:rFonts w:ascii="Times New Roman" w:cs="Times New Roman" w:eastAsia="Times New Roman" w:hAnsi="Times New Roman"/>
          <w:sz w:val="18"/>
          <w:szCs w:val="18"/>
          <w:color w:val="auto"/>
        </w:rPr>
        <w:t xml:space="preserve"> to close the transaction, as set out in more detail in the Exchange Offer Prospectus.”</w:t>
      </w:r>
    </w:p>
    <w:p>
      <w:pPr>
        <w:spacing w:after="0" w:line="18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removing the strikethrough text and adding the bolded and underlined text to the second paragraph of Item 8(e):</w:t>
      </w:r>
    </w:p>
    <w:p>
      <w:pPr>
        <w:spacing w:after="0" w:line="248" w:lineRule="exact"/>
        <w:rPr>
          <w:rFonts w:ascii="Times New Roman" w:cs="Times New Roman" w:eastAsia="Times New Roman" w:hAnsi="Times New Roman"/>
          <w:sz w:val="18"/>
          <w:szCs w:val="18"/>
          <w:color w:val="auto"/>
        </w:rPr>
      </w:pPr>
    </w:p>
    <w:p>
      <w:pPr>
        <w:ind w:left="900" w:right="3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“Because the initial offer period was not extended, the subsequent offering period </w:t>
      </w:r>
      <w:r>
        <w:rPr>
          <w:rFonts w:ascii="Times New Roman" w:cs="Times New Roman" w:eastAsia="Times New Roman" w:hAnsi="Times New Roman"/>
          <w:sz w:val="18"/>
          <w:szCs w:val="18"/>
          <w:color w:val="auto"/>
          <w:strike w:val="1"/>
        </w:rPr>
        <w:t>has</w:t>
      </w:r>
      <w:r>
        <w:rPr>
          <w:rFonts w:ascii="Times New Roman" w:cs="Times New Roman" w:eastAsia="Times New Roman" w:hAnsi="Times New Roman"/>
          <w:sz w:val="18"/>
          <w:szCs w:val="18"/>
          <w:color w:val="auto"/>
        </w:rPr>
        <w:t xml:space="preserve"> commenced </w:t>
      </w:r>
      <w:r>
        <w:rPr>
          <w:rFonts w:ascii="Times New Roman" w:cs="Times New Roman" w:eastAsia="Times New Roman" w:hAnsi="Times New Roman"/>
          <w:sz w:val="18"/>
          <w:szCs w:val="18"/>
          <w:b w:val="1"/>
          <w:bCs w:val="1"/>
          <w:u w:val="single" w:color="auto"/>
          <w:color w:val="auto"/>
        </w:rPr>
        <w:t>after the expiration of the initial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will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expired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12:01 a.m. Eastern Time on Thursday, December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324" w:hanging="324"/>
        <w:spacing w:after="0"/>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third paragraph to Item 8(e):</w:t>
      </w:r>
    </w:p>
    <w:p>
      <w:pPr>
        <w:spacing w:after="0" w:line="225" w:lineRule="exact"/>
        <w:rPr>
          <w:rFonts w:ascii="Times New Roman" w:cs="Times New Roman" w:eastAsia="Times New Roman" w:hAnsi="Times New Roman"/>
          <w:sz w:val="18"/>
          <w:szCs w:val="18"/>
          <w:color w:val="auto"/>
        </w:rPr>
      </w:pPr>
    </w:p>
    <w:p>
      <w:pPr>
        <w:ind w:left="32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2025, BioNTech announced the completion of the Offer and that the subsequent offering period had expired. As of the expiration time of the subsequent offering period, a total of 195,341,219 Company Shares, collectively representing approximately 86.75% of the issued and outstanding Company Shares, were validly tendered pursuant to the Offer. Company Shares validly tendered during the subsequent offering period were accepted by BioNTech for exchange and will be exchanged pursuant to the terms of the Offer and as set out in more detail in the Exchange Offer Prospectus. BioNTech expects to complete the compulsory acquisition of the remaining Company Shares in January 2026 as part of the Post-Offer Reorganization, which CureVac and BioNTech will now initiate as promptly as practicable. Following the Post-Offer-Reorganization, the Company Shares will no longer be available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19"/>
                <w:szCs w:val="19"/>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CureVac N.V.</w:t>
            </w:r>
          </w:p>
        </w:tc>
      </w:t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Ramón Zapata-Gomez</w:t>
            </w:r>
          </w:p>
        </w:tc>
      </w:tr>
      <w:tr>
        <w:trPr>
          <w:trHeight w:val="230"/>
        </w:trPr>
        <w:tc>
          <w:tcPr>
            <w:tcW w:w="37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Managing Director</w:t>
            </w:r>
          </w:p>
        </w:tc>
      </w:tr>
      <w:tr>
        <w:trPr>
          <w:trHeight w:val="655"/>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2)"/>
      <w:numFmt w:val="decimal"/>
      <w:start w:val="21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2025-12-18T15:11:33Z</dcterms:created>
  <dcterms:modified xsi:type="dcterms:W3CDTF">2025-12-18T15:11:33Z</dcterms:modified>
</cp:coreProperties>
</file>