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7, 2026</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333-246197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2</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Form S-8 Registration No. 333-246197</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CureVac N.V.</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7"/>
          <w:szCs w:val="17"/>
          <w:b w:val="1"/>
          <w:bCs w:val="1"/>
          <w:color w:val="auto"/>
        </w:rPr>
        <w:t>The Netherlands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2" w:lineRule="exact"/>
        <w:rPr>
          <w:sz w:val="24"/>
          <w:szCs w:val="24"/>
          <w:color w:val="auto"/>
        </w:rPr>
      </w:pPr>
    </w:p>
    <w:p>
      <w:pPr>
        <w:sectPr>
          <w:pgSz w:w="11900" w:h="16838" w:orient="portrait"/>
          <w:cols w:equalWidth="0" w:num="2">
            <w:col w:w="7040" w:space="720"/>
            <w:col w:w="3260"/>
          </w:cols>
          <w:pgMar w:left="440" w:top="225" w:right="439" w:bottom="1440" w:gutter="0" w:footer="0" w:header="0"/>
          <w:type w:val="continuous"/>
        </w:sectPr>
      </w:pP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144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Friedrich-Miescher-Strasse 15, 72076</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Tübingen, Germany</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020"/>
          </w:cols>
          <w:pgMar w:left="440" w:top="225" w:right="439" w:bottom="1440"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CureVac N.V. Long-Term Incentive Plan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CureVac Virtual Share Plan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Employment Agreement between CureVac AG and a Former Employee</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BioNTech US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40 Erie St., Suite 110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Cambridge, MA 02139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+1 (617) 337-4701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Paul Claydon</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Jack S. Bodner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Matthew T. Gehl</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Charles A. Dobb</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Brian K. Rosenzweig</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Covington &amp; Burling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30 Hudson Yards</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10001-2170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Telephone: (212) 841-1000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type w:val="continuous"/>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CureVac N.V. (“</w:t>
      </w:r>
      <w:r>
        <w:rPr>
          <w:rFonts w:ascii="Times New Roman" w:cs="Times New Roman" w:eastAsia="Times New Roman" w:hAnsi="Times New Roman"/>
          <w:sz w:val="18"/>
          <w:szCs w:val="18"/>
          <w:b w:val="1"/>
          <w:bCs w:val="1"/>
          <w:i w:val="1"/>
          <w:iCs w:val="1"/>
          <w:color w:val="auto"/>
        </w:rPr>
        <w:t>CureVac</w:t>
      </w:r>
      <w:r>
        <w:rPr>
          <w:rFonts w:ascii="Times New Roman" w:cs="Times New Roman" w:eastAsia="Times New Roman" w:hAnsi="Times New Roman"/>
          <w:sz w:val="18"/>
          <w:szCs w:val="18"/>
          <w:color w:val="auto"/>
        </w:rPr>
        <w:t>”) is filing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this Post-Effective Amendment No. 2 to the Registration Statement (No. 333-246197) on Form S-8 filed with the SEC on August 14, 2020, as amended by and including Post-Effective Amendment No. 1, filed with the SEC on August 27, 2020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withdraw and remove from registration the unissued securities issuable under the Registration Statement.</w:t>
      </w:r>
    </w:p>
    <w:p>
      <w:pPr>
        <w:spacing w:after="0" w:line="176" w:lineRule="exact"/>
        <w:rPr>
          <w:sz w:val="20"/>
          <w:szCs w:val="20"/>
          <w:color w:val="auto"/>
        </w:rPr>
      </w:pPr>
    </w:p>
    <w:p>
      <w:pPr>
        <w:jc w:val="both"/>
        <w:ind w:left="4" w:firstLine="440"/>
        <w:spacing w:after="0" w:line="278" w:lineRule="auto"/>
        <w:rPr>
          <w:sz w:val="20"/>
          <w:szCs w:val="20"/>
          <w:color w:val="auto"/>
        </w:rPr>
      </w:pPr>
      <w:r>
        <w:rPr>
          <w:rFonts w:ascii="Times New Roman" w:cs="Times New Roman" w:eastAsia="Times New Roman" w:hAnsi="Times New Roman"/>
          <w:sz w:val="17"/>
          <w:szCs w:val="17"/>
          <w:color w:val="auto"/>
        </w:rPr>
        <w:t>Pursuant to the terms of the Purchase Agreement, dated as of June 12, 2025 (the “</w:t>
      </w:r>
      <w:r>
        <w:rPr>
          <w:rFonts w:ascii="Times New Roman" w:cs="Times New Roman" w:eastAsia="Times New Roman" w:hAnsi="Times New Roman"/>
          <w:sz w:val="17"/>
          <w:szCs w:val="17"/>
          <w:b w:val="1"/>
          <w:bCs w:val="1"/>
          <w:i w:val="1"/>
          <w:iCs w:val="1"/>
          <w:color w:val="auto"/>
        </w:rPr>
        <w:t>Purchase Agreement</w:t>
      </w:r>
      <w:r>
        <w:rPr>
          <w:rFonts w:ascii="Times New Roman" w:cs="Times New Roman" w:eastAsia="Times New Roman" w:hAnsi="Times New Roman"/>
          <w:sz w:val="17"/>
          <w:szCs w:val="17"/>
          <w:color w:val="auto"/>
        </w:rPr>
        <w:t>”), by and between CureVac and BioNTech SE, a European stock corporation (</w:t>
      </w:r>
      <w:r>
        <w:rPr>
          <w:rFonts w:ascii="Times New Roman" w:cs="Times New Roman" w:eastAsia="Times New Roman" w:hAnsi="Times New Roman"/>
          <w:sz w:val="17"/>
          <w:szCs w:val="17"/>
          <w:i w:val="1"/>
          <w:iCs w:val="1"/>
          <w:color w:val="auto"/>
        </w:rPr>
        <w:t>Societas Europaea</w:t>
      </w:r>
      <w:r>
        <w:rPr>
          <w:rFonts w:ascii="Times New Roman" w:cs="Times New Roman" w:eastAsia="Times New Roman" w:hAnsi="Times New Roman"/>
          <w:sz w:val="17"/>
          <w:szCs w:val="17"/>
          <w:color w:val="auto"/>
        </w:rPr>
        <w:t>, or SE) organized under the laws of Germany and the European Union (“</w:t>
      </w:r>
      <w:r>
        <w:rPr>
          <w:rFonts w:ascii="Times New Roman" w:cs="Times New Roman" w:eastAsia="Times New Roman" w:hAnsi="Times New Roman"/>
          <w:sz w:val="17"/>
          <w:szCs w:val="17"/>
          <w:b w:val="1"/>
          <w:bCs w:val="1"/>
          <w:i w:val="1"/>
          <w:iCs w:val="1"/>
          <w:color w:val="auto"/>
        </w:rPr>
        <w:t>BioNTech</w:t>
      </w:r>
      <w:r>
        <w:rPr>
          <w:rFonts w:ascii="Times New Roman" w:cs="Times New Roman" w:eastAsia="Times New Roman" w:hAnsi="Times New Roman"/>
          <w:sz w:val="17"/>
          <w:szCs w:val="17"/>
          <w:color w:val="auto"/>
        </w:rPr>
        <w:t>”), BioNTech</w:t>
      </w:r>
    </w:p>
    <w:p>
      <w:pPr>
        <w:spacing w:after="0" w:line="1" w:lineRule="exact"/>
        <w:rPr>
          <w:sz w:val="20"/>
          <w:szCs w:val="20"/>
          <w:color w:val="auto"/>
        </w:rPr>
      </w:pPr>
    </w:p>
    <w:p>
      <w:pPr>
        <w:jc w:val="both"/>
        <w:ind w:left="4" w:hanging="4"/>
        <w:spacing w:after="0" w:line="255" w:lineRule="auto"/>
        <w:tabs>
          <w:tab w:leader="none" w:pos="2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 offer to exchange each outstanding common share, par value €0.12 per share, of CureVac (“</w:t>
      </w:r>
      <w:r>
        <w:rPr>
          <w:rFonts w:ascii="Times New Roman" w:cs="Times New Roman" w:eastAsia="Times New Roman" w:hAnsi="Times New Roman"/>
          <w:sz w:val="18"/>
          <w:szCs w:val="18"/>
          <w:b w:val="1"/>
          <w:bCs w:val="1"/>
          <w:i w:val="1"/>
          <w:iCs w:val="1"/>
          <w:color w:val="auto"/>
        </w:rPr>
        <w:t>CureVac Shares</w:t>
      </w:r>
      <w:r>
        <w:rPr>
          <w:rFonts w:ascii="Times New Roman" w:cs="Times New Roman" w:eastAsia="Times New Roman" w:hAnsi="Times New Roman"/>
          <w:sz w:val="18"/>
          <w:szCs w:val="18"/>
          <w:color w:val="auto"/>
        </w:rPr>
        <w:t>”) for BioNTech American Depositary Shares and (ii) completed the Post-Offer Reorganization (as defined in the Purchase Agreement), pursuant to which it became the sole owner of all of CureVac’s business operations, CureVac ceased to exist, and no public shareholders continued to hold any CureVac Shares.</w:t>
      </w:r>
    </w:p>
    <w:p>
      <w:pPr>
        <w:spacing w:after="0" w:line="186"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Post-Offer Reorganization, the offerings of CureVac’s securities pursuant to the Registration Statement have been terminated. In accordance with an undertaking made by CureVac in the Registration Statement to remove from registration, by means of a post-effective amendment, any of the securities registered under the Registration Statement that remain unissued at the termination of the offerings, CureVac hereby removes from registration the securities registered but unissued under the Registration Statement.</w:t>
      </w:r>
    </w:p>
    <w:p>
      <w:pPr>
        <w:sectPr>
          <w:pgSz w:w="11900" w:h="16838" w:orient="portrait"/>
          <w:cols w:equalWidth="0" w:num="1">
            <w:col w:w="10984"/>
          </w:cols>
          <w:pgMar w:left="436"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CureVac certifies that it has reasonable grounds to believe that it meets all of the requirements for filing on Form S-8 and has duly caused this Post-Effective Amendment No. 2 to the Registration Statement to be signed on its behalf by the undersigned, thereunto duly authorized, in Mainz, Germany, on this day of January 7, 2026.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7, 2026</w:t>
            </w: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CUREVAC MERGER B.V.,</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as successor by merger to CureVac N.V.</w:t>
            </w:r>
          </w:p>
        </w:tc>
      </w:tr>
      <w:tr>
        <w:trPr>
          <w:trHeight w:val="432"/>
        </w:trPr>
        <w:tc>
          <w:tcPr>
            <w:tcW w:w="3540" w:type="dxa"/>
            <w:vAlign w:val="bottom"/>
          </w:tcPr>
          <w:p>
            <w:pPr>
              <w:spacing w:after="0"/>
              <w:rPr>
                <w:sz w:val="24"/>
                <w:szCs w:val="24"/>
                <w:color w:val="auto"/>
              </w:rPr>
            </w:pPr>
          </w:p>
        </w:tc>
        <w:tc>
          <w:tcPr>
            <w:tcW w:w="252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Ramón Zapata-Gomez</w:t>
            </w:r>
          </w:p>
        </w:tc>
      </w:tr>
      <w:tr>
        <w:trPr>
          <w:trHeight w:val="187"/>
        </w:trPr>
        <w:tc>
          <w:tcPr>
            <w:tcW w:w="3540" w:type="dxa"/>
            <w:vAlign w:val="bottom"/>
          </w:tcPr>
          <w:p>
            <w:pPr>
              <w:spacing w:after="0"/>
              <w:rPr>
                <w:sz w:val="16"/>
                <w:szCs w:val="16"/>
                <w:color w:val="auto"/>
              </w:rPr>
            </w:pPr>
          </w:p>
        </w:tc>
        <w:tc>
          <w:tcPr>
            <w:tcW w:w="2520" w:type="dxa"/>
            <w:vAlign w:val="bottom"/>
          </w:tcPr>
          <w:p>
            <w:pPr>
              <w:ind w:left="1980"/>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496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Ramón Zapata-Gomez</w:t>
            </w:r>
          </w:p>
        </w:tc>
      </w:tr>
      <w:tr>
        <w:trPr>
          <w:trHeight w:val="238"/>
        </w:trPr>
        <w:tc>
          <w:tcPr>
            <w:tcW w:w="3540" w:type="dxa"/>
            <w:vAlign w:val="bottom"/>
          </w:tcPr>
          <w:p>
            <w:pPr>
              <w:spacing w:after="0"/>
              <w:rPr>
                <w:sz w:val="20"/>
                <w:szCs w:val="20"/>
                <w:color w:val="auto"/>
              </w:rPr>
            </w:pPr>
          </w:p>
        </w:tc>
        <w:tc>
          <w:tcPr>
            <w:tcW w:w="252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No. 2 to the Registration Statement on Form S-8 in reliance upon Rule 478 of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2026-01-07T15:21:18Z</dcterms:created>
  <dcterms:modified xsi:type="dcterms:W3CDTF">2026-01-07T15:21:18Z</dcterms:modified>
</cp:coreProperties>
</file>