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CureVac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par value (euro)0.12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N2451R105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Brian S. North, Esquire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Buchanan Ingersoll &amp; Rooney PC, 50 South 16th Street, Suite 3200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Philadelphia, PA, 19102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(215) 665-8700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Dr. Christina Eschenfelder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RITTERSHAUS, Harrlachweg 4</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Mannheim, 2M, 68163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49 621 4256-275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MH-LT-Investments GmbH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 Matthias Hothum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par value (euro)0.12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CureVac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Friedrich-Miescher-Strasse 15, Tubingen, GERMANY , 72076.</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is being filed to reflect the completion of the Reporting Persons' exchange all of the Shares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beneficially owned by them pursuant to an exchange offer (the "Exchange Offer") made by BioNTech SE,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European stock corporation ("BioNTech"). This Amendment is the final amendment to the Schedule 13D by the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Reporting Persons and constitutes an "exit filing" by them.</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40"/>
        <w:spacing w:after="0" w:line="235" w:lineRule="auto"/>
        <w:rPr>
          <w:sz w:val="20"/>
          <w:szCs w:val="20"/>
          <w:color w:val="auto"/>
        </w:rPr>
      </w:pPr>
      <w:r>
        <w:rPr>
          <w:rFonts w:ascii="Times New Roman" w:cs="Times New Roman" w:eastAsia="Times New Roman" w:hAnsi="Times New Roman"/>
          <w:sz w:val="22"/>
          <w:szCs w:val="22"/>
          <w:color w:val="auto"/>
        </w:rPr>
        <w:t>The Reporting Persons have tendered all of their Shares into the Exchange Offer. The Exchange Offer expired as scheduled at 9:00 a.m. Eastern Time on December 3, 2025. The Shares tendered by the Reporting Persons were accepted for exchange and transferred to BioNTech in a capital increase for the issue of shares in BioNTech underlying the American Depository Shares of BioNTech offered as consideration of the Exchange Offer which took effect upon registration on December 10, 2025. As a result, the Reporting Persons no longer beneficially own, or otherwise hold, any securities of the Issuer. The Reporting Persons expect to receive full consideration to which they are entitled under the Exchange Offer (the "Completion") on or about December 15, 2025.</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Items 5(a) and (b) is set forth in Rows 7 - 13 of the cover page for each Reporting</w:t>
      </w:r>
    </w:p>
    <w:p>
      <w:pPr>
        <w:spacing w:after="0" w:line="14" w:lineRule="exact"/>
        <w:rPr>
          <w:sz w:val="20"/>
          <w:szCs w:val="20"/>
          <w:color w:val="auto"/>
        </w:rPr>
      </w:pPr>
    </w:p>
    <w:p>
      <w:pPr>
        <w:ind w:left="920" w:right="14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Person hereto and is incorporated herein by reference for each Reporting Person. The Reporting Persons tendered all of their Shares in the Exchange Offer and, as a result of the issuance by BioNTech of its securities in the Exchange Offer on December 10, 2025, the Reporting Persons no longer beneficially own any Shares.</w:t>
      </w:r>
    </w:p>
    <w:p>
      <w:pPr>
        <w:sectPr>
          <w:pgSz w:w="11900" w:h="16838" w:orient="portrait"/>
          <w:cols w:equalWidth="0" w:num="1">
            <w:col w:w="11160"/>
          </w:cols>
          <w:pgMar w:left="360" w:top="111" w:right="379" w:bottom="0" w:gutter="0" w:footer="0" w:header="0"/>
          <w:type w:val="continuous"/>
        </w:sectPr>
      </w:pPr>
    </w:p>
    <w:bookmarkStart w:id="3" w:name="page4"/>
    <w:bookmarkEnd w:id="3"/>
    <w:p>
      <w:pPr>
        <w:ind w:left="920" w:right="640" w:hanging="912"/>
        <w:spacing w:after="0" w:line="249"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Items 5(a) and (b) is set forth in Rows 7 - 13 of the cover page for each Reporting Person hereto and is incorporated herein by reference for each Reporting Person.</w:t>
      </w:r>
    </w:p>
    <w:p>
      <w:pPr>
        <w:spacing w:after="0" w:line="15"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the transaction described in Item 5(a) no Reporting Person has effected any transaction in the Shares during the past sixty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December 10,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99.1 Power of Attorney (Incorporated by reference to Exhibit 1 to Amendment No. 5 to Schedule 13D filed by the Reporting Persons with the SEC on May 5, 2022). 99.2 Joint Filing Agreement (Incorporated by reference to Exhibit 2 to Amendment No. 5 to Schedule 13D filed by the Reporting Persons with the SEC on May 5, 2022).</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MH-LT-Investments GmbH</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Dr. Christina Eschenfelder/Attorney-in-fact</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Dr. Matthias Hothum</w:t>
      </w:r>
    </w:p>
    <w:p>
      <w:pPr>
        <w:spacing w:after="0" w:line="152"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Dr. Christina Eschenfelder as attorney-in-fact</w:t>
      </w:r>
    </w:p>
    <w:p>
      <w:pPr>
        <w:spacing w:after="0" w:line="4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Name/Title: MATTHIAS HOTHUM</w:t>
      </w:r>
    </w:p>
    <w:p>
      <w:pPr>
        <w:spacing w:after="0" w:line="44" w:lineRule="exact"/>
        <w:rPr>
          <w:sz w:val="20"/>
          <w:szCs w:val="20"/>
          <w:color w:val="auto"/>
        </w:rPr>
      </w:pPr>
    </w:p>
    <w:p>
      <w:pPr>
        <w:ind w:left="5480"/>
        <w:spacing w:after="0"/>
        <w:tabs>
          <w:tab w:leader="none" w:pos="6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2025-12-12T16:11:33Z</dcterms:created>
  <dcterms:modified xsi:type="dcterms:W3CDTF">2025-12-12T16:11:33Z</dcterms:modified>
</cp:coreProperties>
</file>